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3226" w14:textId="77777777" w:rsidR="006079E9" w:rsidRDefault="00000000" w:rsidP="001A5773">
      <w:pPr>
        <w:jc w:val="both"/>
      </w:pPr>
      <w:r>
        <w:rPr>
          <w:noProof/>
        </w:rPr>
        <w:drawing>
          <wp:anchor distT="0" distB="0" distL="114300" distR="114300" simplePos="0" relativeHeight="251658240" behindDoc="0" locked="0" layoutInCell="1" allowOverlap="1" wp14:anchorId="7ED9B110" wp14:editId="33919117">
            <wp:simplePos x="0" y="0"/>
            <wp:positionH relativeFrom="column">
              <wp:posOffset>1729105</wp:posOffset>
            </wp:positionH>
            <wp:positionV relativeFrom="paragraph">
              <wp:posOffset>-2540</wp:posOffset>
            </wp:positionV>
            <wp:extent cx="2520000" cy="108985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an_logo.png"/>
                    <pic:cNvPicPr/>
                  </pic:nvPicPr>
                  <pic:blipFill>
                    <a:blip r:embed="rId8"/>
                    <a:stretch>
                      <a:fillRect/>
                    </a:stretch>
                  </pic:blipFill>
                  <pic:spPr>
                    <a:xfrm>
                      <a:off x="0" y="0"/>
                      <a:ext cx="2520000" cy="1089854"/>
                    </a:xfrm>
                    <a:prstGeom prst="rect">
                      <a:avLst/>
                    </a:prstGeom>
                  </pic:spPr>
                </pic:pic>
              </a:graphicData>
            </a:graphic>
            <wp14:sizeRelH relativeFrom="page">
              <wp14:pctWidth>0</wp14:pctWidth>
            </wp14:sizeRelH>
            <wp14:sizeRelV relativeFrom="page">
              <wp14:pctHeight>0</wp14:pctHeight>
            </wp14:sizeRelV>
          </wp:anchor>
        </w:drawing>
      </w:r>
    </w:p>
    <w:p w14:paraId="4036A562" w14:textId="77777777" w:rsidR="006079E9" w:rsidRDefault="006079E9" w:rsidP="001A5773">
      <w:pPr>
        <w:jc w:val="both"/>
      </w:pPr>
    </w:p>
    <w:p w14:paraId="0B7388AE" w14:textId="77777777" w:rsidR="006079E9" w:rsidRDefault="006079E9" w:rsidP="001A5773">
      <w:pPr>
        <w:jc w:val="both"/>
      </w:pPr>
    </w:p>
    <w:p w14:paraId="00187F69" w14:textId="77777777" w:rsidR="001A5773" w:rsidRDefault="001A5773" w:rsidP="001A5773">
      <w:pPr>
        <w:jc w:val="both"/>
      </w:pPr>
    </w:p>
    <w:p w14:paraId="6A4F3A26" w14:textId="77777777" w:rsidR="006079E9" w:rsidRDefault="00000000" w:rsidP="001A5773">
      <w:pPr>
        <w:jc w:val="center"/>
      </w:pPr>
      <w:r>
        <w:rPr>
          <w:b/>
          <w:color w:val="C00000"/>
          <w:sz w:val="32"/>
        </w:rPr>
        <w:t>ESAN GRADUATE SCHOOL OF BUSINESS</w:t>
      </w:r>
    </w:p>
    <w:p w14:paraId="7C76B3D2" w14:textId="7AAD5447" w:rsidR="006079E9" w:rsidRDefault="00A702C8" w:rsidP="001A5773">
      <w:pPr>
        <w:jc w:val="center"/>
      </w:pPr>
      <w:r>
        <w:rPr>
          <w:color w:val="1F3864"/>
          <w:sz w:val="26"/>
        </w:rPr>
        <w:t>PROGRAMA</w:t>
      </w:r>
      <w:r w:rsidRPr="00A702C8">
        <w:rPr>
          <w:color w:val="1F3864"/>
          <w:sz w:val="26"/>
        </w:rPr>
        <w:t xml:space="preserve"> DE ESPECIALIZACIÓN EN CIBERSEGURIDAD Y SEGURIDAD DE LA INFORMACIÓN</w:t>
      </w:r>
    </w:p>
    <w:p w14:paraId="79DE9435" w14:textId="77777777" w:rsidR="006079E9" w:rsidRDefault="006079E9" w:rsidP="001A5773">
      <w:pPr>
        <w:jc w:val="center"/>
      </w:pPr>
    </w:p>
    <w:p w14:paraId="6AE8B3A8" w14:textId="77777777" w:rsidR="006079E9" w:rsidRDefault="00000000" w:rsidP="001A5773">
      <w:pPr>
        <w:jc w:val="center"/>
      </w:pPr>
      <w:r>
        <w:rPr>
          <w:b/>
          <w:color w:val="1F3864"/>
          <w:sz w:val="40"/>
        </w:rPr>
        <w:t>TRABAJO FINAL GRUPAL</w:t>
      </w:r>
    </w:p>
    <w:p w14:paraId="7C411E5A" w14:textId="77777777" w:rsidR="006079E9" w:rsidRDefault="00000000" w:rsidP="001A5773">
      <w:pPr>
        <w:jc w:val="center"/>
      </w:pPr>
      <w:r>
        <w:rPr>
          <w:b/>
          <w:sz w:val="30"/>
        </w:rPr>
        <w:t>Aplicación de Gestión de Riesgos de Ciberseguridad</w:t>
      </w:r>
    </w:p>
    <w:p w14:paraId="6936594E" w14:textId="77777777" w:rsidR="006079E9" w:rsidRDefault="00000000" w:rsidP="001A5773">
      <w:pPr>
        <w:jc w:val="center"/>
      </w:pPr>
      <w:r>
        <w:rPr>
          <w:i/>
          <w:color w:val="C00000"/>
          <w:sz w:val="28"/>
        </w:rPr>
        <w:t>Caso de Estudio: SolarWinds / Sunburst (2020)</w:t>
      </w:r>
    </w:p>
    <w:p w14:paraId="75312A07" w14:textId="77777777" w:rsidR="006079E9" w:rsidRDefault="006079E9" w:rsidP="001A5773">
      <w:pPr>
        <w:jc w:val="center"/>
      </w:pPr>
    </w:p>
    <w:p w14:paraId="7A263770" w14:textId="061B7788" w:rsidR="006079E9" w:rsidRDefault="00000000" w:rsidP="001A5773">
      <w:pPr>
        <w:jc w:val="center"/>
      </w:pPr>
      <w:proofErr w:type="spellStart"/>
      <w:r>
        <w:rPr>
          <w:b/>
          <w:sz w:val="24"/>
        </w:rPr>
        <w:t>Curso</w:t>
      </w:r>
      <w:proofErr w:type="spellEnd"/>
      <w:r>
        <w:rPr>
          <w:b/>
          <w:sz w:val="24"/>
        </w:rPr>
        <w:t>:</w:t>
      </w:r>
    </w:p>
    <w:p w14:paraId="2729CF48" w14:textId="77777777" w:rsidR="006079E9" w:rsidRDefault="00000000" w:rsidP="001A5773">
      <w:pPr>
        <w:jc w:val="center"/>
      </w:pPr>
      <w:r>
        <w:rPr>
          <w:sz w:val="24"/>
        </w:rPr>
        <w:t>Gestión de Riesgos de la Ciberseguridad</w:t>
      </w:r>
    </w:p>
    <w:p w14:paraId="0A01BFEC" w14:textId="77777777" w:rsidR="006079E9" w:rsidRDefault="006079E9" w:rsidP="001A5773">
      <w:pPr>
        <w:jc w:val="center"/>
      </w:pPr>
    </w:p>
    <w:p w14:paraId="002C6E25" w14:textId="66C56190" w:rsidR="006079E9" w:rsidRDefault="001A5773" w:rsidP="001A5773">
      <w:pPr>
        <w:jc w:val="center"/>
      </w:pPr>
      <w:proofErr w:type="spellStart"/>
      <w:r>
        <w:rPr>
          <w:b/>
          <w:sz w:val="24"/>
        </w:rPr>
        <w:t>Docente</w:t>
      </w:r>
      <w:proofErr w:type="spellEnd"/>
      <w:r w:rsidR="00000000">
        <w:rPr>
          <w:b/>
          <w:sz w:val="24"/>
        </w:rPr>
        <w:t>:</w:t>
      </w:r>
    </w:p>
    <w:p w14:paraId="438A37C4" w14:textId="77777777" w:rsidR="006079E9" w:rsidRDefault="00000000" w:rsidP="001A5773">
      <w:pPr>
        <w:jc w:val="center"/>
      </w:pPr>
      <w:r>
        <w:rPr>
          <w:sz w:val="24"/>
        </w:rPr>
        <w:t>Freddy Alvarado Vargas</w:t>
      </w:r>
    </w:p>
    <w:p w14:paraId="288A2822" w14:textId="77777777" w:rsidR="006079E9" w:rsidRDefault="006079E9" w:rsidP="001A5773">
      <w:pPr>
        <w:jc w:val="center"/>
      </w:pPr>
    </w:p>
    <w:p w14:paraId="57325E9E" w14:textId="77777777" w:rsidR="006079E9" w:rsidRDefault="00000000" w:rsidP="001A5773">
      <w:pPr>
        <w:jc w:val="center"/>
      </w:pPr>
      <w:r>
        <w:rPr>
          <w:b/>
          <w:sz w:val="24"/>
        </w:rPr>
        <w:t>Integrantes:</w:t>
      </w:r>
    </w:p>
    <w:p w14:paraId="4264AB11" w14:textId="77777777" w:rsidR="006079E9" w:rsidRDefault="00000000" w:rsidP="001A5773">
      <w:pPr>
        <w:jc w:val="center"/>
      </w:pPr>
      <w:r>
        <w:rPr>
          <w:sz w:val="24"/>
        </w:rPr>
        <w:t>Christian Edgardo Cajusol Mio</w:t>
      </w:r>
    </w:p>
    <w:p w14:paraId="2B037296" w14:textId="77777777" w:rsidR="006079E9" w:rsidRDefault="00000000" w:rsidP="001A5773">
      <w:pPr>
        <w:jc w:val="center"/>
      </w:pPr>
      <w:r>
        <w:rPr>
          <w:sz w:val="24"/>
        </w:rPr>
        <w:t>Freddy Saldaña Reynoso</w:t>
      </w:r>
    </w:p>
    <w:p w14:paraId="0F1E2FEA" w14:textId="77777777" w:rsidR="006079E9" w:rsidRDefault="006079E9" w:rsidP="001A5773">
      <w:pPr>
        <w:jc w:val="center"/>
      </w:pPr>
    </w:p>
    <w:p w14:paraId="13EF5219" w14:textId="77777777" w:rsidR="001A5773" w:rsidRDefault="001A5773" w:rsidP="00A702C8">
      <w:pPr>
        <w:jc w:val="center"/>
      </w:pPr>
    </w:p>
    <w:p w14:paraId="4CF392AB" w14:textId="77777777" w:rsidR="00A702C8" w:rsidRDefault="00000000" w:rsidP="00A702C8">
      <w:pPr>
        <w:jc w:val="center"/>
      </w:pPr>
      <w:r>
        <w:rPr>
          <w:i/>
          <w:sz w:val="24"/>
        </w:rPr>
        <w:t>Lima, Perú – Junio de 2026</w:t>
      </w:r>
    </w:p>
    <w:sdt>
      <w:sdtPr>
        <w:rPr>
          <w:lang w:val="es-ES"/>
        </w:rPr>
        <w:id w:val="719017868"/>
        <w:docPartObj>
          <w:docPartGallery w:val="Table of Contents"/>
          <w:docPartUnique/>
        </w:docPartObj>
      </w:sdtPr>
      <w:sdtEndPr>
        <w:rPr>
          <w:rFonts w:ascii="Calibri" w:eastAsiaTheme="minorEastAsia" w:hAnsi="Calibri" w:cstheme="minorBidi"/>
          <w:color w:val="auto"/>
          <w:sz w:val="22"/>
          <w:szCs w:val="22"/>
        </w:rPr>
      </w:sdtEndPr>
      <w:sdtContent>
        <w:p w14:paraId="374E84EF" w14:textId="5F4FDA11" w:rsidR="00A702C8" w:rsidRDefault="00A702C8">
          <w:pPr>
            <w:pStyle w:val="TtuloTDC"/>
          </w:pPr>
          <w:r>
            <w:rPr>
              <w:lang w:val="es-ES"/>
            </w:rPr>
            <w:t>Contenido</w:t>
          </w:r>
        </w:p>
        <w:p w14:paraId="795AA2B1" w14:textId="425610F0" w:rsidR="00A702C8" w:rsidRDefault="00A702C8">
          <w:pPr>
            <w:pStyle w:val="TDC1"/>
            <w:tabs>
              <w:tab w:val="right" w:leader="dot" w:pos="9396"/>
            </w:tabs>
            <w:rPr>
              <w:rFonts w:asciiTheme="minorHAnsi" w:hAnsiTheme="minorHAnsi"/>
              <w:noProof/>
              <w:kern w:val="2"/>
              <w:sz w:val="24"/>
              <w:szCs w:val="24"/>
              <w:lang w:val="es-PE" w:eastAsia="es-PE"/>
              <w14:ligatures w14:val="standardContextual"/>
            </w:rPr>
          </w:pPr>
          <w:r>
            <w:fldChar w:fldCharType="begin"/>
          </w:r>
          <w:r>
            <w:instrText xml:space="preserve"> TOC \o "1-3" \h \z \u </w:instrText>
          </w:r>
          <w:r>
            <w:fldChar w:fldCharType="separate"/>
          </w:r>
          <w:hyperlink w:anchor="_Toc233146907" w:history="1">
            <w:r w:rsidRPr="007E501F">
              <w:rPr>
                <w:rStyle w:val="Hipervnculo"/>
                <w:noProof/>
              </w:rPr>
              <w:t>1. Antecedentes de la Organización</w:t>
            </w:r>
            <w:r>
              <w:rPr>
                <w:noProof/>
                <w:webHidden/>
              </w:rPr>
              <w:tab/>
            </w:r>
            <w:r>
              <w:rPr>
                <w:noProof/>
                <w:webHidden/>
              </w:rPr>
              <w:fldChar w:fldCharType="begin"/>
            </w:r>
            <w:r>
              <w:rPr>
                <w:noProof/>
                <w:webHidden/>
              </w:rPr>
              <w:instrText xml:space="preserve"> PAGEREF _Toc233146907 \h </w:instrText>
            </w:r>
            <w:r>
              <w:rPr>
                <w:noProof/>
                <w:webHidden/>
              </w:rPr>
            </w:r>
            <w:r>
              <w:rPr>
                <w:noProof/>
                <w:webHidden/>
              </w:rPr>
              <w:fldChar w:fldCharType="separate"/>
            </w:r>
            <w:r>
              <w:rPr>
                <w:noProof/>
                <w:webHidden/>
              </w:rPr>
              <w:t>3</w:t>
            </w:r>
            <w:r>
              <w:rPr>
                <w:noProof/>
                <w:webHidden/>
              </w:rPr>
              <w:fldChar w:fldCharType="end"/>
            </w:r>
          </w:hyperlink>
        </w:p>
        <w:p w14:paraId="252068E6" w14:textId="4BB949A0" w:rsidR="00A702C8" w:rsidRDefault="00A702C8">
          <w:pPr>
            <w:pStyle w:val="TDC1"/>
            <w:tabs>
              <w:tab w:val="right" w:leader="dot" w:pos="9396"/>
            </w:tabs>
            <w:rPr>
              <w:rFonts w:asciiTheme="minorHAnsi" w:hAnsiTheme="minorHAnsi"/>
              <w:noProof/>
              <w:kern w:val="2"/>
              <w:sz w:val="24"/>
              <w:szCs w:val="24"/>
              <w:lang w:val="es-PE" w:eastAsia="es-PE"/>
              <w14:ligatures w14:val="standardContextual"/>
            </w:rPr>
          </w:pPr>
          <w:hyperlink w:anchor="_Toc233146908" w:history="1">
            <w:r w:rsidRPr="007E501F">
              <w:rPr>
                <w:rStyle w:val="Hipervnculo"/>
                <w:noProof/>
              </w:rPr>
              <w:t>2. Identificación de Activos de Información</w:t>
            </w:r>
            <w:r>
              <w:rPr>
                <w:noProof/>
                <w:webHidden/>
              </w:rPr>
              <w:tab/>
            </w:r>
            <w:r>
              <w:rPr>
                <w:noProof/>
                <w:webHidden/>
              </w:rPr>
              <w:fldChar w:fldCharType="begin"/>
            </w:r>
            <w:r>
              <w:rPr>
                <w:noProof/>
                <w:webHidden/>
              </w:rPr>
              <w:instrText xml:space="preserve"> PAGEREF _Toc233146908 \h </w:instrText>
            </w:r>
            <w:r>
              <w:rPr>
                <w:noProof/>
                <w:webHidden/>
              </w:rPr>
            </w:r>
            <w:r>
              <w:rPr>
                <w:noProof/>
                <w:webHidden/>
              </w:rPr>
              <w:fldChar w:fldCharType="separate"/>
            </w:r>
            <w:r>
              <w:rPr>
                <w:noProof/>
                <w:webHidden/>
              </w:rPr>
              <w:t>4</w:t>
            </w:r>
            <w:r>
              <w:rPr>
                <w:noProof/>
                <w:webHidden/>
              </w:rPr>
              <w:fldChar w:fldCharType="end"/>
            </w:r>
          </w:hyperlink>
        </w:p>
        <w:p w14:paraId="6764F820" w14:textId="2777340E" w:rsidR="00A702C8" w:rsidRDefault="00A702C8">
          <w:pPr>
            <w:pStyle w:val="TDC1"/>
            <w:tabs>
              <w:tab w:val="right" w:leader="dot" w:pos="9396"/>
            </w:tabs>
            <w:rPr>
              <w:rFonts w:asciiTheme="minorHAnsi" w:hAnsiTheme="minorHAnsi"/>
              <w:noProof/>
              <w:kern w:val="2"/>
              <w:sz w:val="24"/>
              <w:szCs w:val="24"/>
              <w:lang w:val="es-PE" w:eastAsia="es-PE"/>
              <w14:ligatures w14:val="standardContextual"/>
            </w:rPr>
          </w:pPr>
          <w:hyperlink w:anchor="_Toc233146909" w:history="1">
            <w:r w:rsidRPr="007E501F">
              <w:rPr>
                <w:rStyle w:val="Hipervnculo"/>
                <w:noProof/>
              </w:rPr>
              <w:t>3. Identificación de Amenazas y Vulnerabilidades</w:t>
            </w:r>
            <w:r>
              <w:rPr>
                <w:noProof/>
                <w:webHidden/>
              </w:rPr>
              <w:tab/>
            </w:r>
            <w:r>
              <w:rPr>
                <w:noProof/>
                <w:webHidden/>
              </w:rPr>
              <w:fldChar w:fldCharType="begin"/>
            </w:r>
            <w:r>
              <w:rPr>
                <w:noProof/>
                <w:webHidden/>
              </w:rPr>
              <w:instrText xml:space="preserve"> PAGEREF _Toc233146909 \h </w:instrText>
            </w:r>
            <w:r>
              <w:rPr>
                <w:noProof/>
                <w:webHidden/>
              </w:rPr>
            </w:r>
            <w:r>
              <w:rPr>
                <w:noProof/>
                <w:webHidden/>
              </w:rPr>
              <w:fldChar w:fldCharType="separate"/>
            </w:r>
            <w:r>
              <w:rPr>
                <w:noProof/>
                <w:webHidden/>
              </w:rPr>
              <w:t>4</w:t>
            </w:r>
            <w:r>
              <w:rPr>
                <w:noProof/>
                <w:webHidden/>
              </w:rPr>
              <w:fldChar w:fldCharType="end"/>
            </w:r>
          </w:hyperlink>
        </w:p>
        <w:p w14:paraId="278FC2C9" w14:textId="7124582A" w:rsidR="00A702C8" w:rsidRDefault="00A702C8">
          <w:pPr>
            <w:pStyle w:val="TDC2"/>
            <w:tabs>
              <w:tab w:val="right" w:leader="dot" w:pos="9396"/>
            </w:tabs>
            <w:rPr>
              <w:rFonts w:asciiTheme="minorHAnsi" w:hAnsiTheme="minorHAnsi"/>
              <w:noProof/>
              <w:kern w:val="2"/>
              <w:sz w:val="24"/>
              <w:szCs w:val="24"/>
              <w:lang w:val="es-PE" w:eastAsia="es-PE"/>
              <w14:ligatures w14:val="standardContextual"/>
            </w:rPr>
          </w:pPr>
          <w:hyperlink w:anchor="_Toc233146910" w:history="1">
            <w:r w:rsidRPr="007E501F">
              <w:rPr>
                <w:rStyle w:val="Hipervnculo"/>
                <w:noProof/>
              </w:rPr>
              <w:t>3.1 Principales amenazas</w:t>
            </w:r>
            <w:r>
              <w:rPr>
                <w:noProof/>
                <w:webHidden/>
              </w:rPr>
              <w:tab/>
            </w:r>
            <w:r>
              <w:rPr>
                <w:noProof/>
                <w:webHidden/>
              </w:rPr>
              <w:fldChar w:fldCharType="begin"/>
            </w:r>
            <w:r>
              <w:rPr>
                <w:noProof/>
                <w:webHidden/>
              </w:rPr>
              <w:instrText xml:space="preserve"> PAGEREF _Toc233146910 \h </w:instrText>
            </w:r>
            <w:r>
              <w:rPr>
                <w:noProof/>
                <w:webHidden/>
              </w:rPr>
            </w:r>
            <w:r>
              <w:rPr>
                <w:noProof/>
                <w:webHidden/>
              </w:rPr>
              <w:fldChar w:fldCharType="separate"/>
            </w:r>
            <w:r>
              <w:rPr>
                <w:noProof/>
                <w:webHidden/>
              </w:rPr>
              <w:t>4</w:t>
            </w:r>
            <w:r>
              <w:rPr>
                <w:noProof/>
                <w:webHidden/>
              </w:rPr>
              <w:fldChar w:fldCharType="end"/>
            </w:r>
          </w:hyperlink>
        </w:p>
        <w:p w14:paraId="513066B8" w14:textId="1EB2EF6A" w:rsidR="00A702C8" w:rsidRDefault="00A702C8">
          <w:pPr>
            <w:pStyle w:val="TDC2"/>
            <w:tabs>
              <w:tab w:val="right" w:leader="dot" w:pos="9396"/>
            </w:tabs>
            <w:rPr>
              <w:rFonts w:asciiTheme="minorHAnsi" w:hAnsiTheme="minorHAnsi"/>
              <w:noProof/>
              <w:kern w:val="2"/>
              <w:sz w:val="24"/>
              <w:szCs w:val="24"/>
              <w:lang w:val="es-PE" w:eastAsia="es-PE"/>
              <w14:ligatures w14:val="standardContextual"/>
            </w:rPr>
          </w:pPr>
          <w:hyperlink w:anchor="_Toc233146911" w:history="1">
            <w:r w:rsidRPr="007E501F">
              <w:rPr>
                <w:rStyle w:val="Hipervnculo"/>
                <w:noProof/>
              </w:rPr>
              <w:t>3.2 Principales vulnerabilidades</w:t>
            </w:r>
            <w:r>
              <w:rPr>
                <w:noProof/>
                <w:webHidden/>
              </w:rPr>
              <w:tab/>
            </w:r>
            <w:r>
              <w:rPr>
                <w:noProof/>
                <w:webHidden/>
              </w:rPr>
              <w:fldChar w:fldCharType="begin"/>
            </w:r>
            <w:r>
              <w:rPr>
                <w:noProof/>
                <w:webHidden/>
              </w:rPr>
              <w:instrText xml:space="preserve"> PAGEREF _Toc233146911 \h </w:instrText>
            </w:r>
            <w:r>
              <w:rPr>
                <w:noProof/>
                <w:webHidden/>
              </w:rPr>
            </w:r>
            <w:r>
              <w:rPr>
                <w:noProof/>
                <w:webHidden/>
              </w:rPr>
              <w:fldChar w:fldCharType="separate"/>
            </w:r>
            <w:r>
              <w:rPr>
                <w:noProof/>
                <w:webHidden/>
              </w:rPr>
              <w:t>5</w:t>
            </w:r>
            <w:r>
              <w:rPr>
                <w:noProof/>
                <w:webHidden/>
              </w:rPr>
              <w:fldChar w:fldCharType="end"/>
            </w:r>
          </w:hyperlink>
        </w:p>
        <w:p w14:paraId="48E1888B" w14:textId="3844817D" w:rsidR="00A702C8" w:rsidRDefault="00A702C8">
          <w:pPr>
            <w:pStyle w:val="TDC1"/>
            <w:tabs>
              <w:tab w:val="right" w:leader="dot" w:pos="9396"/>
            </w:tabs>
            <w:rPr>
              <w:rFonts w:asciiTheme="minorHAnsi" w:hAnsiTheme="minorHAnsi"/>
              <w:noProof/>
              <w:kern w:val="2"/>
              <w:sz w:val="24"/>
              <w:szCs w:val="24"/>
              <w:lang w:val="es-PE" w:eastAsia="es-PE"/>
              <w14:ligatures w14:val="standardContextual"/>
            </w:rPr>
          </w:pPr>
          <w:hyperlink w:anchor="_Toc233146912" w:history="1">
            <w:r w:rsidRPr="007E501F">
              <w:rPr>
                <w:rStyle w:val="Hipervnculo"/>
                <w:noProof/>
              </w:rPr>
              <w:t>4. Matriz de Riesgos</w:t>
            </w:r>
            <w:r>
              <w:rPr>
                <w:noProof/>
                <w:webHidden/>
              </w:rPr>
              <w:tab/>
            </w:r>
            <w:r>
              <w:rPr>
                <w:noProof/>
                <w:webHidden/>
              </w:rPr>
              <w:fldChar w:fldCharType="begin"/>
            </w:r>
            <w:r>
              <w:rPr>
                <w:noProof/>
                <w:webHidden/>
              </w:rPr>
              <w:instrText xml:space="preserve"> PAGEREF _Toc233146912 \h </w:instrText>
            </w:r>
            <w:r>
              <w:rPr>
                <w:noProof/>
                <w:webHidden/>
              </w:rPr>
            </w:r>
            <w:r>
              <w:rPr>
                <w:noProof/>
                <w:webHidden/>
              </w:rPr>
              <w:fldChar w:fldCharType="separate"/>
            </w:r>
            <w:r>
              <w:rPr>
                <w:noProof/>
                <w:webHidden/>
              </w:rPr>
              <w:t>5</w:t>
            </w:r>
            <w:r>
              <w:rPr>
                <w:noProof/>
                <w:webHidden/>
              </w:rPr>
              <w:fldChar w:fldCharType="end"/>
            </w:r>
          </w:hyperlink>
        </w:p>
        <w:p w14:paraId="0F402553" w14:textId="2304D1D5" w:rsidR="00A702C8" w:rsidRDefault="00A702C8">
          <w:pPr>
            <w:pStyle w:val="TDC1"/>
            <w:tabs>
              <w:tab w:val="right" w:leader="dot" w:pos="9396"/>
            </w:tabs>
            <w:rPr>
              <w:rFonts w:asciiTheme="minorHAnsi" w:hAnsiTheme="minorHAnsi"/>
              <w:noProof/>
              <w:kern w:val="2"/>
              <w:sz w:val="24"/>
              <w:szCs w:val="24"/>
              <w:lang w:val="es-PE" w:eastAsia="es-PE"/>
              <w14:ligatures w14:val="standardContextual"/>
            </w:rPr>
          </w:pPr>
          <w:hyperlink w:anchor="_Toc233146913" w:history="1">
            <w:r w:rsidRPr="007E501F">
              <w:rPr>
                <w:rStyle w:val="Hipervnculo"/>
                <w:noProof/>
              </w:rPr>
              <w:t>5. Indicadores Clave de Riesgo (KRIs)</w:t>
            </w:r>
            <w:r>
              <w:rPr>
                <w:noProof/>
                <w:webHidden/>
              </w:rPr>
              <w:tab/>
            </w:r>
            <w:r>
              <w:rPr>
                <w:noProof/>
                <w:webHidden/>
              </w:rPr>
              <w:fldChar w:fldCharType="begin"/>
            </w:r>
            <w:r>
              <w:rPr>
                <w:noProof/>
                <w:webHidden/>
              </w:rPr>
              <w:instrText xml:space="preserve"> PAGEREF _Toc233146913 \h </w:instrText>
            </w:r>
            <w:r>
              <w:rPr>
                <w:noProof/>
                <w:webHidden/>
              </w:rPr>
            </w:r>
            <w:r>
              <w:rPr>
                <w:noProof/>
                <w:webHidden/>
              </w:rPr>
              <w:fldChar w:fldCharType="separate"/>
            </w:r>
            <w:r>
              <w:rPr>
                <w:noProof/>
                <w:webHidden/>
              </w:rPr>
              <w:t>6</w:t>
            </w:r>
            <w:r>
              <w:rPr>
                <w:noProof/>
                <w:webHidden/>
              </w:rPr>
              <w:fldChar w:fldCharType="end"/>
            </w:r>
          </w:hyperlink>
        </w:p>
        <w:p w14:paraId="2AE4990D" w14:textId="19BA9664" w:rsidR="00A702C8" w:rsidRDefault="00A702C8">
          <w:pPr>
            <w:pStyle w:val="TDC1"/>
            <w:tabs>
              <w:tab w:val="right" w:leader="dot" w:pos="9396"/>
            </w:tabs>
            <w:rPr>
              <w:rFonts w:asciiTheme="minorHAnsi" w:hAnsiTheme="minorHAnsi"/>
              <w:noProof/>
              <w:kern w:val="2"/>
              <w:sz w:val="24"/>
              <w:szCs w:val="24"/>
              <w:lang w:val="es-PE" w:eastAsia="es-PE"/>
              <w14:ligatures w14:val="standardContextual"/>
            </w:rPr>
          </w:pPr>
          <w:hyperlink w:anchor="_Toc233146914" w:history="1">
            <w:r w:rsidRPr="007E501F">
              <w:rPr>
                <w:rStyle w:val="Hipervnculo"/>
                <w:noProof/>
              </w:rPr>
              <w:t>6. Propuesta de Controles según Marcos de Referencia</w:t>
            </w:r>
            <w:r>
              <w:rPr>
                <w:noProof/>
                <w:webHidden/>
              </w:rPr>
              <w:tab/>
            </w:r>
            <w:r>
              <w:rPr>
                <w:noProof/>
                <w:webHidden/>
              </w:rPr>
              <w:fldChar w:fldCharType="begin"/>
            </w:r>
            <w:r>
              <w:rPr>
                <w:noProof/>
                <w:webHidden/>
              </w:rPr>
              <w:instrText xml:space="preserve"> PAGEREF _Toc233146914 \h </w:instrText>
            </w:r>
            <w:r>
              <w:rPr>
                <w:noProof/>
                <w:webHidden/>
              </w:rPr>
            </w:r>
            <w:r>
              <w:rPr>
                <w:noProof/>
                <w:webHidden/>
              </w:rPr>
              <w:fldChar w:fldCharType="separate"/>
            </w:r>
            <w:r>
              <w:rPr>
                <w:noProof/>
                <w:webHidden/>
              </w:rPr>
              <w:t>6</w:t>
            </w:r>
            <w:r>
              <w:rPr>
                <w:noProof/>
                <w:webHidden/>
              </w:rPr>
              <w:fldChar w:fldCharType="end"/>
            </w:r>
          </w:hyperlink>
        </w:p>
        <w:p w14:paraId="1ED04E88" w14:textId="71BC439D" w:rsidR="00A702C8" w:rsidRDefault="00A702C8">
          <w:pPr>
            <w:pStyle w:val="TDC1"/>
            <w:tabs>
              <w:tab w:val="right" w:leader="dot" w:pos="9396"/>
            </w:tabs>
            <w:rPr>
              <w:rFonts w:asciiTheme="minorHAnsi" w:hAnsiTheme="minorHAnsi"/>
              <w:noProof/>
              <w:kern w:val="2"/>
              <w:sz w:val="24"/>
              <w:szCs w:val="24"/>
              <w:lang w:val="es-PE" w:eastAsia="es-PE"/>
              <w14:ligatures w14:val="standardContextual"/>
            </w:rPr>
          </w:pPr>
          <w:hyperlink w:anchor="_Toc233146915" w:history="1">
            <w:r w:rsidRPr="007E501F">
              <w:rPr>
                <w:rStyle w:val="Hipervnculo"/>
                <w:noProof/>
              </w:rPr>
              <w:t>7. Conclusiones y Recomendaciones</w:t>
            </w:r>
            <w:r>
              <w:rPr>
                <w:noProof/>
                <w:webHidden/>
              </w:rPr>
              <w:tab/>
            </w:r>
            <w:r>
              <w:rPr>
                <w:noProof/>
                <w:webHidden/>
              </w:rPr>
              <w:fldChar w:fldCharType="begin"/>
            </w:r>
            <w:r>
              <w:rPr>
                <w:noProof/>
                <w:webHidden/>
              </w:rPr>
              <w:instrText xml:space="preserve"> PAGEREF _Toc233146915 \h </w:instrText>
            </w:r>
            <w:r>
              <w:rPr>
                <w:noProof/>
                <w:webHidden/>
              </w:rPr>
            </w:r>
            <w:r>
              <w:rPr>
                <w:noProof/>
                <w:webHidden/>
              </w:rPr>
              <w:fldChar w:fldCharType="separate"/>
            </w:r>
            <w:r>
              <w:rPr>
                <w:noProof/>
                <w:webHidden/>
              </w:rPr>
              <w:t>7</w:t>
            </w:r>
            <w:r>
              <w:rPr>
                <w:noProof/>
                <w:webHidden/>
              </w:rPr>
              <w:fldChar w:fldCharType="end"/>
            </w:r>
          </w:hyperlink>
        </w:p>
        <w:p w14:paraId="386183D5" w14:textId="27E0DC30" w:rsidR="00A702C8" w:rsidRDefault="00A702C8">
          <w:pPr>
            <w:pStyle w:val="TDC2"/>
            <w:tabs>
              <w:tab w:val="right" w:leader="dot" w:pos="9396"/>
            </w:tabs>
            <w:rPr>
              <w:rFonts w:asciiTheme="minorHAnsi" w:hAnsiTheme="minorHAnsi"/>
              <w:noProof/>
              <w:kern w:val="2"/>
              <w:sz w:val="24"/>
              <w:szCs w:val="24"/>
              <w:lang w:val="es-PE" w:eastAsia="es-PE"/>
              <w14:ligatures w14:val="standardContextual"/>
            </w:rPr>
          </w:pPr>
          <w:hyperlink w:anchor="_Toc233146916" w:history="1">
            <w:r w:rsidRPr="007E501F">
              <w:rPr>
                <w:rStyle w:val="Hipervnculo"/>
                <w:noProof/>
              </w:rPr>
              <w:t>7.1 Conclusiones</w:t>
            </w:r>
            <w:r>
              <w:rPr>
                <w:noProof/>
                <w:webHidden/>
              </w:rPr>
              <w:tab/>
            </w:r>
            <w:r>
              <w:rPr>
                <w:noProof/>
                <w:webHidden/>
              </w:rPr>
              <w:fldChar w:fldCharType="begin"/>
            </w:r>
            <w:r>
              <w:rPr>
                <w:noProof/>
                <w:webHidden/>
              </w:rPr>
              <w:instrText xml:space="preserve"> PAGEREF _Toc233146916 \h </w:instrText>
            </w:r>
            <w:r>
              <w:rPr>
                <w:noProof/>
                <w:webHidden/>
              </w:rPr>
            </w:r>
            <w:r>
              <w:rPr>
                <w:noProof/>
                <w:webHidden/>
              </w:rPr>
              <w:fldChar w:fldCharType="separate"/>
            </w:r>
            <w:r>
              <w:rPr>
                <w:noProof/>
                <w:webHidden/>
              </w:rPr>
              <w:t>7</w:t>
            </w:r>
            <w:r>
              <w:rPr>
                <w:noProof/>
                <w:webHidden/>
              </w:rPr>
              <w:fldChar w:fldCharType="end"/>
            </w:r>
          </w:hyperlink>
        </w:p>
        <w:p w14:paraId="100B66B6" w14:textId="5BCD0C15" w:rsidR="00A702C8" w:rsidRDefault="00A702C8">
          <w:pPr>
            <w:pStyle w:val="TDC2"/>
            <w:tabs>
              <w:tab w:val="right" w:leader="dot" w:pos="9396"/>
            </w:tabs>
            <w:rPr>
              <w:rFonts w:asciiTheme="minorHAnsi" w:hAnsiTheme="minorHAnsi"/>
              <w:noProof/>
              <w:kern w:val="2"/>
              <w:sz w:val="24"/>
              <w:szCs w:val="24"/>
              <w:lang w:val="es-PE" w:eastAsia="es-PE"/>
              <w14:ligatures w14:val="standardContextual"/>
            </w:rPr>
          </w:pPr>
          <w:hyperlink w:anchor="_Toc233146917" w:history="1">
            <w:r w:rsidRPr="007E501F">
              <w:rPr>
                <w:rStyle w:val="Hipervnculo"/>
                <w:noProof/>
              </w:rPr>
              <w:t>7.2 Recomendaciones</w:t>
            </w:r>
            <w:r>
              <w:rPr>
                <w:noProof/>
                <w:webHidden/>
              </w:rPr>
              <w:tab/>
            </w:r>
            <w:r>
              <w:rPr>
                <w:noProof/>
                <w:webHidden/>
              </w:rPr>
              <w:fldChar w:fldCharType="begin"/>
            </w:r>
            <w:r>
              <w:rPr>
                <w:noProof/>
                <w:webHidden/>
              </w:rPr>
              <w:instrText xml:space="preserve"> PAGEREF _Toc233146917 \h </w:instrText>
            </w:r>
            <w:r>
              <w:rPr>
                <w:noProof/>
                <w:webHidden/>
              </w:rPr>
            </w:r>
            <w:r>
              <w:rPr>
                <w:noProof/>
                <w:webHidden/>
              </w:rPr>
              <w:fldChar w:fldCharType="separate"/>
            </w:r>
            <w:r>
              <w:rPr>
                <w:noProof/>
                <w:webHidden/>
              </w:rPr>
              <w:t>7</w:t>
            </w:r>
            <w:r>
              <w:rPr>
                <w:noProof/>
                <w:webHidden/>
              </w:rPr>
              <w:fldChar w:fldCharType="end"/>
            </w:r>
          </w:hyperlink>
        </w:p>
        <w:p w14:paraId="20700FEA" w14:textId="3C93FA62" w:rsidR="00A702C8" w:rsidRDefault="00A702C8">
          <w:pPr>
            <w:pStyle w:val="TDC1"/>
            <w:tabs>
              <w:tab w:val="right" w:leader="dot" w:pos="9396"/>
            </w:tabs>
            <w:rPr>
              <w:rFonts w:asciiTheme="minorHAnsi" w:hAnsiTheme="minorHAnsi"/>
              <w:noProof/>
              <w:kern w:val="2"/>
              <w:sz w:val="24"/>
              <w:szCs w:val="24"/>
              <w:lang w:val="es-PE" w:eastAsia="es-PE"/>
              <w14:ligatures w14:val="standardContextual"/>
            </w:rPr>
          </w:pPr>
          <w:hyperlink w:anchor="_Toc233146918" w:history="1">
            <w:r w:rsidRPr="007E501F">
              <w:rPr>
                <w:rStyle w:val="Hipervnculo"/>
                <w:noProof/>
              </w:rPr>
              <w:t>8. Bibliografía</w:t>
            </w:r>
            <w:r>
              <w:rPr>
                <w:noProof/>
                <w:webHidden/>
              </w:rPr>
              <w:tab/>
            </w:r>
            <w:r>
              <w:rPr>
                <w:noProof/>
                <w:webHidden/>
              </w:rPr>
              <w:fldChar w:fldCharType="begin"/>
            </w:r>
            <w:r>
              <w:rPr>
                <w:noProof/>
                <w:webHidden/>
              </w:rPr>
              <w:instrText xml:space="preserve"> PAGEREF _Toc233146918 \h </w:instrText>
            </w:r>
            <w:r>
              <w:rPr>
                <w:noProof/>
                <w:webHidden/>
              </w:rPr>
            </w:r>
            <w:r>
              <w:rPr>
                <w:noProof/>
                <w:webHidden/>
              </w:rPr>
              <w:fldChar w:fldCharType="separate"/>
            </w:r>
            <w:r>
              <w:rPr>
                <w:noProof/>
                <w:webHidden/>
              </w:rPr>
              <w:t>8</w:t>
            </w:r>
            <w:r>
              <w:rPr>
                <w:noProof/>
                <w:webHidden/>
              </w:rPr>
              <w:fldChar w:fldCharType="end"/>
            </w:r>
          </w:hyperlink>
        </w:p>
        <w:p w14:paraId="5A4EA45B" w14:textId="13F95573" w:rsidR="00A702C8" w:rsidRDefault="00A702C8">
          <w:r>
            <w:rPr>
              <w:b/>
              <w:bCs/>
              <w:lang w:val="es-ES"/>
            </w:rPr>
            <w:fldChar w:fldCharType="end"/>
          </w:r>
        </w:p>
      </w:sdtContent>
    </w:sdt>
    <w:p w14:paraId="1420E2CD" w14:textId="5FAEB8C7" w:rsidR="006079E9" w:rsidRDefault="006079E9" w:rsidP="00A702C8">
      <w:pPr>
        <w:jc w:val="center"/>
      </w:pPr>
    </w:p>
    <w:p w14:paraId="5AA89DB4" w14:textId="77777777" w:rsidR="00A702C8" w:rsidRDefault="00000000" w:rsidP="00A702C8">
      <w:pPr>
        <w:jc w:val="both"/>
      </w:pPr>
      <w:r>
        <w:br w:type="page"/>
      </w:r>
    </w:p>
    <w:p w14:paraId="1FC0BEBA" w14:textId="77777777" w:rsidR="006079E9" w:rsidRDefault="00000000" w:rsidP="001A5773">
      <w:pPr>
        <w:pStyle w:val="Ttulo1"/>
        <w:jc w:val="both"/>
      </w:pPr>
      <w:bookmarkStart w:id="0" w:name="_Toc233146907"/>
      <w:r>
        <w:rPr>
          <w:color w:val="1F3864"/>
        </w:rPr>
        <w:lastRenderedPageBreak/>
        <w:t xml:space="preserve">1. </w:t>
      </w:r>
      <w:proofErr w:type="spellStart"/>
      <w:r>
        <w:rPr>
          <w:color w:val="1F3864"/>
        </w:rPr>
        <w:t>Antecedentes</w:t>
      </w:r>
      <w:proofErr w:type="spellEnd"/>
      <w:r>
        <w:rPr>
          <w:color w:val="1F3864"/>
        </w:rPr>
        <w:t xml:space="preserve"> de la Organización</w:t>
      </w:r>
      <w:bookmarkEnd w:id="0"/>
    </w:p>
    <w:p w14:paraId="40619FA4" w14:textId="168579B5" w:rsidR="006079E9" w:rsidRDefault="00000000" w:rsidP="001A5773">
      <w:pPr>
        <w:jc w:val="both"/>
      </w:pPr>
      <w:r>
        <w:t xml:space="preserve">SolarWinds Corporation es </w:t>
      </w:r>
      <w:proofErr w:type="spellStart"/>
      <w:r>
        <w:t>una</w:t>
      </w:r>
      <w:proofErr w:type="spellEnd"/>
      <w:r>
        <w:t xml:space="preserve"> empresa estadounidense de software de gestión de infraestructura de Tecnologías de la Información (TI), fundada en 1999 y con sede en Austin, Texas. Su producto insignia, el Orion Platform, es una suite de monitoreo y gestión de redes, servidores, bases de datos y aplicaciones, utilizada al momento del incidente por aproximadamente 300,000 clientes a nivel mundial, entre los que se encontraban 425 de las empresas Fortune 500 de Estados Unidos, las diez principales compañías de telecomunicaciones del país, las cinco principales firmas de contabilidad, todas las ramas de las Fuerzas Armadas de EE.UU. y múltiples agencias del gobierno federal estadounidense, incluyendo los Departamentos del Tesoro, Comercio, Estado, Energía (y su Administración Nacional de Seguridad Nuclear, NNSA), Seguridad Nacional (DHS) y Justicia.</w:t>
      </w:r>
    </w:p>
    <w:p w14:paraId="7C3627A6" w14:textId="1E38829A" w:rsidR="006079E9" w:rsidRDefault="00000000" w:rsidP="001A5773">
      <w:pPr>
        <w:jc w:val="both"/>
      </w:pPr>
      <w:r>
        <w:t xml:space="preserve">La </w:t>
      </w:r>
      <w:proofErr w:type="spellStart"/>
      <w:r>
        <w:t>compañía</w:t>
      </w:r>
      <w:proofErr w:type="spellEnd"/>
      <w:r>
        <w:t xml:space="preserve">, </w:t>
      </w:r>
      <w:proofErr w:type="spellStart"/>
      <w:r>
        <w:t>que</w:t>
      </w:r>
      <w:proofErr w:type="spellEnd"/>
      <w:r>
        <w:t xml:space="preserve"> </w:t>
      </w:r>
      <w:proofErr w:type="spellStart"/>
      <w:r>
        <w:t>cotiza</w:t>
      </w:r>
      <w:proofErr w:type="spellEnd"/>
      <w:r>
        <w:t xml:space="preserve"> en la bolsa de Nueva York (NYSE: SWI) y contaba con cerca de 3,200 empleados, constituye un eslabón crítico de la cadena de suministro de software (software supply chain) global, dado que sus actualizaciones se distribuyen e instalan con privilegios elevados en las redes corporativas y gubernamentales de sus clientes.</w:t>
      </w:r>
    </w:p>
    <w:p w14:paraId="449BF9AD" w14:textId="29B8CC94" w:rsidR="006079E9" w:rsidRDefault="00000000" w:rsidP="001A5773">
      <w:pPr>
        <w:jc w:val="both"/>
      </w:pPr>
      <w:r>
        <w:t xml:space="preserve">En </w:t>
      </w:r>
      <w:proofErr w:type="spellStart"/>
      <w:r>
        <w:t>septiembre</w:t>
      </w:r>
      <w:proofErr w:type="spellEnd"/>
      <w:r>
        <w:t xml:space="preserve"> de 2019, un grupo de amenaza persistente avanzada (APT) atribuido por el gobierno de Estados Unidos al Servicio de Inteligencia Exterior de Rusia (SVR) — identificado por Microsoft como Nobelium/APT29 y por FireEye como UNC2452 — logró comprometer el entorno de desarrollo y compilación (build system) del Orion Platform. Los atacantes insertaron una puerta trasera denominada SUNBURST dentro del código fuente legítimo, la cual fue compilada, firmada digitalmente con el certificado oficial de SolarWinds y distribuida como una actualización de software auténtica a aproximadamente 18,000 clientes entre marzo y junio de 2020.</w:t>
      </w:r>
    </w:p>
    <w:p w14:paraId="2EC62AC1" w14:textId="2AB79BC8" w:rsidR="006079E9" w:rsidRDefault="00A702C8" w:rsidP="001A5773">
      <w:pPr>
        <w:jc w:val="both"/>
      </w:pPr>
      <w:r w:rsidRPr="00A702C8">
        <w:drawing>
          <wp:anchor distT="0" distB="0" distL="114300" distR="114300" simplePos="0" relativeHeight="251665408" behindDoc="0" locked="0" layoutInCell="1" allowOverlap="1" wp14:anchorId="1F63D49A" wp14:editId="2FD928E7">
            <wp:simplePos x="0" y="0"/>
            <wp:positionH relativeFrom="column">
              <wp:posOffset>-23495</wp:posOffset>
            </wp:positionH>
            <wp:positionV relativeFrom="paragraph">
              <wp:posOffset>2251710</wp:posOffset>
            </wp:positionV>
            <wp:extent cx="2723825" cy="1733550"/>
            <wp:effectExtent l="38100" t="38100" r="38735" b="38100"/>
            <wp:wrapNone/>
            <wp:docPr id="4264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5672" name=""/>
                    <pic:cNvPicPr/>
                  </pic:nvPicPr>
                  <pic:blipFill>
                    <a:blip r:embed="rId9"/>
                    <a:stretch>
                      <a:fillRect/>
                    </a:stretch>
                  </pic:blipFill>
                  <pic:spPr>
                    <a:xfrm>
                      <a:off x="0" y="0"/>
                      <a:ext cx="2725065" cy="1734339"/>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Pr="00A702C8">
        <w:drawing>
          <wp:anchor distT="0" distB="0" distL="114300" distR="114300" simplePos="0" relativeHeight="251658240" behindDoc="0" locked="0" layoutInCell="1" allowOverlap="1" wp14:anchorId="6B2CF555" wp14:editId="390304C7">
            <wp:simplePos x="0" y="0"/>
            <wp:positionH relativeFrom="column">
              <wp:posOffset>2948305</wp:posOffset>
            </wp:positionH>
            <wp:positionV relativeFrom="paragraph">
              <wp:posOffset>2250440</wp:posOffset>
            </wp:positionV>
            <wp:extent cx="3092450" cy="1734389"/>
            <wp:effectExtent l="38100" t="38100" r="31750" b="37465"/>
            <wp:wrapNone/>
            <wp:docPr id="1996102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02344" name=""/>
                    <pic:cNvPicPr/>
                  </pic:nvPicPr>
                  <pic:blipFill>
                    <a:blip r:embed="rId10"/>
                    <a:stretch>
                      <a:fillRect/>
                    </a:stretch>
                  </pic:blipFill>
                  <pic:spPr>
                    <a:xfrm>
                      <a:off x="0" y="0"/>
                      <a:ext cx="3092450" cy="1734389"/>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000000">
        <w:t xml:space="preserve">De </w:t>
      </w:r>
      <w:proofErr w:type="spellStart"/>
      <w:r w:rsidR="00000000">
        <w:t>este</w:t>
      </w:r>
      <w:proofErr w:type="spellEnd"/>
      <w:r w:rsidR="00000000">
        <w:t xml:space="preserve"> </w:t>
      </w:r>
      <w:proofErr w:type="spellStart"/>
      <w:r w:rsidR="00000000">
        <w:t>universo</w:t>
      </w:r>
      <w:proofErr w:type="spellEnd"/>
      <w:r w:rsidR="00000000">
        <w:t xml:space="preserve"> de clientes infectados, los atacantes seleccionaron manualmente un subconjunto de aproximadamente 100 organizaciones de alto valor — entre ellas Microsoft, FireEye, Cisco, Intel, Deloitte y nueve agencias federales estadounidenses — para desplegar herramientas adicionales (TEARDROP, RAINDROP) y técnicas de falsificación de tokens de autenticación (Golden SAML), logrando acceso persistente a correos electrónicos, documentos y entornos en la nube (Microsoft 365 / Azure Active Directory). El incidente fue descubierto el 8 de diciembre de 2020 por la empresa de ciberseguridad FireEye, al investigar el robo de sus propias herramientas de Red Team, rastreo que condujo hasta la actualización comprometida de Orion. Para entonces, los atacantes habían mantenido acceso no detectado durante más de 14 meses, lo que convirtió al caso SolarWinds/Sunburst en uno de los ataques a la cadena de suministro de software más sofisticados, extensos y de mayor impacto geopolítico </w:t>
      </w:r>
      <w:proofErr w:type="spellStart"/>
      <w:r w:rsidR="00000000">
        <w:t>registrados</w:t>
      </w:r>
      <w:proofErr w:type="spellEnd"/>
      <w:r w:rsidR="00000000">
        <w:t xml:space="preserve"> hasta la </w:t>
      </w:r>
      <w:proofErr w:type="spellStart"/>
      <w:r w:rsidR="00000000">
        <w:t>fecha</w:t>
      </w:r>
      <w:proofErr w:type="spellEnd"/>
      <w:r w:rsidR="00000000">
        <w:t>.</w:t>
      </w:r>
    </w:p>
    <w:p w14:paraId="481CA96D" w14:textId="14D0D63D" w:rsidR="00A702C8" w:rsidRDefault="00A702C8" w:rsidP="001A5773">
      <w:pPr>
        <w:jc w:val="both"/>
      </w:pPr>
    </w:p>
    <w:p w14:paraId="25623C1B" w14:textId="42B2104E" w:rsidR="00A702C8" w:rsidRDefault="00A702C8" w:rsidP="001A5773">
      <w:pPr>
        <w:jc w:val="both"/>
      </w:pPr>
    </w:p>
    <w:p w14:paraId="14F39328" w14:textId="1CF9B25D" w:rsidR="00A702C8" w:rsidRDefault="00A702C8" w:rsidP="001A5773">
      <w:pPr>
        <w:jc w:val="both"/>
      </w:pPr>
    </w:p>
    <w:p w14:paraId="0362FDD7" w14:textId="77777777" w:rsidR="006079E9" w:rsidRDefault="00000000" w:rsidP="001A5773">
      <w:pPr>
        <w:pStyle w:val="Ttulo1"/>
        <w:jc w:val="both"/>
      </w:pPr>
      <w:bookmarkStart w:id="1" w:name="_Toc233146857"/>
      <w:bookmarkStart w:id="2" w:name="_Toc233146908"/>
      <w:r>
        <w:rPr>
          <w:color w:val="1F3864"/>
        </w:rPr>
        <w:lastRenderedPageBreak/>
        <w:t>2. Identificación de Activos de Información</w:t>
      </w:r>
      <w:bookmarkEnd w:id="1"/>
      <w:bookmarkEnd w:id="2"/>
    </w:p>
    <w:p w14:paraId="07B0DEC6" w14:textId="77777777" w:rsidR="006079E9" w:rsidRDefault="00000000" w:rsidP="001A5773">
      <w:pPr>
        <w:jc w:val="both"/>
      </w:pPr>
      <w:r>
        <w:t>De acuerdo con la norma UNE 71504:2008 y los marcos ISO/IEC 27001:2022 y NIST SP 800-30, se identifican los siguientes activos críticos involucrados en el caso SolarWinds, clasificados según su tipo, responsable y nivel de criticidad:</w:t>
      </w:r>
    </w:p>
    <w:tbl>
      <w:tblPr>
        <w:tblStyle w:val="Tablaconcuadrcula"/>
        <w:tblW w:w="0" w:type="auto"/>
        <w:jc w:val="center"/>
        <w:tblLook w:val="04A0" w:firstRow="1" w:lastRow="0" w:firstColumn="1" w:lastColumn="0" w:noHBand="0" w:noVBand="1"/>
      </w:tblPr>
      <w:tblGrid>
        <w:gridCol w:w="1318"/>
        <w:gridCol w:w="2268"/>
        <w:gridCol w:w="3118"/>
        <w:gridCol w:w="1531"/>
        <w:gridCol w:w="1020"/>
      </w:tblGrid>
      <w:tr w:rsidR="006079E9" w14:paraId="293FEFCE" w14:textId="77777777">
        <w:trPr>
          <w:jc w:val="center"/>
        </w:trPr>
        <w:tc>
          <w:tcPr>
            <w:tcW w:w="1304" w:type="dxa"/>
            <w:shd w:val="clear" w:color="auto" w:fill="1F3864"/>
          </w:tcPr>
          <w:p w14:paraId="275F1837" w14:textId="77777777" w:rsidR="006079E9" w:rsidRDefault="00000000" w:rsidP="001A5773">
            <w:pPr>
              <w:jc w:val="both"/>
            </w:pPr>
            <w:r>
              <w:rPr>
                <w:b/>
                <w:color w:val="FFFFFF"/>
                <w:sz w:val="18"/>
              </w:rPr>
              <w:t>Tipo</w:t>
            </w:r>
          </w:p>
        </w:tc>
        <w:tc>
          <w:tcPr>
            <w:tcW w:w="2268" w:type="dxa"/>
            <w:shd w:val="clear" w:color="auto" w:fill="1F3864"/>
          </w:tcPr>
          <w:p w14:paraId="0630B7FF" w14:textId="77777777" w:rsidR="006079E9" w:rsidRDefault="00000000" w:rsidP="001A5773">
            <w:pPr>
              <w:jc w:val="both"/>
            </w:pPr>
            <w:r>
              <w:rPr>
                <w:b/>
                <w:color w:val="FFFFFF"/>
                <w:sz w:val="18"/>
              </w:rPr>
              <w:t>Activo</w:t>
            </w:r>
          </w:p>
        </w:tc>
        <w:tc>
          <w:tcPr>
            <w:tcW w:w="3118" w:type="dxa"/>
            <w:shd w:val="clear" w:color="auto" w:fill="1F3864"/>
          </w:tcPr>
          <w:p w14:paraId="160F6617" w14:textId="77777777" w:rsidR="006079E9" w:rsidRDefault="00000000" w:rsidP="001A5773">
            <w:pPr>
              <w:jc w:val="both"/>
            </w:pPr>
            <w:r>
              <w:rPr>
                <w:b/>
                <w:color w:val="FFFFFF"/>
                <w:sz w:val="18"/>
              </w:rPr>
              <w:t>Descripción</w:t>
            </w:r>
          </w:p>
        </w:tc>
        <w:tc>
          <w:tcPr>
            <w:tcW w:w="1531" w:type="dxa"/>
            <w:shd w:val="clear" w:color="auto" w:fill="1F3864"/>
          </w:tcPr>
          <w:p w14:paraId="67CC3986" w14:textId="77777777" w:rsidR="006079E9" w:rsidRDefault="00000000" w:rsidP="001A5773">
            <w:pPr>
              <w:jc w:val="both"/>
            </w:pPr>
            <w:r>
              <w:rPr>
                <w:b/>
                <w:color w:val="FFFFFF"/>
                <w:sz w:val="18"/>
              </w:rPr>
              <w:t>Responsable</w:t>
            </w:r>
          </w:p>
        </w:tc>
        <w:tc>
          <w:tcPr>
            <w:tcW w:w="1020" w:type="dxa"/>
            <w:shd w:val="clear" w:color="auto" w:fill="1F3864"/>
          </w:tcPr>
          <w:p w14:paraId="20C7BA39" w14:textId="77777777" w:rsidR="006079E9" w:rsidRDefault="00000000" w:rsidP="001A5773">
            <w:pPr>
              <w:jc w:val="both"/>
            </w:pPr>
            <w:r>
              <w:rPr>
                <w:b/>
                <w:color w:val="FFFFFF"/>
                <w:sz w:val="18"/>
              </w:rPr>
              <w:t>Criticidad</w:t>
            </w:r>
          </w:p>
        </w:tc>
      </w:tr>
      <w:tr w:rsidR="006079E9" w14:paraId="0CD44E05" w14:textId="77777777">
        <w:trPr>
          <w:jc w:val="center"/>
        </w:trPr>
        <w:tc>
          <w:tcPr>
            <w:tcW w:w="1304" w:type="dxa"/>
          </w:tcPr>
          <w:p w14:paraId="14DF762C" w14:textId="77777777" w:rsidR="006079E9" w:rsidRDefault="00000000" w:rsidP="001A5773">
            <w:pPr>
              <w:jc w:val="both"/>
            </w:pPr>
            <w:r>
              <w:rPr>
                <w:sz w:val="18"/>
              </w:rPr>
              <w:t>Software</w:t>
            </w:r>
          </w:p>
        </w:tc>
        <w:tc>
          <w:tcPr>
            <w:tcW w:w="2268" w:type="dxa"/>
          </w:tcPr>
          <w:p w14:paraId="5BC542A2" w14:textId="77777777" w:rsidR="006079E9" w:rsidRDefault="00000000" w:rsidP="001A5773">
            <w:pPr>
              <w:jc w:val="both"/>
            </w:pPr>
            <w:r>
              <w:rPr>
                <w:sz w:val="18"/>
              </w:rPr>
              <w:t>Código fuente del Orion Platform</w:t>
            </w:r>
          </w:p>
        </w:tc>
        <w:tc>
          <w:tcPr>
            <w:tcW w:w="3118" w:type="dxa"/>
          </w:tcPr>
          <w:p w14:paraId="399A3A16" w14:textId="77777777" w:rsidR="006079E9" w:rsidRDefault="00000000" w:rsidP="001A5773">
            <w:pPr>
              <w:jc w:val="both"/>
            </w:pPr>
            <w:r>
              <w:rPr>
                <w:sz w:val="18"/>
              </w:rPr>
              <w:t>Base del producto comercial distribuido a clientes.</w:t>
            </w:r>
          </w:p>
        </w:tc>
        <w:tc>
          <w:tcPr>
            <w:tcW w:w="1531" w:type="dxa"/>
          </w:tcPr>
          <w:p w14:paraId="6CB333C8" w14:textId="77777777" w:rsidR="006079E9" w:rsidRDefault="00000000" w:rsidP="001A5773">
            <w:pPr>
              <w:jc w:val="both"/>
            </w:pPr>
            <w:r>
              <w:rPr>
                <w:sz w:val="18"/>
              </w:rPr>
              <w:t>Desarrollo / I+D</w:t>
            </w:r>
          </w:p>
        </w:tc>
        <w:tc>
          <w:tcPr>
            <w:tcW w:w="1020" w:type="dxa"/>
          </w:tcPr>
          <w:p w14:paraId="31D67F09" w14:textId="77777777" w:rsidR="006079E9" w:rsidRPr="001A5773" w:rsidRDefault="00000000" w:rsidP="001A5773">
            <w:pPr>
              <w:jc w:val="both"/>
              <w:rPr>
                <w:b/>
                <w:bCs/>
              </w:rPr>
            </w:pPr>
            <w:r w:rsidRPr="001A5773">
              <w:rPr>
                <w:b/>
                <w:bCs/>
                <w:color w:val="EE0000"/>
                <w:sz w:val="18"/>
              </w:rPr>
              <w:t>Muy Alta</w:t>
            </w:r>
          </w:p>
        </w:tc>
      </w:tr>
      <w:tr w:rsidR="006079E9" w14:paraId="1251204D" w14:textId="77777777">
        <w:trPr>
          <w:jc w:val="center"/>
        </w:trPr>
        <w:tc>
          <w:tcPr>
            <w:tcW w:w="1304" w:type="dxa"/>
          </w:tcPr>
          <w:p w14:paraId="47C1CFD0" w14:textId="77777777" w:rsidR="006079E9" w:rsidRDefault="00000000" w:rsidP="001A5773">
            <w:pPr>
              <w:jc w:val="both"/>
            </w:pPr>
            <w:r>
              <w:rPr>
                <w:sz w:val="18"/>
              </w:rPr>
              <w:t>Infraestructura TI</w:t>
            </w:r>
          </w:p>
        </w:tc>
        <w:tc>
          <w:tcPr>
            <w:tcW w:w="2268" w:type="dxa"/>
          </w:tcPr>
          <w:p w14:paraId="714E28AA" w14:textId="77777777" w:rsidR="006079E9" w:rsidRDefault="00000000" w:rsidP="001A5773">
            <w:pPr>
              <w:jc w:val="both"/>
            </w:pPr>
            <w:r>
              <w:rPr>
                <w:sz w:val="18"/>
              </w:rPr>
              <w:t>Sistema de compilación (build system / pipeline CI/CD)</w:t>
            </w:r>
          </w:p>
        </w:tc>
        <w:tc>
          <w:tcPr>
            <w:tcW w:w="3118" w:type="dxa"/>
          </w:tcPr>
          <w:p w14:paraId="5E7AF43F" w14:textId="77777777" w:rsidR="006079E9" w:rsidRDefault="00000000" w:rsidP="001A5773">
            <w:pPr>
              <w:jc w:val="both"/>
            </w:pPr>
            <w:r>
              <w:rPr>
                <w:sz w:val="18"/>
              </w:rPr>
              <w:t>Entorno donde se compila y firma el software antes de su distribución.</w:t>
            </w:r>
          </w:p>
        </w:tc>
        <w:tc>
          <w:tcPr>
            <w:tcW w:w="1531" w:type="dxa"/>
          </w:tcPr>
          <w:p w14:paraId="2DF903B5" w14:textId="77777777" w:rsidR="006079E9" w:rsidRDefault="00000000" w:rsidP="001A5773">
            <w:pPr>
              <w:jc w:val="both"/>
            </w:pPr>
            <w:r>
              <w:rPr>
                <w:sz w:val="18"/>
              </w:rPr>
              <w:t>DevOps / TI</w:t>
            </w:r>
          </w:p>
        </w:tc>
        <w:tc>
          <w:tcPr>
            <w:tcW w:w="1020" w:type="dxa"/>
          </w:tcPr>
          <w:p w14:paraId="45100308" w14:textId="77777777" w:rsidR="006079E9" w:rsidRPr="001A5773" w:rsidRDefault="00000000" w:rsidP="001A5773">
            <w:pPr>
              <w:jc w:val="both"/>
              <w:rPr>
                <w:b/>
                <w:bCs/>
                <w:color w:val="EE0000"/>
              </w:rPr>
            </w:pPr>
            <w:r w:rsidRPr="001A5773">
              <w:rPr>
                <w:b/>
                <w:bCs/>
                <w:color w:val="EE0000"/>
                <w:sz w:val="18"/>
              </w:rPr>
              <w:t>Muy Alta</w:t>
            </w:r>
          </w:p>
        </w:tc>
      </w:tr>
      <w:tr w:rsidR="006079E9" w14:paraId="0B4B2ECC" w14:textId="77777777">
        <w:trPr>
          <w:jc w:val="center"/>
        </w:trPr>
        <w:tc>
          <w:tcPr>
            <w:tcW w:w="1304" w:type="dxa"/>
          </w:tcPr>
          <w:p w14:paraId="4D50EE02" w14:textId="77777777" w:rsidR="006079E9" w:rsidRDefault="00000000" w:rsidP="001A5773">
            <w:pPr>
              <w:jc w:val="both"/>
            </w:pPr>
            <w:r>
              <w:rPr>
                <w:sz w:val="18"/>
              </w:rPr>
              <w:t>Seguridad / Criptografía</w:t>
            </w:r>
          </w:p>
        </w:tc>
        <w:tc>
          <w:tcPr>
            <w:tcW w:w="2268" w:type="dxa"/>
          </w:tcPr>
          <w:p w14:paraId="34C799DF" w14:textId="77777777" w:rsidR="006079E9" w:rsidRDefault="00000000" w:rsidP="001A5773">
            <w:pPr>
              <w:jc w:val="both"/>
            </w:pPr>
            <w:r>
              <w:rPr>
                <w:sz w:val="18"/>
              </w:rPr>
              <w:t>Certificados digitales de firma de código</w:t>
            </w:r>
          </w:p>
        </w:tc>
        <w:tc>
          <w:tcPr>
            <w:tcW w:w="3118" w:type="dxa"/>
          </w:tcPr>
          <w:p w14:paraId="6866BD00" w14:textId="77777777" w:rsidR="006079E9" w:rsidRDefault="00000000" w:rsidP="001A5773">
            <w:pPr>
              <w:jc w:val="both"/>
            </w:pPr>
            <w:r>
              <w:rPr>
                <w:sz w:val="18"/>
              </w:rPr>
              <w:t>Garantizan la autenticidad de las actualizaciones distribuidas.</w:t>
            </w:r>
          </w:p>
        </w:tc>
        <w:tc>
          <w:tcPr>
            <w:tcW w:w="1531" w:type="dxa"/>
          </w:tcPr>
          <w:p w14:paraId="486DA3A8" w14:textId="77777777" w:rsidR="006079E9" w:rsidRDefault="00000000" w:rsidP="001A5773">
            <w:pPr>
              <w:jc w:val="both"/>
            </w:pPr>
            <w:r>
              <w:rPr>
                <w:sz w:val="18"/>
              </w:rPr>
              <w:t>Seguridad TI</w:t>
            </w:r>
          </w:p>
        </w:tc>
        <w:tc>
          <w:tcPr>
            <w:tcW w:w="1020" w:type="dxa"/>
          </w:tcPr>
          <w:p w14:paraId="312C4B22" w14:textId="77777777" w:rsidR="006079E9" w:rsidRPr="001A5773" w:rsidRDefault="00000000" w:rsidP="001A5773">
            <w:pPr>
              <w:jc w:val="both"/>
              <w:rPr>
                <w:b/>
                <w:bCs/>
                <w:color w:val="EE0000"/>
              </w:rPr>
            </w:pPr>
            <w:r w:rsidRPr="001A5773">
              <w:rPr>
                <w:b/>
                <w:bCs/>
                <w:color w:val="EE0000"/>
                <w:sz w:val="18"/>
              </w:rPr>
              <w:t>Muy Alta</w:t>
            </w:r>
          </w:p>
        </w:tc>
      </w:tr>
      <w:tr w:rsidR="006079E9" w14:paraId="15FFA117" w14:textId="77777777">
        <w:trPr>
          <w:jc w:val="center"/>
        </w:trPr>
        <w:tc>
          <w:tcPr>
            <w:tcW w:w="1304" w:type="dxa"/>
          </w:tcPr>
          <w:p w14:paraId="5E4EFA9C" w14:textId="77777777" w:rsidR="006079E9" w:rsidRDefault="00000000" w:rsidP="001A5773">
            <w:pPr>
              <w:jc w:val="both"/>
            </w:pPr>
            <w:r>
              <w:rPr>
                <w:sz w:val="18"/>
              </w:rPr>
              <w:t>Infraestructura TI</w:t>
            </w:r>
          </w:p>
        </w:tc>
        <w:tc>
          <w:tcPr>
            <w:tcW w:w="2268" w:type="dxa"/>
          </w:tcPr>
          <w:p w14:paraId="16F11CD9" w14:textId="77777777" w:rsidR="006079E9" w:rsidRDefault="00000000" w:rsidP="001A5773">
            <w:pPr>
              <w:jc w:val="both"/>
            </w:pPr>
            <w:r>
              <w:rPr>
                <w:sz w:val="18"/>
              </w:rPr>
              <w:t>Servidores de distribución de actualizaciones</w:t>
            </w:r>
          </w:p>
        </w:tc>
        <w:tc>
          <w:tcPr>
            <w:tcW w:w="3118" w:type="dxa"/>
          </w:tcPr>
          <w:p w14:paraId="3AEC7312" w14:textId="77777777" w:rsidR="006079E9" w:rsidRDefault="00000000" w:rsidP="001A5773">
            <w:pPr>
              <w:jc w:val="both"/>
            </w:pPr>
            <w:r>
              <w:rPr>
                <w:sz w:val="18"/>
              </w:rPr>
              <w:t>Plataforma desde la cual se descargan las versiones de Orion.</w:t>
            </w:r>
          </w:p>
        </w:tc>
        <w:tc>
          <w:tcPr>
            <w:tcW w:w="1531" w:type="dxa"/>
          </w:tcPr>
          <w:p w14:paraId="1C0742E5" w14:textId="77777777" w:rsidR="006079E9" w:rsidRDefault="00000000" w:rsidP="001A5773">
            <w:pPr>
              <w:jc w:val="both"/>
            </w:pPr>
            <w:r>
              <w:rPr>
                <w:sz w:val="18"/>
              </w:rPr>
              <w:t>Infraestructura TI</w:t>
            </w:r>
          </w:p>
        </w:tc>
        <w:tc>
          <w:tcPr>
            <w:tcW w:w="1020" w:type="dxa"/>
          </w:tcPr>
          <w:p w14:paraId="5D9E1E5C" w14:textId="77777777" w:rsidR="006079E9" w:rsidRPr="001A5773" w:rsidRDefault="00000000" w:rsidP="001A5773">
            <w:pPr>
              <w:jc w:val="both"/>
              <w:rPr>
                <w:b/>
                <w:bCs/>
                <w:color w:val="EE0000"/>
              </w:rPr>
            </w:pPr>
            <w:r w:rsidRPr="001A5773">
              <w:rPr>
                <w:b/>
                <w:bCs/>
                <w:color w:val="EE0000"/>
                <w:sz w:val="18"/>
              </w:rPr>
              <w:t>Muy Alta</w:t>
            </w:r>
          </w:p>
        </w:tc>
      </w:tr>
      <w:tr w:rsidR="006079E9" w14:paraId="657064AF" w14:textId="77777777">
        <w:trPr>
          <w:jc w:val="center"/>
        </w:trPr>
        <w:tc>
          <w:tcPr>
            <w:tcW w:w="1304" w:type="dxa"/>
          </w:tcPr>
          <w:p w14:paraId="0AD3B7E4" w14:textId="77777777" w:rsidR="006079E9" w:rsidRDefault="00000000" w:rsidP="001A5773">
            <w:pPr>
              <w:jc w:val="both"/>
            </w:pPr>
            <w:r>
              <w:rPr>
                <w:sz w:val="18"/>
              </w:rPr>
              <w:t>Identidad / Accesos</w:t>
            </w:r>
          </w:p>
        </w:tc>
        <w:tc>
          <w:tcPr>
            <w:tcW w:w="2268" w:type="dxa"/>
          </w:tcPr>
          <w:p w14:paraId="774252B5" w14:textId="77777777" w:rsidR="006079E9" w:rsidRDefault="00000000" w:rsidP="001A5773">
            <w:pPr>
              <w:jc w:val="both"/>
            </w:pPr>
            <w:r>
              <w:rPr>
                <w:sz w:val="18"/>
              </w:rPr>
              <w:t>Tokens y claves de firma SAML (ADFS)</w:t>
            </w:r>
          </w:p>
        </w:tc>
        <w:tc>
          <w:tcPr>
            <w:tcW w:w="3118" w:type="dxa"/>
          </w:tcPr>
          <w:p w14:paraId="466BE263" w14:textId="77777777" w:rsidR="006079E9" w:rsidRDefault="00000000" w:rsidP="001A5773">
            <w:pPr>
              <w:jc w:val="both"/>
            </w:pPr>
            <w:r>
              <w:rPr>
                <w:sz w:val="18"/>
              </w:rPr>
              <w:t>Permiten la autenticación federada hacia servicios en la nube.</w:t>
            </w:r>
          </w:p>
        </w:tc>
        <w:tc>
          <w:tcPr>
            <w:tcW w:w="1531" w:type="dxa"/>
          </w:tcPr>
          <w:p w14:paraId="33D8DAE3" w14:textId="77777777" w:rsidR="006079E9" w:rsidRDefault="00000000" w:rsidP="001A5773">
            <w:pPr>
              <w:jc w:val="both"/>
            </w:pPr>
            <w:r>
              <w:rPr>
                <w:sz w:val="18"/>
              </w:rPr>
              <w:t>Identidad / Seguridad</w:t>
            </w:r>
          </w:p>
        </w:tc>
        <w:tc>
          <w:tcPr>
            <w:tcW w:w="1020" w:type="dxa"/>
          </w:tcPr>
          <w:p w14:paraId="21521806" w14:textId="77777777" w:rsidR="006079E9" w:rsidRPr="001A5773" w:rsidRDefault="00000000" w:rsidP="001A5773">
            <w:pPr>
              <w:jc w:val="both"/>
              <w:rPr>
                <w:b/>
                <w:bCs/>
                <w:color w:val="EE0000"/>
              </w:rPr>
            </w:pPr>
            <w:r w:rsidRPr="001A5773">
              <w:rPr>
                <w:b/>
                <w:bCs/>
                <w:color w:val="EE0000"/>
                <w:sz w:val="18"/>
              </w:rPr>
              <w:t>Muy Alta</w:t>
            </w:r>
          </w:p>
        </w:tc>
      </w:tr>
      <w:tr w:rsidR="006079E9" w14:paraId="410228E2" w14:textId="77777777">
        <w:trPr>
          <w:jc w:val="center"/>
        </w:trPr>
        <w:tc>
          <w:tcPr>
            <w:tcW w:w="1304" w:type="dxa"/>
          </w:tcPr>
          <w:p w14:paraId="23D38ADB" w14:textId="77777777" w:rsidR="006079E9" w:rsidRDefault="00000000" w:rsidP="001A5773">
            <w:pPr>
              <w:jc w:val="both"/>
            </w:pPr>
            <w:r>
              <w:rPr>
                <w:sz w:val="18"/>
              </w:rPr>
              <w:t>Información</w:t>
            </w:r>
          </w:p>
        </w:tc>
        <w:tc>
          <w:tcPr>
            <w:tcW w:w="2268" w:type="dxa"/>
          </w:tcPr>
          <w:p w14:paraId="0582C203" w14:textId="77777777" w:rsidR="006079E9" w:rsidRDefault="00000000" w:rsidP="001A5773">
            <w:pPr>
              <w:jc w:val="both"/>
            </w:pPr>
            <w:r>
              <w:rPr>
                <w:sz w:val="18"/>
              </w:rPr>
              <w:t>Datos de configuración de redes de clientes</w:t>
            </w:r>
          </w:p>
        </w:tc>
        <w:tc>
          <w:tcPr>
            <w:tcW w:w="3118" w:type="dxa"/>
          </w:tcPr>
          <w:p w14:paraId="0459A763" w14:textId="77777777" w:rsidR="006079E9" w:rsidRDefault="00000000" w:rsidP="001A5773">
            <w:pPr>
              <w:jc w:val="both"/>
            </w:pPr>
            <w:r>
              <w:rPr>
                <w:sz w:val="18"/>
              </w:rPr>
              <w:t>Información de topología y credenciales de monitoreo de clientes (gobierno y empresas).</w:t>
            </w:r>
          </w:p>
        </w:tc>
        <w:tc>
          <w:tcPr>
            <w:tcW w:w="1531" w:type="dxa"/>
          </w:tcPr>
          <w:p w14:paraId="7E774093" w14:textId="77777777" w:rsidR="006079E9" w:rsidRDefault="00000000" w:rsidP="001A5773">
            <w:pPr>
              <w:jc w:val="both"/>
            </w:pPr>
            <w:r>
              <w:rPr>
                <w:sz w:val="18"/>
              </w:rPr>
              <w:t>Clientes / Soporte</w:t>
            </w:r>
          </w:p>
        </w:tc>
        <w:tc>
          <w:tcPr>
            <w:tcW w:w="1020" w:type="dxa"/>
          </w:tcPr>
          <w:p w14:paraId="3FF54FC6" w14:textId="77777777" w:rsidR="006079E9" w:rsidRPr="001A5773" w:rsidRDefault="00000000" w:rsidP="001A5773">
            <w:pPr>
              <w:jc w:val="both"/>
              <w:rPr>
                <w:b/>
                <w:bCs/>
                <w:color w:val="FFC000"/>
              </w:rPr>
            </w:pPr>
            <w:r w:rsidRPr="001A5773">
              <w:rPr>
                <w:b/>
                <w:bCs/>
                <w:color w:val="FFC000"/>
                <w:sz w:val="18"/>
              </w:rPr>
              <w:t>Alta</w:t>
            </w:r>
          </w:p>
        </w:tc>
      </w:tr>
      <w:tr w:rsidR="006079E9" w14:paraId="605482BD" w14:textId="77777777">
        <w:trPr>
          <w:jc w:val="center"/>
        </w:trPr>
        <w:tc>
          <w:tcPr>
            <w:tcW w:w="1304" w:type="dxa"/>
          </w:tcPr>
          <w:p w14:paraId="0AE74AA9" w14:textId="77777777" w:rsidR="006079E9" w:rsidRDefault="00000000" w:rsidP="001A5773">
            <w:pPr>
              <w:jc w:val="both"/>
            </w:pPr>
            <w:r>
              <w:rPr>
                <w:sz w:val="18"/>
              </w:rPr>
              <w:t>Software</w:t>
            </w:r>
          </w:p>
        </w:tc>
        <w:tc>
          <w:tcPr>
            <w:tcW w:w="2268" w:type="dxa"/>
          </w:tcPr>
          <w:p w14:paraId="6627DFBA" w14:textId="77777777" w:rsidR="006079E9" w:rsidRDefault="00000000" w:rsidP="001A5773">
            <w:pPr>
              <w:jc w:val="both"/>
            </w:pPr>
            <w:r>
              <w:rPr>
                <w:sz w:val="18"/>
              </w:rPr>
              <w:t>Repositorios de código y control de versiones</w:t>
            </w:r>
          </w:p>
        </w:tc>
        <w:tc>
          <w:tcPr>
            <w:tcW w:w="3118" w:type="dxa"/>
          </w:tcPr>
          <w:p w14:paraId="22BED477" w14:textId="77777777" w:rsidR="006079E9" w:rsidRDefault="00000000" w:rsidP="001A5773">
            <w:pPr>
              <w:jc w:val="both"/>
            </w:pPr>
            <w:r>
              <w:rPr>
                <w:sz w:val="18"/>
              </w:rPr>
              <w:t>Historial y ramas de desarrollo del producto.</w:t>
            </w:r>
          </w:p>
        </w:tc>
        <w:tc>
          <w:tcPr>
            <w:tcW w:w="1531" w:type="dxa"/>
          </w:tcPr>
          <w:p w14:paraId="0DE9904E" w14:textId="77777777" w:rsidR="006079E9" w:rsidRDefault="00000000" w:rsidP="001A5773">
            <w:pPr>
              <w:jc w:val="both"/>
            </w:pPr>
            <w:r>
              <w:rPr>
                <w:sz w:val="18"/>
              </w:rPr>
              <w:t>Desarrollo</w:t>
            </w:r>
          </w:p>
        </w:tc>
        <w:tc>
          <w:tcPr>
            <w:tcW w:w="1020" w:type="dxa"/>
          </w:tcPr>
          <w:p w14:paraId="5451C738" w14:textId="77777777" w:rsidR="006079E9" w:rsidRPr="001A5773" w:rsidRDefault="00000000" w:rsidP="001A5773">
            <w:pPr>
              <w:jc w:val="both"/>
              <w:rPr>
                <w:b/>
                <w:bCs/>
              </w:rPr>
            </w:pPr>
            <w:r w:rsidRPr="001A5773">
              <w:rPr>
                <w:b/>
                <w:bCs/>
                <w:color w:val="FFC000"/>
                <w:sz w:val="18"/>
              </w:rPr>
              <w:t>Alta</w:t>
            </w:r>
          </w:p>
        </w:tc>
      </w:tr>
      <w:tr w:rsidR="006079E9" w14:paraId="23FFF06D" w14:textId="77777777">
        <w:trPr>
          <w:jc w:val="center"/>
        </w:trPr>
        <w:tc>
          <w:tcPr>
            <w:tcW w:w="1304" w:type="dxa"/>
          </w:tcPr>
          <w:p w14:paraId="25286CDF" w14:textId="77777777" w:rsidR="006079E9" w:rsidRDefault="00000000" w:rsidP="001A5773">
            <w:pPr>
              <w:jc w:val="both"/>
            </w:pPr>
            <w:r>
              <w:rPr>
                <w:sz w:val="18"/>
              </w:rPr>
              <w:t>Personas</w:t>
            </w:r>
          </w:p>
        </w:tc>
        <w:tc>
          <w:tcPr>
            <w:tcW w:w="2268" w:type="dxa"/>
          </w:tcPr>
          <w:p w14:paraId="1AE5632F" w14:textId="77777777" w:rsidR="006079E9" w:rsidRDefault="00000000" w:rsidP="001A5773">
            <w:pPr>
              <w:jc w:val="both"/>
            </w:pPr>
            <w:r>
              <w:rPr>
                <w:sz w:val="18"/>
              </w:rPr>
              <w:t>Personal de desarrollo e ingeniería de software</w:t>
            </w:r>
          </w:p>
        </w:tc>
        <w:tc>
          <w:tcPr>
            <w:tcW w:w="3118" w:type="dxa"/>
          </w:tcPr>
          <w:p w14:paraId="6D1AB014" w14:textId="77777777" w:rsidR="006079E9" w:rsidRDefault="00000000" w:rsidP="001A5773">
            <w:pPr>
              <w:jc w:val="both"/>
            </w:pPr>
            <w:r>
              <w:rPr>
                <w:sz w:val="18"/>
              </w:rPr>
              <w:t>Equipos con acceso privilegiado al entorno de build.</w:t>
            </w:r>
          </w:p>
        </w:tc>
        <w:tc>
          <w:tcPr>
            <w:tcW w:w="1531" w:type="dxa"/>
          </w:tcPr>
          <w:p w14:paraId="33E1DD56" w14:textId="77777777" w:rsidR="006079E9" w:rsidRDefault="00000000" w:rsidP="001A5773">
            <w:pPr>
              <w:jc w:val="both"/>
            </w:pPr>
            <w:r>
              <w:rPr>
                <w:sz w:val="18"/>
              </w:rPr>
              <w:t>Recursos Humanos / TI</w:t>
            </w:r>
          </w:p>
        </w:tc>
        <w:tc>
          <w:tcPr>
            <w:tcW w:w="1020" w:type="dxa"/>
          </w:tcPr>
          <w:p w14:paraId="7AF4FFA2" w14:textId="77777777" w:rsidR="006079E9" w:rsidRPr="001A5773" w:rsidRDefault="00000000" w:rsidP="001A5773">
            <w:pPr>
              <w:jc w:val="both"/>
              <w:rPr>
                <w:b/>
                <w:bCs/>
                <w:color w:val="FFC000"/>
              </w:rPr>
            </w:pPr>
            <w:r w:rsidRPr="001A5773">
              <w:rPr>
                <w:b/>
                <w:bCs/>
                <w:color w:val="FFC000"/>
                <w:sz w:val="18"/>
              </w:rPr>
              <w:t>Alta</w:t>
            </w:r>
          </w:p>
        </w:tc>
      </w:tr>
      <w:tr w:rsidR="006079E9" w14:paraId="3D2610BE" w14:textId="77777777">
        <w:trPr>
          <w:jc w:val="center"/>
        </w:trPr>
        <w:tc>
          <w:tcPr>
            <w:tcW w:w="1304" w:type="dxa"/>
          </w:tcPr>
          <w:p w14:paraId="2CB741C4" w14:textId="77777777" w:rsidR="006079E9" w:rsidRDefault="00000000" w:rsidP="001A5773">
            <w:pPr>
              <w:jc w:val="both"/>
            </w:pPr>
            <w:r>
              <w:rPr>
                <w:sz w:val="18"/>
              </w:rPr>
              <w:t>Información</w:t>
            </w:r>
          </w:p>
        </w:tc>
        <w:tc>
          <w:tcPr>
            <w:tcW w:w="2268" w:type="dxa"/>
          </w:tcPr>
          <w:p w14:paraId="0D62D093" w14:textId="77777777" w:rsidR="006079E9" w:rsidRDefault="00000000" w:rsidP="001A5773">
            <w:pPr>
              <w:jc w:val="both"/>
            </w:pPr>
            <w:r>
              <w:rPr>
                <w:sz w:val="18"/>
              </w:rPr>
              <w:t>Información de agencias gubernamentales clientes</w:t>
            </w:r>
          </w:p>
        </w:tc>
        <w:tc>
          <w:tcPr>
            <w:tcW w:w="3118" w:type="dxa"/>
          </w:tcPr>
          <w:p w14:paraId="22E85F1C" w14:textId="77777777" w:rsidR="006079E9" w:rsidRDefault="00000000" w:rsidP="001A5773">
            <w:pPr>
              <w:jc w:val="both"/>
            </w:pPr>
            <w:r>
              <w:rPr>
                <w:sz w:val="18"/>
              </w:rPr>
              <w:t>Datos institucionales del Tesoro, Comercio, Energía/NNSA, DHS, entre otras.</w:t>
            </w:r>
          </w:p>
        </w:tc>
        <w:tc>
          <w:tcPr>
            <w:tcW w:w="1531" w:type="dxa"/>
          </w:tcPr>
          <w:p w14:paraId="4795887E" w14:textId="77777777" w:rsidR="006079E9" w:rsidRDefault="00000000" w:rsidP="001A5773">
            <w:pPr>
              <w:jc w:val="both"/>
            </w:pPr>
            <w:r>
              <w:rPr>
                <w:sz w:val="18"/>
              </w:rPr>
              <w:t>Clientes gubernamentales</w:t>
            </w:r>
          </w:p>
        </w:tc>
        <w:tc>
          <w:tcPr>
            <w:tcW w:w="1020" w:type="dxa"/>
          </w:tcPr>
          <w:p w14:paraId="4EA22303" w14:textId="77777777" w:rsidR="006079E9" w:rsidRPr="001A5773" w:rsidRDefault="00000000" w:rsidP="001A5773">
            <w:pPr>
              <w:jc w:val="both"/>
              <w:rPr>
                <w:b/>
                <w:bCs/>
                <w:color w:val="EE0000"/>
              </w:rPr>
            </w:pPr>
            <w:r w:rsidRPr="001A5773">
              <w:rPr>
                <w:b/>
                <w:bCs/>
                <w:color w:val="EE0000"/>
                <w:sz w:val="18"/>
              </w:rPr>
              <w:t>Muy Alta</w:t>
            </w:r>
          </w:p>
        </w:tc>
      </w:tr>
      <w:tr w:rsidR="006079E9" w14:paraId="713D24E6" w14:textId="77777777">
        <w:trPr>
          <w:jc w:val="center"/>
        </w:trPr>
        <w:tc>
          <w:tcPr>
            <w:tcW w:w="1304" w:type="dxa"/>
          </w:tcPr>
          <w:p w14:paraId="785D1D04" w14:textId="77777777" w:rsidR="006079E9" w:rsidRDefault="00000000" w:rsidP="001A5773">
            <w:pPr>
              <w:jc w:val="both"/>
            </w:pPr>
            <w:r>
              <w:rPr>
                <w:sz w:val="18"/>
              </w:rPr>
              <w:t>Intangible</w:t>
            </w:r>
          </w:p>
        </w:tc>
        <w:tc>
          <w:tcPr>
            <w:tcW w:w="2268" w:type="dxa"/>
          </w:tcPr>
          <w:p w14:paraId="272F140C" w14:textId="77777777" w:rsidR="006079E9" w:rsidRDefault="00000000" w:rsidP="001A5773">
            <w:pPr>
              <w:jc w:val="both"/>
            </w:pPr>
            <w:r>
              <w:rPr>
                <w:sz w:val="18"/>
              </w:rPr>
              <w:t>Reputación corporativa y confianza de clientes</w:t>
            </w:r>
          </w:p>
        </w:tc>
        <w:tc>
          <w:tcPr>
            <w:tcW w:w="3118" w:type="dxa"/>
          </w:tcPr>
          <w:p w14:paraId="5420D1EC" w14:textId="77777777" w:rsidR="006079E9" w:rsidRDefault="00000000" w:rsidP="001A5773">
            <w:pPr>
              <w:jc w:val="both"/>
            </w:pPr>
            <w:r>
              <w:rPr>
                <w:sz w:val="18"/>
              </w:rPr>
              <w:t>Percepción de integridad y seguridad de la marca SolarWinds.</w:t>
            </w:r>
          </w:p>
        </w:tc>
        <w:tc>
          <w:tcPr>
            <w:tcW w:w="1531" w:type="dxa"/>
          </w:tcPr>
          <w:p w14:paraId="0A22221B" w14:textId="77777777" w:rsidR="006079E9" w:rsidRDefault="00000000" w:rsidP="001A5773">
            <w:pPr>
              <w:jc w:val="both"/>
            </w:pPr>
            <w:r>
              <w:rPr>
                <w:sz w:val="18"/>
              </w:rPr>
              <w:t>Dirección / Marketing</w:t>
            </w:r>
          </w:p>
        </w:tc>
        <w:tc>
          <w:tcPr>
            <w:tcW w:w="1020" w:type="dxa"/>
          </w:tcPr>
          <w:p w14:paraId="5A831157" w14:textId="77777777" w:rsidR="006079E9" w:rsidRPr="001A5773" w:rsidRDefault="00000000" w:rsidP="001A5773">
            <w:pPr>
              <w:jc w:val="both"/>
              <w:rPr>
                <w:b/>
                <w:bCs/>
                <w:color w:val="EE0000"/>
              </w:rPr>
            </w:pPr>
            <w:r w:rsidRPr="001A5773">
              <w:rPr>
                <w:b/>
                <w:bCs/>
                <w:color w:val="EE0000"/>
                <w:sz w:val="18"/>
              </w:rPr>
              <w:t>Muy Alta</w:t>
            </w:r>
          </w:p>
        </w:tc>
      </w:tr>
    </w:tbl>
    <w:p w14:paraId="6C0F8C9B" w14:textId="77777777" w:rsidR="006079E9" w:rsidRDefault="00000000" w:rsidP="001A5773">
      <w:pPr>
        <w:pStyle w:val="Ttulo1"/>
        <w:jc w:val="both"/>
      </w:pPr>
      <w:bookmarkStart w:id="3" w:name="_Toc233146858"/>
      <w:bookmarkStart w:id="4" w:name="_Toc233146909"/>
      <w:r>
        <w:rPr>
          <w:color w:val="1F3864"/>
        </w:rPr>
        <w:t>3. Identificación de Amenazas y Vulnerabilidades</w:t>
      </w:r>
      <w:bookmarkEnd w:id="3"/>
      <w:bookmarkEnd w:id="4"/>
    </w:p>
    <w:p w14:paraId="2B92050E" w14:textId="77777777" w:rsidR="006079E9" w:rsidRDefault="00000000" w:rsidP="001A5773">
      <w:pPr>
        <w:jc w:val="both"/>
      </w:pPr>
      <w:r>
        <w:t>Conforme al estándar UNE 71504:2008 y al ENISA Threat Landscape, las amenazas son causas potenciales de incidentes, mientras que las vulnerabilidades son debilidades que pueden ser explotadas. En el caso SolarWinds/Sunburst se identifican las siguientes:</w:t>
      </w:r>
    </w:p>
    <w:p w14:paraId="1BD8AF8C" w14:textId="77777777" w:rsidR="006079E9" w:rsidRDefault="00000000" w:rsidP="001A5773">
      <w:pPr>
        <w:pStyle w:val="Ttulo2"/>
        <w:jc w:val="both"/>
      </w:pPr>
      <w:bookmarkStart w:id="5" w:name="_Toc233146859"/>
      <w:bookmarkStart w:id="6" w:name="_Toc233146910"/>
      <w:r>
        <w:rPr>
          <w:color w:val="1F3864"/>
        </w:rPr>
        <w:t>3.1 Principales amenazas</w:t>
      </w:r>
      <w:bookmarkEnd w:id="5"/>
      <w:bookmarkEnd w:id="6"/>
    </w:p>
    <w:p w14:paraId="62D34FF2" w14:textId="77777777" w:rsidR="006079E9" w:rsidRDefault="00000000" w:rsidP="001A5773">
      <w:pPr>
        <w:pStyle w:val="Listaconvietas"/>
        <w:jc w:val="both"/>
      </w:pPr>
      <w:r>
        <w:rPr>
          <w:b/>
        </w:rPr>
        <w:t xml:space="preserve">Ataque a la cadena de suministro de software: </w:t>
      </w:r>
      <w:r>
        <w:t>inserción de código malicioso (backdoor SUNBURST) en el proceso legítimo de compilación y distribución del software.</w:t>
      </w:r>
    </w:p>
    <w:p w14:paraId="5FAED8B2" w14:textId="77777777" w:rsidR="006079E9" w:rsidRDefault="00000000" w:rsidP="001A5773">
      <w:pPr>
        <w:pStyle w:val="Listaconvietas"/>
        <w:jc w:val="both"/>
      </w:pPr>
      <w:r>
        <w:rPr>
          <w:b/>
        </w:rPr>
        <w:t xml:space="preserve">Espionaje cibernético patrocinado por un Estado (APT29/Nobelium): </w:t>
      </w:r>
      <w:r>
        <w:t>actor altamente sofisticado, persistente y con financiamiento estatal (SVR de Rusia).</w:t>
      </w:r>
    </w:p>
    <w:p w14:paraId="51BC0013" w14:textId="77777777" w:rsidR="006079E9" w:rsidRDefault="00000000" w:rsidP="001A5773">
      <w:pPr>
        <w:pStyle w:val="Listaconvietas"/>
        <w:jc w:val="both"/>
      </w:pPr>
      <w:r>
        <w:rPr>
          <w:b/>
        </w:rPr>
        <w:t xml:space="preserve">Falsificación de tokens de autenticación (Golden SAML): </w:t>
      </w:r>
      <w:r>
        <w:t>técnica para generar tokens SAML válidos y suplantar identidades sin necesidad de credenciales.</w:t>
      </w:r>
    </w:p>
    <w:p w14:paraId="345BC9D2" w14:textId="77777777" w:rsidR="006079E9" w:rsidRDefault="00000000" w:rsidP="001A5773">
      <w:pPr>
        <w:pStyle w:val="Listaconvietas"/>
        <w:jc w:val="both"/>
      </w:pPr>
      <w:r>
        <w:rPr>
          <w:b/>
        </w:rPr>
        <w:t xml:space="preserve">Movimiento lateral hacia entornos en la nube: </w:t>
      </w:r>
      <w:r>
        <w:t>pivoteo desde la red on-premise hacia Microsoft 365 y Azure Active Directory.</w:t>
      </w:r>
    </w:p>
    <w:p w14:paraId="405A4CDD" w14:textId="77777777" w:rsidR="006079E9" w:rsidRDefault="00000000" w:rsidP="001A5773">
      <w:pPr>
        <w:pStyle w:val="Listaconvietas"/>
        <w:jc w:val="both"/>
      </w:pPr>
      <w:r>
        <w:rPr>
          <w:b/>
        </w:rPr>
        <w:t xml:space="preserve">Amenazas de terceros / cadena de confianza: </w:t>
      </w:r>
      <w:r>
        <w:t>propagación del compromiso hacia clientes y socios que confiaron en la integridad de las actualizaciones firmadas.</w:t>
      </w:r>
    </w:p>
    <w:p w14:paraId="63439060" w14:textId="77777777" w:rsidR="006079E9" w:rsidRDefault="00000000" w:rsidP="001A5773">
      <w:pPr>
        <w:pStyle w:val="Listaconvietas"/>
        <w:jc w:val="both"/>
      </w:pPr>
      <w:r>
        <w:rPr>
          <w:b/>
        </w:rPr>
        <w:t xml:space="preserve">Herramientas de post-explotación a medida: </w:t>
      </w:r>
      <w:r>
        <w:t>implantes adicionales como TEARDROP y RAINDROP utilizados selectivamente en objetivos de alto valor.</w:t>
      </w:r>
    </w:p>
    <w:p w14:paraId="3206A7C4" w14:textId="77777777" w:rsidR="006079E9" w:rsidRDefault="00000000" w:rsidP="001A5773">
      <w:pPr>
        <w:pStyle w:val="Ttulo2"/>
        <w:jc w:val="both"/>
      </w:pPr>
      <w:bookmarkStart w:id="7" w:name="_Toc233146860"/>
      <w:bookmarkStart w:id="8" w:name="_Toc233146911"/>
      <w:r>
        <w:rPr>
          <w:color w:val="1F3864"/>
        </w:rPr>
        <w:lastRenderedPageBreak/>
        <w:t>3.2 Principales vulnerabilidades</w:t>
      </w:r>
      <w:bookmarkEnd w:id="7"/>
      <w:bookmarkEnd w:id="8"/>
    </w:p>
    <w:p w14:paraId="445ECB77" w14:textId="77777777" w:rsidR="006079E9" w:rsidRDefault="00000000" w:rsidP="001A5773">
      <w:pPr>
        <w:pStyle w:val="Listaconvietas"/>
        <w:jc w:val="both"/>
      </w:pPr>
      <w:r>
        <w:rPr>
          <w:b/>
        </w:rPr>
        <w:t xml:space="preserve">Credencial débil y expuesta públicamente: </w:t>
      </w:r>
      <w:r>
        <w:t>una contraseña del servidor de actualizaciones ("solarwinds123") fue reportada como filtrada/débil desde 2019.</w:t>
      </w:r>
    </w:p>
    <w:p w14:paraId="03B07617" w14:textId="77777777" w:rsidR="006079E9" w:rsidRDefault="00000000" w:rsidP="001A5773">
      <w:pPr>
        <w:pStyle w:val="Listaconvietas"/>
        <w:jc w:val="both"/>
      </w:pPr>
      <w:r>
        <w:rPr>
          <w:b/>
        </w:rPr>
        <w:t xml:space="preserve">Ausencia de verificación de integridad del código: </w:t>
      </w:r>
      <w:r>
        <w:t>no se validaba mediante hashing criptográfico que el binario compilado coincidiera con el código fuente aprobado antes de la firma digital.</w:t>
      </w:r>
    </w:p>
    <w:p w14:paraId="23AF0C60" w14:textId="77777777" w:rsidR="006079E9" w:rsidRDefault="00000000" w:rsidP="001A5773">
      <w:pPr>
        <w:pStyle w:val="Listaconvietas"/>
        <w:jc w:val="both"/>
      </w:pPr>
      <w:r>
        <w:rPr>
          <w:b/>
        </w:rPr>
        <w:t xml:space="preserve">Segmentación insuficiente entre el entorno de build y la red corporativa: </w:t>
      </w:r>
      <w:r>
        <w:t>permitió que el acceso inicial se propagara hasta el pipeline de compilación.</w:t>
      </w:r>
    </w:p>
    <w:p w14:paraId="0D7A8550" w14:textId="77777777" w:rsidR="006079E9" w:rsidRDefault="00000000" w:rsidP="001A5773">
      <w:pPr>
        <w:pStyle w:val="Listaconvietas"/>
        <w:jc w:val="both"/>
      </w:pPr>
      <w:r>
        <w:rPr>
          <w:b/>
        </w:rPr>
        <w:t xml:space="preserve">Monitoreo y detección limitados (SOC/SIEM): </w:t>
      </w:r>
      <w:r>
        <w:t>el compromiso permaneció sin detectarse durante más de 14 meses.</w:t>
      </w:r>
    </w:p>
    <w:p w14:paraId="3058F7A6" w14:textId="77777777" w:rsidR="006079E9" w:rsidRDefault="00000000" w:rsidP="001A5773">
      <w:pPr>
        <w:pStyle w:val="Listaconvietas"/>
        <w:jc w:val="both"/>
      </w:pPr>
      <w:r>
        <w:rPr>
          <w:b/>
        </w:rPr>
        <w:t xml:space="preserve">Falta de un Software Bill of Materials (SBOM): </w:t>
      </w:r>
      <w:r>
        <w:t>los clientes no contaban con visibilidad de los componentes integrados en cada actualización.</w:t>
      </w:r>
    </w:p>
    <w:p w14:paraId="60216DE0" w14:textId="77777777" w:rsidR="006079E9" w:rsidRDefault="00000000" w:rsidP="001A5773">
      <w:pPr>
        <w:pStyle w:val="Listaconvietas"/>
        <w:jc w:val="both"/>
      </w:pPr>
      <w:r>
        <w:rPr>
          <w:b/>
        </w:rPr>
        <w:t xml:space="preserve">Confianza implícita en actualizaciones firmadas digitalmente: </w:t>
      </w:r>
      <w:r>
        <w:t>tanto SolarWinds como sus clientes asumían que la firma digital garantizaba la integridad del software, sin controles adicionales de verificación.</w:t>
      </w:r>
    </w:p>
    <w:p w14:paraId="7D810AA8" w14:textId="77777777" w:rsidR="006079E9" w:rsidRDefault="00000000" w:rsidP="001A5773">
      <w:pPr>
        <w:pStyle w:val="Listaconvietas"/>
        <w:jc w:val="both"/>
      </w:pPr>
      <w:r>
        <w:rPr>
          <w:b/>
        </w:rPr>
        <w:t xml:space="preserve">Gestión de accesos privilegiados inmadura: </w:t>
      </w:r>
      <w:r>
        <w:t>cuentas con permisos elevados sobre el entorno de desarrollo sin revisión periódica ni autenticación multifactor (MFA) robusta.</w:t>
      </w:r>
    </w:p>
    <w:p w14:paraId="5A82B887" w14:textId="77777777" w:rsidR="006079E9" w:rsidRDefault="00000000" w:rsidP="001A5773">
      <w:pPr>
        <w:pStyle w:val="Ttulo1"/>
        <w:jc w:val="both"/>
      </w:pPr>
      <w:bookmarkStart w:id="9" w:name="_Toc233146861"/>
      <w:bookmarkStart w:id="10" w:name="_Toc233146912"/>
      <w:r>
        <w:rPr>
          <w:color w:val="1F3864"/>
        </w:rPr>
        <w:t>4. Matriz de Riesgos</w:t>
      </w:r>
      <w:bookmarkEnd w:id="9"/>
      <w:bookmarkEnd w:id="10"/>
    </w:p>
    <w:p w14:paraId="63EE09A7" w14:textId="77777777" w:rsidR="006079E9" w:rsidRDefault="00000000" w:rsidP="001A5773">
      <w:pPr>
        <w:jc w:val="both"/>
      </w:pPr>
      <w:r>
        <w:t>La matriz de riesgos se construye aplicando la fórmula Riesgo = Probabilidad × Impacto, según ISO 31000:2018 e ISO/IEC 27005. Las escalas utilizadas son de 1 (Muy Baja / Insignificante) a 5 (Muy Alta / Crítico).</w:t>
      </w:r>
    </w:p>
    <w:tbl>
      <w:tblPr>
        <w:tblStyle w:val="Tablaconcuadrcula"/>
        <w:tblW w:w="0" w:type="auto"/>
        <w:jc w:val="center"/>
        <w:tblLook w:val="04A0" w:firstRow="1" w:lastRow="0" w:firstColumn="1" w:lastColumn="0" w:noHBand="0" w:noVBand="1"/>
      </w:tblPr>
      <w:tblGrid>
        <w:gridCol w:w="481"/>
        <w:gridCol w:w="2710"/>
        <w:gridCol w:w="1843"/>
        <w:gridCol w:w="2872"/>
        <w:gridCol w:w="850"/>
        <w:gridCol w:w="794"/>
      </w:tblGrid>
      <w:tr w:rsidR="006079E9" w14:paraId="2158264F" w14:textId="77777777" w:rsidTr="001A5773">
        <w:trPr>
          <w:jc w:val="center"/>
        </w:trPr>
        <w:tc>
          <w:tcPr>
            <w:tcW w:w="481" w:type="dxa"/>
            <w:shd w:val="clear" w:color="auto" w:fill="1F3864"/>
          </w:tcPr>
          <w:p w14:paraId="3DF53A1D" w14:textId="77777777" w:rsidR="006079E9" w:rsidRDefault="00000000" w:rsidP="001A5773">
            <w:pPr>
              <w:jc w:val="both"/>
            </w:pPr>
            <w:r>
              <w:rPr>
                <w:b/>
                <w:color w:val="FFFFFF"/>
                <w:sz w:val="18"/>
              </w:rPr>
              <w:t>Nº</w:t>
            </w:r>
          </w:p>
        </w:tc>
        <w:tc>
          <w:tcPr>
            <w:tcW w:w="2710" w:type="dxa"/>
            <w:shd w:val="clear" w:color="auto" w:fill="1F3864"/>
          </w:tcPr>
          <w:p w14:paraId="03C33A56" w14:textId="77777777" w:rsidR="006079E9" w:rsidRDefault="00000000" w:rsidP="001A5773">
            <w:pPr>
              <w:jc w:val="both"/>
            </w:pPr>
            <w:r>
              <w:rPr>
                <w:b/>
                <w:color w:val="FFFFFF"/>
                <w:sz w:val="18"/>
              </w:rPr>
              <w:t>Riesgo</w:t>
            </w:r>
          </w:p>
        </w:tc>
        <w:tc>
          <w:tcPr>
            <w:tcW w:w="1843" w:type="dxa"/>
            <w:shd w:val="clear" w:color="auto" w:fill="1F3864"/>
          </w:tcPr>
          <w:p w14:paraId="73A1B9E0" w14:textId="77777777" w:rsidR="006079E9" w:rsidRDefault="00000000" w:rsidP="001A5773">
            <w:pPr>
              <w:jc w:val="both"/>
            </w:pPr>
            <w:r>
              <w:rPr>
                <w:b/>
                <w:color w:val="FFFFFF"/>
                <w:sz w:val="18"/>
              </w:rPr>
              <w:t>Activo afectado</w:t>
            </w:r>
          </w:p>
        </w:tc>
        <w:tc>
          <w:tcPr>
            <w:tcW w:w="2872" w:type="dxa"/>
            <w:shd w:val="clear" w:color="auto" w:fill="1F3864"/>
          </w:tcPr>
          <w:p w14:paraId="1E64AEE7" w14:textId="77777777" w:rsidR="006079E9" w:rsidRDefault="00000000" w:rsidP="001A5773">
            <w:pPr>
              <w:jc w:val="both"/>
            </w:pPr>
            <w:r>
              <w:rPr>
                <w:b/>
                <w:color w:val="FFFFFF"/>
                <w:sz w:val="18"/>
              </w:rPr>
              <w:t>Amenaza / Vulnerabilidad</w:t>
            </w:r>
          </w:p>
        </w:tc>
        <w:tc>
          <w:tcPr>
            <w:tcW w:w="850" w:type="dxa"/>
            <w:shd w:val="clear" w:color="auto" w:fill="1F3864"/>
          </w:tcPr>
          <w:p w14:paraId="17969662" w14:textId="77777777" w:rsidR="006079E9" w:rsidRDefault="00000000" w:rsidP="001A5773">
            <w:pPr>
              <w:jc w:val="both"/>
            </w:pPr>
            <w:r>
              <w:rPr>
                <w:b/>
                <w:color w:val="FFFFFF"/>
                <w:sz w:val="18"/>
              </w:rPr>
              <w:t>P × I</w:t>
            </w:r>
          </w:p>
        </w:tc>
        <w:tc>
          <w:tcPr>
            <w:tcW w:w="794" w:type="dxa"/>
            <w:shd w:val="clear" w:color="auto" w:fill="1F3864"/>
          </w:tcPr>
          <w:p w14:paraId="0713E580" w14:textId="77777777" w:rsidR="006079E9" w:rsidRDefault="00000000" w:rsidP="001A5773">
            <w:pPr>
              <w:jc w:val="both"/>
            </w:pPr>
            <w:r>
              <w:rPr>
                <w:b/>
                <w:color w:val="FFFFFF"/>
                <w:sz w:val="18"/>
              </w:rPr>
              <w:t>Nivel</w:t>
            </w:r>
          </w:p>
        </w:tc>
      </w:tr>
      <w:tr w:rsidR="006079E9" w14:paraId="5F1791F7" w14:textId="77777777" w:rsidTr="001A5773">
        <w:trPr>
          <w:jc w:val="center"/>
        </w:trPr>
        <w:tc>
          <w:tcPr>
            <w:tcW w:w="481" w:type="dxa"/>
          </w:tcPr>
          <w:p w14:paraId="4DC27120" w14:textId="77777777" w:rsidR="006079E9" w:rsidRDefault="00000000" w:rsidP="001A5773">
            <w:pPr>
              <w:jc w:val="both"/>
            </w:pPr>
            <w:r>
              <w:rPr>
                <w:sz w:val="17"/>
              </w:rPr>
              <w:t>R1</w:t>
            </w:r>
          </w:p>
        </w:tc>
        <w:tc>
          <w:tcPr>
            <w:tcW w:w="2710" w:type="dxa"/>
          </w:tcPr>
          <w:p w14:paraId="377ABCF4" w14:textId="77777777" w:rsidR="006079E9" w:rsidRDefault="00000000" w:rsidP="001A5773">
            <w:pPr>
              <w:jc w:val="both"/>
            </w:pPr>
            <w:r>
              <w:rPr>
                <w:sz w:val="17"/>
              </w:rPr>
              <w:t>Compromiso del pipeline de build de Orion</w:t>
            </w:r>
          </w:p>
        </w:tc>
        <w:tc>
          <w:tcPr>
            <w:tcW w:w="1843" w:type="dxa"/>
          </w:tcPr>
          <w:p w14:paraId="7AAFBECB" w14:textId="77777777" w:rsidR="006079E9" w:rsidRDefault="00000000" w:rsidP="001A5773">
            <w:pPr>
              <w:jc w:val="both"/>
            </w:pPr>
            <w:r>
              <w:rPr>
                <w:sz w:val="17"/>
              </w:rPr>
              <w:t>Sistema de compilación</w:t>
            </w:r>
          </w:p>
        </w:tc>
        <w:tc>
          <w:tcPr>
            <w:tcW w:w="2872" w:type="dxa"/>
          </w:tcPr>
          <w:p w14:paraId="43377000" w14:textId="77777777" w:rsidR="006079E9" w:rsidRDefault="00000000" w:rsidP="001A5773">
            <w:pPr>
              <w:jc w:val="both"/>
            </w:pPr>
            <w:r>
              <w:rPr>
                <w:sz w:val="17"/>
              </w:rPr>
              <w:t>Backdoor SUNBURST + monitoreo CI/CD insuficiente</w:t>
            </w:r>
          </w:p>
        </w:tc>
        <w:tc>
          <w:tcPr>
            <w:tcW w:w="850" w:type="dxa"/>
          </w:tcPr>
          <w:p w14:paraId="40D08C63" w14:textId="524BA1B3" w:rsidR="006079E9" w:rsidRDefault="00000000" w:rsidP="001A5773">
            <w:pPr>
              <w:jc w:val="both"/>
            </w:pPr>
            <w:r>
              <w:rPr>
                <w:sz w:val="17"/>
              </w:rPr>
              <w:t>5 ×5 = 25</w:t>
            </w:r>
          </w:p>
        </w:tc>
        <w:tc>
          <w:tcPr>
            <w:tcW w:w="794" w:type="dxa"/>
            <w:shd w:val="clear" w:color="auto" w:fill="EE0000"/>
          </w:tcPr>
          <w:p w14:paraId="1BA68A62" w14:textId="77777777" w:rsidR="006079E9" w:rsidRPr="001A5773" w:rsidRDefault="00000000" w:rsidP="00A702C8">
            <w:pPr>
              <w:jc w:val="center"/>
              <w:rPr>
                <w:b/>
                <w:bCs/>
                <w:color w:val="FFFFFF" w:themeColor="background1"/>
              </w:rPr>
            </w:pPr>
            <w:r w:rsidRPr="001A5773">
              <w:rPr>
                <w:b/>
                <w:bCs/>
                <w:color w:val="FFFFFF" w:themeColor="background1"/>
                <w:sz w:val="17"/>
              </w:rPr>
              <w:t>Crítico</w:t>
            </w:r>
          </w:p>
        </w:tc>
      </w:tr>
      <w:tr w:rsidR="006079E9" w14:paraId="157772D3" w14:textId="77777777" w:rsidTr="001A5773">
        <w:trPr>
          <w:jc w:val="center"/>
        </w:trPr>
        <w:tc>
          <w:tcPr>
            <w:tcW w:w="481" w:type="dxa"/>
          </w:tcPr>
          <w:p w14:paraId="26478BB2" w14:textId="77777777" w:rsidR="006079E9" w:rsidRDefault="00000000" w:rsidP="001A5773">
            <w:pPr>
              <w:jc w:val="both"/>
            </w:pPr>
            <w:r>
              <w:rPr>
                <w:sz w:val="17"/>
              </w:rPr>
              <w:t>R2</w:t>
            </w:r>
          </w:p>
        </w:tc>
        <w:tc>
          <w:tcPr>
            <w:tcW w:w="2710" w:type="dxa"/>
          </w:tcPr>
          <w:p w14:paraId="21C6F2C6" w14:textId="77777777" w:rsidR="006079E9" w:rsidRDefault="00000000" w:rsidP="001A5773">
            <w:pPr>
              <w:jc w:val="both"/>
            </w:pPr>
            <w:r>
              <w:rPr>
                <w:sz w:val="17"/>
              </w:rPr>
              <w:t>Distribución de actualizaciones maliciosas firmadas</w:t>
            </w:r>
          </w:p>
        </w:tc>
        <w:tc>
          <w:tcPr>
            <w:tcW w:w="1843" w:type="dxa"/>
          </w:tcPr>
          <w:p w14:paraId="685C57DD" w14:textId="77777777" w:rsidR="006079E9" w:rsidRDefault="00000000" w:rsidP="001A5773">
            <w:pPr>
              <w:jc w:val="both"/>
            </w:pPr>
            <w:r>
              <w:rPr>
                <w:sz w:val="17"/>
              </w:rPr>
              <w:t>Certificados digitales / Reputación</w:t>
            </w:r>
          </w:p>
        </w:tc>
        <w:tc>
          <w:tcPr>
            <w:tcW w:w="2872" w:type="dxa"/>
          </w:tcPr>
          <w:p w14:paraId="39A3B37E" w14:textId="77777777" w:rsidR="006079E9" w:rsidRDefault="00000000" w:rsidP="001A5773">
            <w:pPr>
              <w:jc w:val="both"/>
            </w:pPr>
            <w:r>
              <w:rPr>
                <w:sz w:val="17"/>
              </w:rPr>
              <w:t>Confianza implícita en la firma digital sin verificación adicional</w:t>
            </w:r>
          </w:p>
        </w:tc>
        <w:tc>
          <w:tcPr>
            <w:tcW w:w="850" w:type="dxa"/>
          </w:tcPr>
          <w:p w14:paraId="5829CC6D" w14:textId="3A873422" w:rsidR="006079E9" w:rsidRDefault="00000000" w:rsidP="001A5773">
            <w:pPr>
              <w:jc w:val="both"/>
            </w:pPr>
            <w:r>
              <w:rPr>
                <w:sz w:val="17"/>
              </w:rPr>
              <w:t>5 ×5 = 25</w:t>
            </w:r>
          </w:p>
        </w:tc>
        <w:tc>
          <w:tcPr>
            <w:tcW w:w="794" w:type="dxa"/>
            <w:shd w:val="clear" w:color="auto" w:fill="EE0000"/>
          </w:tcPr>
          <w:p w14:paraId="569461C4" w14:textId="77777777" w:rsidR="006079E9" w:rsidRPr="001A5773" w:rsidRDefault="00000000" w:rsidP="00A702C8">
            <w:pPr>
              <w:jc w:val="center"/>
              <w:rPr>
                <w:b/>
                <w:bCs/>
                <w:color w:val="FFFFFF" w:themeColor="background1"/>
              </w:rPr>
            </w:pPr>
            <w:r w:rsidRPr="001A5773">
              <w:rPr>
                <w:b/>
                <w:bCs/>
                <w:color w:val="FFFFFF" w:themeColor="background1"/>
                <w:sz w:val="17"/>
              </w:rPr>
              <w:t>Crítico</w:t>
            </w:r>
          </w:p>
        </w:tc>
      </w:tr>
      <w:tr w:rsidR="006079E9" w14:paraId="2708359E" w14:textId="77777777" w:rsidTr="001A5773">
        <w:trPr>
          <w:jc w:val="center"/>
        </w:trPr>
        <w:tc>
          <w:tcPr>
            <w:tcW w:w="481" w:type="dxa"/>
          </w:tcPr>
          <w:p w14:paraId="227CBB3B" w14:textId="77777777" w:rsidR="006079E9" w:rsidRDefault="00000000" w:rsidP="001A5773">
            <w:pPr>
              <w:jc w:val="both"/>
            </w:pPr>
            <w:r>
              <w:rPr>
                <w:sz w:val="17"/>
              </w:rPr>
              <w:t>R3</w:t>
            </w:r>
          </w:p>
        </w:tc>
        <w:tc>
          <w:tcPr>
            <w:tcW w:w="2710" w:type="dxa"/>
          </w:tcPr>
          <w:p w14:paraId="26279137" w14:textId="77777777" w:rsidR="006079E9" w:rsidRDefault="00000000" w:rsidP="001A5773">
            <w:pPr>
              <w:jc w:val="both"/>
            </w:pPr>
            <w:r>
              <w:rPr>
                <w:sz w:val="17"/>
              </w:rPr>
              <w:t>Espionaje a agencias del gobierno de EE.UU.</w:t>
            </w:r>
          </w:p>
        </w:tc>
        <w:tc>
          <w:tcPr>
            <w:tcW w:w="1843" w:type="dxa"/>
          </w:tcPr>
          <w:p w14:paraId="56FAA918" w14:textId="77777777" w:rsidR="006079E9" w:rsidRDefault="00000000" w:rsidP="001A5773">
            <w:pPr>
              <w:jc w:val="both"/>
            </w:pPr>
            <w:r>
              <w:rPr>
                <w:sz w:val="17"/>
              </w:rPr>
              <w:t>Información gubernamental</w:t>
            </w:r>
          </w:p>
        </w:tc>
        <w:tc>
          <w:tcPr>
            <w:tcW w:w="2872" w:type="dxa"/>
          </w:tcPr>
          <w:p w14:paraId="6935EDCF" w14:textId="77777777" w:rsidR="006079E9" w:rsidRDefault="00000000" w:rsidP="001A5773">
            <w:pPr>
              <w:jc w:val="both"/>
            </w:pPr>
            <w:r>
              <w:rPr>
                <w:sz w:val="17"/>
              </w:rPr>
              <w:t>APT29/Nobelium + acceso privilegiado no detectado</w:t>
            </w:r>
          </w:p>
        </w:tc>
        <w:tc>
          <w:tcPr>
            <w:tcW w:w="850" w:type="dxa"/>
          </w:tcPr>
          <w:p w14:paraId="54F11436" w14:textId="6FE7C99A" w:rsidR="006079E9" w:rsidRDefault="00000000" w:rsidP="001A5773">
            <w:pPr>
              <w:jc w:val="both"/>
            </w:pPr>
            <w:r>
              <w:rPr>
                <w:sz w:val="17"/>
              </w:rPr>
              <w:t>5 ×5 = 25</w:t>
            </w:r>
          </w:p>
        </w:tc>
        <w:tc>
          <w:tcPr>
            <w:tcW w:w="794" w:type="dxa"/>
            <w:shd w:val="clear" w:color="auto" w:fill="EE0000"/>
          </w:tcPr>
          <w:p w14:paraId="3FA138AE" w14:textId="77777777" w:rsidR="006079E9" w:rsidRPr="001A5773" w:rsidRDefault="00000000" w:rsidP="00A702C8">
            <w:pPr>
              <w:jc w:val="center"/>
              <w:rPr>
                <w:b/>
                <w:bCs/>
                <w:color w:val="FFFFFF" w:themeColor="background1"/>
              </w:rPr>
            </w:pPr>
            <w:r w:rsidRPr="001A5773">
              <w:rPr>
                <w:b/>
                <w:bCs/>
                <w:color w:val="FFFFFF" w:themeColor="background1"/>
                <w:sz w:val="17"/>
              </w:rPr>
              <w:t>Crítico</w:t>
            </w:r>
          </w:p>
        </w:tc>
      </w:tr>
      <w:tr w:rsidR="006079E9" w14:paraId="2F7B6A46" w14:textId="77777777" w:rsidTr="001A5773">
        <w:trPr>
          <w:jc w:val="center"/>
        </w:trPr>
        <w:tc>
          <w:tcPr>
            <w:tcW w:w="481" w:type="dxa"/>
          </w:tcPr>
          <w:p w14:paraId="00FDB00A" w14:textId="77777777" w:rsidR="006079E9" w:rsidRDefault="00000000" w:rsidP="001A5773">
            <w:pPr>
              <w:jc w:val="both"/>
            </w:pPr>
            <w:r>
              <w:rPr>
                <w:sz w:val="17"/>
              </w:rPr>
              <w:t>R4</w:t>
            </w:r>
          </w:p>
        </w:tc>
        <w:tc>
          <w:tcPr>
            <w:tcW w:w="2710" w:type="dxa"/>
          </w:tcPr>
          <w:p w14:paraId="1F57279B" w14:textId="77777777" w:rsidR="006079E9" w:rsidRDefault="00000000" w:rsidP="001A5773">
            <w:pPr>
              <w:jc w:val="both"/>
            </w:pPr>
            <w:r>
              <w:rPr>
                <w:sz w:val="17"/>
              </w:rPr>
              <w:t>Falsificación de tokens SAML (Golden SAML)</w:t>
            </w:r>
          </w:p>
        </w:tc>
        <w:tc>
          <w:tcPr>
            <w:tcW w:w="1843" w:type="dxa"/>
          </w:tcPr>
          <w:p w14:paraId="6D973315" w14:textId="77777777" w:rsidR="006079E9" w:rsidRDefault="00000000" w:rsidP="001A5773">
            <w:pPr>
              <w:jc w:val="both"/>
            </w:pPr>
            <w:r>
              <w:rPr>
                <w:sz w:val="17"/>
              </w:rPr>
              <w:t>Identidad / Accesos federados</w:t>
            </w:r>
          </w:p>
        </w:tc>
        <w:tc>
          <w:tcPr>
            <w:tcW w:w="2872" w:type="dxa"/>
          </w:tcPr>
          <w:p w14:paraId="5C8FA6CC" w14:textId="77777777" w:rsidR="006079E9" w:rsidRDefault="00000000" w:rsidP="001A5773">
            <w:pPr>
              <w:jc w:val="both"/>
            </w:pPr>
            <w:r>
              <w:rPr>
                <w:sz w:val="17"/>
              </w:rPr>
              <w:t>Compromiso de claves de firma de tokens ADFS</w:t>
            </w:r>
          </w:p>
        </w:tc>
        <w:tc>
          <w:tcPr>
            <w:tcW w:w="850" w:type="dxa"/>
          </w:tcPr>
          <w:p w14:paraId="0DFED394" w14:textId="2A2DFD33" w:rsidR="006079E9" w:rsidRDefault="00000000" w:rsidP="001A5773">
            <w:pPr>
              <w:jc w:val="both"/>
            </w:pPr>
            <w:r>
              <w:rPr>
                <w:sz w:val="17"/>
              </w:rPr>
              <w:t>4 ×5 = 20</w:t>
            </w:r>
          </w:p>
        </w:tc>
        <w:tc>
          <w:tcPr>
            <w:tcW w:w="794" w:type="dxa"/>
            <w:shd w:val="clear" w:color="auto" w:fill="EE0000"/>
          </w:tcPr>
          <w:p w14:paraId="040784B9" w14:textId="77777777" w:rsidR="006079E9" w:rsidRPr="001A5773" w:rsidRDefault="00000000" w:rsidP="00A702C8">
            <w:pPr>
              <w:jc w:val="center"/>
              <w:rPr>
                <w:b/>
                <w:bCs/>
                <w:color w:val="FFFFFF" w:themeColor="background1"/>
              </w:rPr>
            </w:pPr>
            <w:r w:rsidRPr="001A5773">
              <w:rPr>
                <w:b/>
                <w:bCs/>
                <w:color w:val="FFFFFF" w:themeColor="background1"/>
                <w:sz w:val="17"/>
              </w:rPr>
              <w:t>Crítico</w:t>
            </w:r>
          </w:p>
        </w:tc>
      </w:tr>
      <w:tr w:rsidR="006079E9" w14:paraId="383B92EB" w14:textId="77777777" w:rsidTr="001A5773">
        <w:trPr>
          <w:jc w:val="center"/>
        </w:trPr>
        <w:tc>
          <w:tcPr>
            <w:tcW w:w="481" w:type="dxa"/>
          </w:tcPr>
          <w:p w14:paraId="2CA8DAB2" w14:textId="77777777" w:rsidR="006079E9" w:rsidRDefault="00000000" w:rsidP="001A5773">
            <w:pPr>
              <w:jc w:val="both"/>
            </w:pPr>
            <w:r>
              <w:rPr>
                <w:sz w:val="17"/>
              </w:rPr>
              <w:t>R5</w:t>
            </w:r>
          </w:p>
        </w:tc>
        <w:tc>
          <w:tcPr>
            <w:tcW w:w="2710" w:type="dxa"/>
          </w:tcPr>
          <w:p w14:paraId="64DA9B47" w14:textId="77777777" w:rsidR="006079E9" w:rsidRDefault="00000000" w:rsidP="001A5773">
            <w:pPr>
              <w:jc w:val="both"/>
            </w:pPr>
            <w:r>
              <w:rPr>
                <w:sz w:val="17"/>
              </w:rPr>
              <w:t>Detección tardía del incidente (&gt;14 meses)</w:t>
            </w:r>
          </w:p>
        </w:tc>
        <w:tc>
          <w:tcPr>
            <w:tcW w:w="1843" w:type="dxa"/>
          </w:tcPr>
          <w:p w14:paraId="3183F0F9" w14:textId="77777777" w:rsidR="006079E9" w:rsidRDefault="00000000" w:rsidP="001A5773">
            <w:pPr>
              <w:jc w:val="both"/>
            </w:pPr>
            <w:r>
              <w:rPr>
                <w:sz w:val="17"/>
              </w:rPr>
              <w:t>Continuidad / Reputación</w:t>
            </w:r>
          </w:p>
        </w:tc>
        <w:tc>
          <w:tcPr>
            <w:tcW w:w="2872" w:type="dxa"/>
          </w:tcPr>
          <w:p w14:paraId="2DC055CD" w14:textId="77777777" w:rsidR="006079E9" w:rsidRDefault="00000000" w:rsidP="001A5773">
            <w:pPr>
              <w:jc w:val="both"/>
            </w:pPr>
            <w:r>
              <w:rPr>
                <w:sz w:val="17"/>
              </w:rPr>
              <w:t>Monitoreo insuficiente, SOC limitado</w:t>
            </w:r>
          </w:p>
        </w:tc>
        <w:tc>
          <w:tcPr>
            <w:tcW w:w="850" w:type="dxa"/>
          </w:tcPr>
          <w:p w14:paraId="46A86F0A" w14:textId="415768DD" w:rsidR="006079E9" w:rsidRDefault="00000000" w:rsidP="001A5773">
            <w:pPr>
              <w:jc w:val="both"/>
            </w:pPr>
            <w:r>
              <w:rPr>
                <w:sz w:val="17"/>
              </w:rPr>
              <w:t>4 ×4 = 16</w:t>
            </w:r>
          </w:p>
        </w:tc>
        <w:tc>
          <w:tcPr>
            <w:tcW w:w="794" w:type="dxa"/>
            <w:shd w:val="clear" w:color="auto" w:fill="FFC000"/>
          </w:tcPr>
          <w:p w14:paraId="46B8BD1B" w14:textId="77777777" w:rsidR="006079E9" w:rsidRPr="001A5773" w:rsidRDefault="00000000" w:rsidP="00A702C8">
            <w:pPr>
              <w:jc w:val="center"/>
              <w:rPr>
                <w:b/>
                <w:bCs/>
                <w:color w:val="FFFFFF" w:themeColor="background1"/>
              </w:rPr>
            </w:pPr>
            <w:r w:rsidRPr="001A5773">
              <w:rPr>
                <w:b/>
                <w:bCs/>
                <w:color w:val="FFFFFF" w:themeColor="background1"/>
                <w:sz w:val="17"/>
              </w:rPr>
              <w:t>Alto</w:t>
            </w:r>
          </w:p>
        </w:tc>
      </w:tr>
      <w:tr w:rsidR="006079E9" w14:paraId="77559BA3" w14:textId="77777777" w:rsidTr="001A5773">
        <w:trPr>
          <w:jc w:val="center"/>
        </w:trPr>
        <w:tc>
          <w:tcPr>
            <w:tcW w:w="481" w:type="dxa"/>
          </w:tcPr>
          <w:p w14:paraId="6080209A" w14:textId="77777777" w:rsidR="006079E9" w:rsidRDefault="00000000" w:rsidP="001A5773">
            <w:pPr>
              <w:jc w:val="both"/>
            </w:pPr>
            <w:r>
              <w:rPr>
                <w:sz w:val="17"/>
              </w:rPr>
              <w:t>R6</w:t>
            </w:r>
          </w:p>
        </w:tc>
        <w:tc>
          <w:tcPr>
            <w:tcW w:w="2710" w:type="dxa"/>
          </w:tcPr>
          <w:p w14:paraId="2E6FAEFB" w14:textId="77777777" w:rsidR="006079E9" w:rsidRDefault="00000000" w:rsidP="001A5773">
            <w:pPr>
              <w:jc w:val="both"/>
            </w:pPr>
            <w:r>
              <w:rPr>
                <w:sz w:val="17"/>
              </w:rPr>
              <w:t>Propagación a terceros (Microsoft, FireEye, Cisco, Intel)</w:t>
            </w:r>
          </w:p>
        </w:tc>
        <w:tc>
          <w:tcPr>
            <w:tcW w:w="1843" w:type="dxa"/>
          </w:tcPr>
          <w:p w14:paraId="0D989067" w14:textId="77777777" w:rsidR="006079E9" w:rsidRDefault="00000000" w:rsidP="001A5773">
            <w:pPr>
              <w:jc w:val="both"/>
            </w:pPr>
            <w:r>
              <w:rPr>
                <w:sz w:val="17"/>
              </w:rPr>
              <w:t>Cadena de suministro</w:t>
            </w:r>
          </w:p>
        </w:tc>
        <w:tc>
          <w:tcPr>
            <w:tcW w:w="2872" w:type="dxa"/>
          </w:tcPr>
          <w:p w14:paraId="30E88241" w14:textId="77777777" w:rsidR="006079E9" w:rsidRDefault="00000000" w:rsidP="001A5773">
            <w:pPr>
              <w:jc w:val="both"/>
            </w:pPr>
            <w:r>
              <w:rPr>
                <w:sz w:val="17"/>
              </w:rPr>
              <w:t>Confianza excesiva en proveedor único de software</w:t>
            </w:r>
          </w:p>
        </w:tc>
        <w:tc>
          <w:tcPr>
            <w:tcW w:w="850" w:type="dxa"/>
          </w:tcPr>
          <w:p w14:paraId="62D9D25A" w14:textId="515ED03C" w:rsidR="006079E9" w:rsidRDefault="00000000" w:rsidP="001A5773">
            <w:pPr>
              <w:jc w:val="both"/>
            </w:pPr>
            <w:r>
              <w:rPr>
                <w:sz w:val="17"/>
              </w:rPr>
              <w:t>4 ×4 = 16</w:t>
            </w:r>
          </w:p>
        </w:tc>
        <w:tc>
          <w:tcPr>
            <w:tcW w:w="794" w:type="dxa"/>
            <w:shd w:val="clear" w:color="auto" w:fill="FFC000"/>
          </w:tcPr>
          <w:p w14:paraId="59679F42" w14:textId="77777777" w:rsidR="006079E9" w:rsidRPr="001A5773" w:rsidRDefault="00000000" w:rsidP="00A702C8">
            <w:pPr>
              <w:jc w:val="center"/>
              <w:rPr>
                <w:b/>
                <w:bCs/>
                <w:color w:val="FFFFFF" w:themeColor="background1"/>
              </w:rPr>
            </w:pPr>
            <w:r w:rsidRPr="001A5773">
              <w:rPr>
                <w:b/>
                <w:bCs/>
                <w:color w:val="FFFFFF" w:themeColor="background1"/>
                <w:sz w:val="17"/>
              </w:rPr>
              <w:t>Alto</w:t>
            </w:r>
          </w:p>
        </w:tc>
      </w:tr>
      <w:tr w:rsidR="006079E9" w14:paraId="60201005" w14:textId="77777777" w:rsidTr="001A5773">
        <w:trPr>
          <w:jc w:val="center"/>
        </w:trPr>
        <w:tc>
          <w:tcPr>
            <w:tcW w:w="481" w:type="dxa"/>
          </w:tcPr>
          <w:p w14:paraId="2A40B54D" w14:textId="77777777" w:rsidR="006079E9" w:rsidRDefault="00000000" w:rsidP="001A5773">
            <w:pPr>
              <w:jc w:val="both"/>
            </w:pPr>
            <w:r>
              <w:rPr>
                <w:sz w:val="17"/>
              </w:rPr>
              <w:t>R7</w:t>
            </w:r>
          </w:p>
        </w:tc>
        <w:tc>
          <w:tcPr>
            <w:tcW w:w="2710" w:type="dxa"/>
          </w:tcPr>
          <w:p w14:paraId="0F7812D5" w14:textId="77777777" w:rsidR="006079E9" w:rsidRDefault="00000000" w:rsidP="001A5773">
            <w:pPr>
              <w:jc w:val="both"/>
            </w:pPr>
            <w:r>
              <w:rPr>
                <w:sz w:val="17"/>
              </w:rPr>
              <w:t>Filtración de credenciales del servidor de actualizaciones</w:t>
            </w:r>
          </w:p>
        </w:tc>
        <w:tc>
          <w:tcPr>
            <w:tcW w:w="1843" w:type="dxa"/>
          </w:tcPr>
          <w:p w14:paraId="0C773047" w14:textId="77777777" w:rsidR="006079E9" w:rsidRDefault="00000000" w:rsidP="001A5773">
            <w:pPr>
              <w:jc w:val="both"/>
            </w:pPr>
            <w:r>
              <w:rPr>
                <w:sz w:val="17"/>
              </w:rPr>
              <w:t>Comunicaciones / Accesos</w:t>
            </w:r>
          </w:p>
        </w:tc>
        <w:tc>
          <w:tcPr>
            <w:tcW w:w="2872" w:type="dxa"/>
          </w:tcPr>
          <w:p w14:paraId="5383BE6D" w14:textId="77777777" w:rsidR="006079E9" w:rsidRDefault="00000000" w:rsidP="001A5773">
            <w:pPr>
              <w:jc w:val="both"/>
            </w:pPr>
            <w:r>
              <w:rPr>
                <w:sz w:val="17"/>
              </w:rPr>
              <w:t>Contraseña débil expuesta ("solarwinds123")</w:t>
            </w:r>
          </w:p>
        </w:tc>
        <w:tc>
          <w:tcPr>
            <w:tcW w:w="850" w:type="dxa"/>
          </w:tcPr>
          <w:p w14:paraId="002D4301" w14:textId="3D67617E" w:rsidR="006079E9" w:rsidRDefault="00000000" w:rsidP="001A5773">
            <w:pPr>
              <w:jc w:val="both"/>
            </w:pPr>
            <w:r>
              <w:rPr>
                <w:sz w:val="17"/>
              </w:rPr>
              <w:t>3 ×4 = 12</w:t>
            </w:r>
          </w:p>
        </w:tc>
        <w:tc>
          <w:tcPr>
            <w:tcW w:w="794" w:type="dxa"/>
            <w:shd w:val="clear" w:color="auto" w:fill="FFC000"/>
          </w:tcPr>
          <w:p w14:paraId="637023F3" w14:textId="77777777" w:rsidR="006079E9" w:rsidRPr="001A5773" w:rsidRDefault="00000000" w:rsidP="00A702C8">
            <w:pPr>
              <w:jc w:val="center"/>
              <w:rPr>
                <w:b/>
                <w:bCs/>
                <w:color w:val="FFFFFF" w:themeColor="background1"/>
              </w:rPr>
            </w:pPr>
            <w:r w:rsidRPr="001A5773">
              <w:rPr>
                <w:b/>
                <w:bCs/>
                <w:color w:val="FFFFFF" w:themeColor="background1"/>
                <w:sz w:val="17"/>
              </w:rPr>
              <w:t>Alto</w:t>
            </w:r>
          </w:p>
        </w:tc>
      </w:tr>
      <w:tr w:rsidR="006079E9" w14:paraId="15B67BF1" w14:textId="77777777" w:rsidTr="001A5773">
        <w:trPr>
          <w:jc w:val="center"/>
        </w:trPr>
        <w:tc>
          <w:tcPr>
            <w:tcW w:w="481" w:type="dxa"/>
          </w:tcPr>
          <w:p w14:paraId="491389E0" w14:textId="77777777" w:rsidR="006079E9" w:rsidRDefault="00000000" w:rsidP="001A5773">
            <w:pPr>
              <w:jc w:val="both"/>
            </w:pPr>
            <w:r>
              <w:rPr>
                <w:sz w:val="17"/>
              </w:rPr>
              <w:t>R8</w:t>
            </w:r>
          </w:p>
        </w:tc>
        <w:tc>
          <w:tcPr>
            <w:tcW w:w="2710" w:type="dxa"/>
          </w:tcPr>
          <w:p w14:paraId="0D9D2C19" w14:textId="77777777" w:rsidR="006079E9" w:rsidRDefault="00000000" w:rsidP="001A5773">
            <w:pPr>
              <w:jc w:val="both"/>
            </w:pPr>
            <w:r>
              <w:rPr>
                <w:sz w:val="17"/>
              </w:rPr>
              <w:t>Sanciones regulatorias (SEC) por divulgación tardía</w:t>
            </w:r>
          </w:p>
        </w:tc>
        <w:tc>
          <w:tcPr>
            <w:tcW w:w="1843" w:type="dxa"/>
          </w:tcPr>
          <w:p w14:paraId="61B166C3" w14:textId="77777777" w:rsidR="006079E9" w:rsidRDefault="00000000" w:rsidP="001A5773">
            <w:pPr>
              <w:jc w:val="both"/>
            </w:pPr>
            <w:r>
              <w:rPr>
                <w:sz w:val="17"/>
              </w:rPr>
              <w:t>Legal / Reputacional</w:t>
            </w:r>
          </w:p>
        </w:tc>
        <w:tc>
          <w:tcPr>
            <w:tcW w:w="2872" w:type="dxa"/>
          </w:tcPr>
          <w:p w14:paraId="6DC04312" w14:textId="77777777" w:rsidR="006079E9" w:rsidRDefault="00000000" w:rsidP="001A5773">
            <w:pPr>
              <w:jc w:val="both"/>
            </w:pPr>
            <w:r>
              <w:rPr>
                <w:sz w:val="17"/>
              </w:rPr>
              <w:t>Incumplimiento de revelación oportuna del incidente</w:t>
            </w:r>
          </w:p>
        </w:tc>
        <w:tc>
          <w:tcPr>
            <w:tcW w:w="850" w:type="dxa"/>
          </w:tcPr>
          <w:p w14:paraId="03D9E987" w14:textId="4213F47E" w:rsidR="006079E9" w:rsidRDefault="00000000" w:rsidP="001A5773">
            <w:pPr>
              <w:jc w:val="both"/>
            </w:pPr>
            <w:r>
              <w:rPr>
                <w:sz w:val="17"/>
              </w:rPr>
              <w:t>3 ×4 = 12</w:t>
            </w:r>
          </w:p>
        </w:tc>
        <w:tc>
          <w:tcPr>
            <w:tcW w:w="794" w:type="dxa"/>
            <w:shd w:val="clear" w:color="auto" w:fill="FFC000"/>
          </w:tcPr>
          <w:p w14:paraId="59E08761" w14:textId="77777777" w:rsidR="006079E9" w:rsidRPr="001A5773" w:rsidRDefault="00000000" w:rsidP="00A702C8">
            <w:pPr>
              <w:jc w:val="center"/>
              <w:rPr>
                <w:b/>
                <w:bCs/>
                <w:color w:val="FFFFFF" w:themeColor="background1"/>
              </w:rPr>
            </w:pPr>
            <w:r w:rsidRPr="001A5773">
              <w:rPr>
                <w:b/>
                <w:bCs/>
                <w:color w:val="FFFFFF" w:themeColor="background1"/>
                <w:sz w:val="17"/>
              </w:rPr>
              <w:t>Alto</w:t>
            </w:r>
          </w:p>
        </w:tc>
      </w:tr>
      <w:tr w:rsidR="006079E9" w14:paraId="6A3357D1" w14:textId="77777777" w:rsidTr="001A5773">
        <w:trPr>
          <w:jc w:val="center"/>
        </w:trPr>
        <w:tc>
          <w:tcPr>
            <w:tcW w:w="481" w:type="dxa"/>
          </w:tcPr>
          <w:p w14:paraId="14BD8F04" w14:textId="77777777" w:rsidR="006079E9" w:rsidRDefault="00000000" w:rsidP="001A5773">
            <w:pPr>
              <w:jc w:val="both"/>
            </w:pPr>
            <w:r>
              <w:rPr>
                <w:sz w:val="17"/>
              </w:rPr>
              <w:t>R9</w:t>
            </w:r>
          </w:p>
        </w:tc>
        <w:tc>
          <w:tcPr>
            <w:tcW w:w="2710" w:type="dxa"/>
          </w:tcPr>
          <w:p w14:paraId="47244459" w14:textId="77777777" w:rsidR="006079E9" w:rsidRDefault="00000000" w:rsidP="001A5773">
            <w:pPr>
              <w:jc w:val="both"/>
            </w:pPr>
            <w:r>
              <w:rPr>
                <w:sz w:val="17"/>
              </w:rPr>
              <w:t>Caída del valor accionario y pérdida de clientes</w:t>
            </w:r>
          </w:p>
        </w:tc>
        <w:tc>
          <w:tcPr>
            <w:tcW w:w="1843" w:type="dxa"/>
          </w:tcPr>
          <w:p w14:paraId="555EF780" w14:textId="77777777" w:rsidR="006079E9" w:rsidRDefault="00000000" w:rsidP="001A5773">
            <w:pPr>
              <w:jc w:val="both"/>
            </w:pPr>
            <w:r>
              <w:rPr>
                <w:sz w:val="17"/>
              </w:rPr>
              <w:t>Financiero / Reputacional</w:t>
            </w:r>
          </w:p>
        </w:tc>
        <w:tc>
          <w:tcPr>
            <w:tcW w:w="2872" w:type="dxa"/>
          </w:tcPr>
          <w:p w14:paraId="3749DC4A" w14:textId="77777777" w:rsidR="006079E9" w:rsidRDefault="00000000" w:rsidP="001A5773">
            <w:pPr>
              <w:jc w:val="both"/>
            </w:pPr>
            <w:r>
              <w:rPr>
                <w:sz w:val="17"/>
              </w:rPr>
              <w:t>Pérdida de confianza tras la revelación pública</w:t>
            </w:r>
          </w:p>
        </w:tc>
        <w:tc>
          <w:tcPr>
            <w:tcW w:w="850" w:type="dxa"/>
          </w:tcPr>
          <w:p w14:paraId="2794E737" w14:textId="129757D3" w:rsidR="006079E9" w:rsidRDefault="00000000" w:rsidP="001A5773">
            <w:pPr>
              <w:jc w:val="both"/>
            </w:pPr>
            <w:r>
              <w:rPr>
                <w:sz w:val="17"/>
              </w:rPr>
              <w:t>3 ×4 = 12</w:t>
            </w:r>
          </w:p>
        </w:tc>
        <w:tc>
          <w:tcPr>
            <w:tcW w:w="794" w:type="dxa"/>
            <w:shd w:val="clear" w:color="auto" w:fill="FFC000"/>
          </w:tcPr>
          <w:p w14:paraId="1676E4C7" w14:textId="77777777" w:rsidR="006079E9" w:rsidRPr="001A5773" w:rsidRDefault="00000000" w:rsidP="00A702C8">
            <w:pPr>
              <w:jc w:val="center"/>
              <w:rPr>
                <w:b/>
                <w:bCs/>
                <w:color w:val="FFFFFF" w:themeColor="background1"/>
              </w:rPr>
            </w:pPr>
            <w:r w:rsidRPr="001A5773">
              <w:rPr>
                <w:b/>
                <w:bCs/>
                <w:color w:val="FFFFFF" w:themeColor="background1"/>
                <w:sz w:val="17"/>
              </w:rPr>
              <w:t>Alto</w:t>
            </w:r>
          </w:p>
        </w:tc>
      </w:tr>
      <w:tr w:rsidR="006079E9" w14:paraId="27092F75" w14:textId="77777777" w:rsidTr="001A5773">
        <w:trPr>
          <w:jc w:val="center"/>
        </w:trPr>
        <w:tc>
          <w:tcPr>
            <w:tcW w:w="481" w:type="dxa"/>
          </w:tcPr>
          <w:p w14:paraId="4EBCEF9A" w14:textId="77777777" w:rsidR="006079E9" w:rsidRDefault="00000000" w:rsidP="001A5773">
            <w:pPr>
              <w:jc w:val="both"/>
            </w:pPr>
            <w:r>
              <w:rPr>
                <w:sz w:val="17"/>
              </w:rPr>
              <w:t>R10</w:t>
            </w:r>
          </w:p>
        </w:tc>
        <w:tc>
          <w:tcPr>
            <w:tcW w:w="2710" w:type="dxa"/>
          </w:tcPr>
          <w:p w14:paraId="4140B865" w14:textId="77777777" w:rsidR="006079E9" w:rsidRDefault="00000000" w:rsidP="001A5773">
            <w:pPr>
              <w:jc w:val="both"/>
            </w:pPr>
            <w:r>
              <w:rPr>
                <w:sz w:val="17"/>
              </w:rPr>
              <w:t>Respuesta de parcheo tardía o incompleta en clientes</w:t>
            </w:r>
          </w:p>
        </w:tc>
        <w:tc>
          <w:tcPr>
            <w:tcW w:w="1843" w:type="dxa"/>
          </w:tcPr>
          <w:p w14:paraId="6AEEBF2C" w14:textId="77777777" w:rsidR="006079E9" w:rsidRDefault="00000000" w:rsidP="001A5773">
            <w:pPr>
              <w:jc w:val="both"/>
            </w:pPr>
            <w:r>
              <w:rPr>
                <w:sz w:val="17"/>
              </w:rPr>
              <w:t>Operación / Continuidad</w:t>
            </w:r>
          </w:p>
        </w:tc>
        <w:tc>
          <w:tcPr>
            <w:tcW w:w="2872" w:type="dxa"/>
          </w:tcPr>
          <w:p w14:paraId="6428FBEF" w14:textId="77777777" w:rsidR="006079E9" w:rsidRDefault="00000000" w:rsidP="001A5773">
            <w:pPr>
              <w:jc w:val="both"/>
            </w:pPr>
            <w:r>
              <w:rPr>
                <w:sz w:val="17"/>
              </w:rPr>
              <w:t>Planes de respuesta a incidentes inmaduros en organizaciones clientes</w:t>
            </w:r>
          </w:p>
        </w:tc>
        <w:tc>
          <w:tcPr>
            <w:tcW w:w="850" w:type="dxa"/>
          </w:tcPr>
          <w:p w14:paraId="1355F0E5" w14:textId="77777777" w:rsidR="006079E9" w:rsidRDefault="00000000" w:rsidP="001A5773">
            <w:pPr>
              <w:jc w:val="both"/>
            </w:pPr>
            <w:r>
              <w:rPr>
                <w:sz w:val="17"/>
              </w:rPr>
              <w:t>3 × 3 = 9</w:t>
            </w:r>
          </w:p>
        </w:tc>
        <w:tc>
          <w:tcPr>
            <w:tcW w:w="794" w:type="dxa"/>
            <w:shd w:val="clear" w:color="auto" w:fill="948A54" w:themeFill="background2" w:themeFillShade="80"/>
          </w:tcPr>
          <w:p w14:paraId="63073856" w14:textId="77777777" w:rsidR="006079E9" w:rsidRPr="001A5773" w:rsidRDefault="00000000" w:rsidP="00A702C8">
            <w:pPr>
              <w:jc w:val="center"/>
              <w:rPr>
                <w:b/>
                <w:bCs/>
                <w:color w:val="FFFFFF" w:themeColor="background1"/>
              </w:rPr>
            </w:pPr>
            <w:r w:rsidRPr="001A5773">
              <w:rPr>
                <w:b/>
                <w:bCs/>
                <w:color w:val="FFFFFF" w:themeColor="background1"/>
                <w:sz w:val="17"/>
              </w:rPr>
              <w:t>Medio</w:t>
            </w:r>
          </w:p>
        </w:tc>
      </w:tr>
    </w:tbl>
    <w:p w14:paraId="750334DF" w14:textId="77777777" w:rsidR="006079E9" w:rsidRDefault="00000000" w:rsidP="00A702C8">
      <w:pPr>
        <w:jc w:val="center"/>
      </w:pPr>
      <w:r w:rsidRPr="001A5773">
        <w:rPr>
          <w:b/>
          <w:bCs/>
          <w:sz w:val="28"/>
          <w:szCs w:val="28"/>
        </w:rPr>
        <w:t>Leyenda</w:t>
      </w:r>
      <w:r>
        <w:t xml:space="preserve">: </w:t>
      </w:r>
      <w:r w:rsidRPr="001A5773">
        <w:rPr>
          <w:rFonts w:ascii="Arial" w:eastAsia="Calibri" w:hAnsi="Arial" w:cs="Arial"/>
          <w:b/>
          <w:bCs/>
          <w:color w:val="C00000"/>
          <w:sz w:val="24"/>
          <w:szCs w:val="24"/>
          <w:lang w:val="es-PE" w:eastAsia="es-PE"/>
        </w:rPr>
        <w:t>Crítico</w:t>
      </w:r>
      <w:r>
        <w:t xml:space="preserve"> (20–25) • </w:t>
      </w:r>
      <w:r w:rsidRPr="001A5773">
        <w:rPr>
          <w:rFonts w:ascii="Arial" w:eastAsia="Calibri" w:hAnsi="Arial" w:cs="Arial"/>
          <w:b/>
          <w:bCs/>
          <w:color w:val="ED7D31"/>
          <w:sz w:val="24"/>
          <w:szCs w:val="24"/>
          <w:lang w:val="es-PE" w:eastAsia="es-PE"/>
        </w:rPr>
        <w:t>Alto</w:t>
      </w:r>
      <w:r>
        <w:t xml:space="preserve"> (12–16) • </w:t>
      </w:r>
      <w:r w:rsidRPr="001A5773">
        <w:rPr>
          <w:rFonts w:ascii="Arial" w:eastAsia="Calibri" w:hAnsi="Arial" w:cs="Arial"/>
          <w:b/>
          <w:bCs/>
          <w:color w:val="BF8F00"/>
          <w:sz w:val="24"/>
          <w:szCs w:val="24"/>
          <w:lang w:val="es-PE" w:eastAsia="es-PE"/>
        </w:rPr>
        <w:t>Medio</w:t>
      </w:r>
      <w:r>
        <w:t xml:space="preserve"> (6–10) • </w:t>
      </w:r>
      <w:r w:rsidRPr="001A5773">
        <w:rPr>
          <w:rFonts w:ascii="Arial" w:eastAsia="Calibri" w:hAnsi="Arial" w:cs="Arial"/>
          <w:b/>
          <w:bCs/>
          <w:color w:val="70AD47"/>
          <w:sz w:val="24"/>
          <w:szCs w:val="24"/>
          <w:lang w:val="es-PE" w:eastAsia="es-PE"/>
        </w:rPr>
        <w:t>Bajo</w:t>
      </w:r>
      <w:r>
        <w:t xml:space="preserve"> (1–5)</w:t>
      </w:r>
    </w:p>
    <w:p w14:paraId="78343E9F" w14:textId="075357CB" w:rsidR="00A702C8" w:rsidRPr="00A702C8" w:rsidRDefault="00A702C8" w:rsidP="00A702C8">
      <w:pPr>
        <w:tabs>
          <w:tab w:val="left" w:pos="3230"/>
        </w:tabs>
      </w:pPr>
      <w:r>
        <w:tab/>
      </w:r>
    </w:p>
    <w:p w14:paraId="17105463" w14:textId="77777777" w:rsidR="006079E9" w:rsidRDefault="00000000" w:rsidP="001A5773">
      <w:pPr>
        <w:pStyle w:val="Ttulo1"/>
        <w:jc w:val="both"/>
      </w:pPr>
      <w:bookmarkStart w:id="11" w:name="_Toc233146862"/>
      <w:bookmarkStart w:id="12" w:name="_Toc233146913"/>
      <w:r>
        <w:rPr>
          <w:color w:val="1F3864"/>
        </w:rPr>
        <w:lastRenderedPageBreak/>
        <w:t>5. Indicadores Clave de Riesgo (KRIs)</w:t>
      </w:r>
      <w:bookmarkEnd w:id="11"/>
      <w:bookmarkEnd w:id="12"/>
    </w:p>
    <w:p w14:paraId="688219BA" w14:textId="77777777" w:rsidR="006079E9" w:rsidRDefault="00000000" w:rsidP="001A5773">
      <w:pPr>
        <w:jc w:val="both"/>
      </w:pPr>
      <w:r>
        <w:t>Los Key Risk Indicators permiten monitorear de forma proactiva la evolución de los riesgos y alertar tempranamente sobre desviaciones. A continuación, se proponen KRIs específicos para un escenario tipo SolarWinds, orientados a la seguridad de la cadena de suministro de software:</w:t>
      </w:r>
    </w:p>
    <w:tbl>
      <w:tblPr>
        <w:tblStyle w:val="Tablaconcuadrcula"/>
        <w:tblW w:w="0" w:type="auto"/>
        <w:jc w:val="center"/>
        <w:tblLook w:val="04A0" w:firstRow="1" w:lastRow="0" w:firstColumn="1" w:lastColumn="0" w:noHBand="0" w:noVBand="1"/>
      </w:tblPr>
      <w:tblGrid>
        <w:gridCol w:w="477"/>
        <w:gridCol w:w="3814"/>
        <w:gridCol w:w="2551"/>
        <w:gridCol w:w="1247"/>
        <w:gridCol w:w="1474"/>
      </w:tblGrid>
      <w:tr w:rsidR="006079E9" w14:paraId="6C75217B" w14:textId="77777777" w:rsidTr="001A5773">
        <w:trPr>
          <w:jc w:val="center"/>
        </w:trPr>
        <w:tc>
          <w:tcPr>
            <w:tcW w:w="256" w:type="dxa"/>
            <w:shd w:val="clear" w:color="auto" w:fill="1F3864"/>
          </w:tcPr>
          <w:p w14:paraId="6221E483" w14:textId="77777777" w:rsidR="006079E9" w:rsidRDefault="00000000" w:rsidP="001A5773">
            <w:pPr>
              <w:jc w:val="both"/>
            </w:pPr>
            <w:r>
              <w:rPr>
                <w:b/>
                <w:color w:val="FFFFFF"/>
                <w:sz w:val="18"/>
              </w:rPr>
              <w:t>Nº</w:t>
            </w:r>
          </w:p>
        </w:tc>
        <w:tc>
          <w:tcPr>
            <w:tcW w:w="3814" w:type="dxa"/>
            <w:shd w:val="clear" w:color="auto" w:fill="1F3864"/>
          </w:tcPr>
          <w:p w14:paraId="49485DAA" w14:textId="77777777" w:rsidR="006079E9" w:rsidRDefault="00000000" w:rsidP="001A5773">
            <w:pPr>
              <w:jc w:val="both"/>
            </w:pPr>
            <w:r>
              <w:rPr>
                <w:b/>
                <w:color w:val="FFFFFF"/>
                <w:sz w:val="18"/>
              </w:rPr>
              <w:t>Indicador (KRI)</w:t>
            </w:r>
          </w:p>
        </w:tc>
        <w:tc>
          <w:tcPr>
            <w:tcW w:w="2551" w:type="dxa"/>
            <w:shd w:val="clear" w:color="auto" w:fill="1F3864"/>
          </w:tcPr>
          <w:p w14:paraId="783E280F" w14:textId="77777777" w:rsidR="006079E9" w:rsidRDefault="00000000" w:rsidP="001A5773">
            <w:pPr>
              <w:jc w:val="both"/>
            </w:pPr>
            <w:r>
              <w:rPr>
                <w:b/>
                <w:color w:val="FFFFFF"/>
                <w:sz w:val="18"/>
              </w:rPr>
              <w:t>Fórmula / Métrica</w:t>
            </w:r>
          </w:p>
        </w:tc>
        <w:tc>
          <w:tcPr>
            <w:tcW w:w="1247" w:type="dxa"/>
            <w:shd w:val="clear" w:color="auto" w:fill="1F3864"/>
          </w:tcPr>
          <w:p w14:paraId="0393B779" w14:textId="77777777" w:rsidR="006079E9" w:rsidRDefault="00000000" w:rsidP="001A5773">
            <w:pPr>
              <w:jc w:val="both"/>
            </w:pPr>
            <w:r>
              <w:rPr>
                <w:b/>
                <w:color w:val="FFFFFF"/>
                <w:sz w:val="18"/>
              </w:rPr>
              <w:t>Umbral de alerta</w:t>
            </w:r>
          </w:p>
        </w:tc>
        <w:tc>
          <w:tcPr>
            <w:tcW w:w="1474" w:type="dxa"/>
            <w:shd w:val="clear" w:color="auto" w:fill="1F3864"/>
          </w:tcPr>
          <w:p w14:paraId="54F23F59" w14:textId="77777777" w:rsidR="006079E9" w:rsidRDefault="00000000" w:rsidP="001A5773">
            <w:pPr>
              <w:jc w:val="both"/>
            </w:pPr>
            <w:r>
              <w:rPr>
                <w:b/>
                <w:color w:val="FFFFFF"/>
                <w:sz w:val="18"/>
              </w:rPr>
              <w:t>Riesgo asociado</w:t>
            </w:r>
          </w:p>
        </w:tc>
      </w:tr>
      <w:tr w:rsidR="006079E9" w14:paraId="43CDDC6A" w14:textId="77777777" w:rsidTr="001A5773">
        <w:trPr>
          <w:jc w:val="center"/>
        </w:trPr>
        <w:tc>
          <w:tcPr>
            <w:tcW w:w="256" w:type="dxa"/>
          </w:tcPr>
          <w:p w14:paraId="649257F4" w14:textId="77777777" w:rsidR="006079E9" w:rsidRDefault="00000000" w:rsidP="001A5773">
            <w:pPr>
              <w:jc w:val="both"/>
            </w:pPr>
            <w:r>
              <w:rPr>
                <w:sz w:val="17"/>
              </w:rPr>
              <w:t>K1</w:t>
            </w:r>
          </w:p>
        </w:tc>
        <w:tc>
          <w:tcPr>
            <w:tcW w:w="3814" w:type="dxa"/>
          </w:tcPr>
          <w:p w14:paraId="5D45179C" w14:textId="77777777" w:rsidR="006079E9" w:rsidRDefault="00000000" w:rsidP="001A5773">
            <w:pPr>
              <w:jc w:val="both"/>
            </w:pPr>
            <w:r>
              <w:rPr>
                <w:sz w:val="17"/>
              </w:rPr>
              <w:t>% de compilaciones (builds) con verificación de integridad (hash)</w:t>
            </w:r>
          </w:p>
        </w:tc>
        <w:tc>
          <w:tcPr>
            <w:tcW w:w="2551" w:type="dxa"/>
          </w:tcPr>
          <w:p w14:paraId="3EA7B20F" w14:textId="77777777" w:rsidR="006079E9" w:rsidRDefault="00000000" w:rsidP="001A5773">
            <w:pPr>
              <w:jc w:val="both"/>
            </w:pPr>
            <w:r>
              <w:rPr>
                <w:sz w:val="17"/>
              </w:rPr>
              <w:t>(Builds verificados / Total de builds) × 100</w:t>
            </w:r>
          </w:p>
        </w:tc>
        <w:tc>
          <w:tcPr>
            <w:tcW w:w="1247" w:type="dxa"/>
          </w:tcPr>
          <w:p w14:paraId="4266C2FD" w14:textId="77777777" w:rsidR="006079E9" w:rsidRDefault="00000000" w:rsidP="001A5773">
            <w:pPr>
              <w:jc w:val="both"/>
            </w:pPr>
            <w:r>
              <w:rPr>
                <w:sz w:val="17"/>
              </w:rPr>
              <w:t>&lt; 100 %</w:t>
            </w:r>
          </w:p>
        </w:tc>
        <w:tc>
          <w:tcPr>
            <w:tcW w:w="1474" w:type="dxa"/>
          </w:tcPr>
          <w:p w14:paraId="7B534012" w14:textId="77777777" w:rsidR="006079E9" w:rsidRDefault="00000000" w:rsidP="001A5773">
            <w:pPr>
              <w:jc w:val="both"/>
            </w:pPr>
            <w:r>
              <w:rPr>
                <w:sz w:val="17"/>
              </w:rPr>
              <w:t>R1 – Compromiso del pipeline</w:t>
            </w:r>
          </w:p>
        </w:tc>
      </w:tr>
      <w:tr w:rsidR="006079E9" w14:paraId="271EB1AE" w14:textId="77777777" w:rsidTr="001A5773">
        <w:trPr>
          <w:jc w:val="center"/>
        </w:trPr>
        <w:tc>
          <w:tcPr>
            <w:tcW w:w="256" w:type="dxa"/>
          </w:tcPr>
          <w:p w14:paraId="4B8D9B4F" w14:textId="77777777" w:rsidR="006079E9" w:rsidRDefault="00000000" w:rsidP="001A5773">
            <w:pPr>
              <w:jc w:val="both"/>
            </w:pPr>
            <w:r>
              <w:rPr>
                <w:sz w:val="17"/>
              </w:rPr>
              <w:t>K2</w:t>
            </w:r>
          </w:p>
        </w:tc>
        <w:tc>
          <w:tcPr>
            <w:tcW w:w="3814" w:type="dxa"/>
          </w:tcPr>
          <w:p w14:paraId="128C0682" w14:textId="77777777" w:rsidR="006079E9" w:rsidRDefault="00000000" w:rsidP="001A5773">
            <w:pPr>
              <w:jc w:val="both"/>
            </w:pPr>
            <w:r>
              <w:rPr>
                <w:sz w:val="17"/>
              </w:rPr>
              <w:t>Tiempo medio de detección de cambios no autorizados en repositorios (MTTD)</w:t>
            </w:r>
          </w:p>
        </w:tc>
        <w:tc>
          <w:tcPr>
            <w:tcW w:w="2551" w:type="dxa"/>
          </w:tcPr>
          <w:p w14:paraId="20E276C8" w14:textId="77777777" w:rsidR="006079E9" w:rsidRDefault="00000000" w:rsidP="001A5773">
            <w:pPr>
              <w:jc w:val="both"/>
            </w:pPr>
            <w:r>
              <w:rPr>
                <w:sz w:val="17"/>
              </w:rPr>
              <w:t>Promedio (horas) entre inserción y detección del cambio</w:t>
            </w:r>
          </w:p>
        </w:tc>
        <w:tc>
          <w:tcPr>
            <w:tcW w:w="1247" w:type="dxa"/>
          </w:tcPr>
          <w:p w14:paraId="2AF38A0F" w14:textId="77777777" w:rsidR="006079E9" w:rsidRDefault="00000000" w:rsidP="001A5773">
            <w:pPr>
              <w:jc w:val="both"/>
            </w:pPr>
            <w:r>
              <w:rPr>
                <w:sz w:val="17"/>
              </w:rPr>
              <w:t>&gt; 24 horas</w:t>
            </w:r>
          </w:p>
        </w:tc>
        <w:tc>
          <w:tcPr>
            <w:tcW w:w="1474" w:type="dxa"/>
          </w:tcPr>
          <w:p w14:paraId="5C042C27" w14:textId="77777777" w:rsidR="006079E9" w:rsidRDefault="00000000" w:rsidP="001A5773">
            <w:pPr>
              <w:jc w:val="both"/>
            </w:pPr>
            <w:r>
              <w:rPr>
                <w:sz w:val="17"/>
              </w:rPr>
              <w:t>R1, R5 – Detección tardía</w:t>
            </w:r>
          </w:p>
        </w:tc>
      </w:tr>
      <w:tr w:rsidR="006079E9" w14:paraId="79366E02" w14:textId="77777777" w:rsidTr="001A5773">
        <w:trPr>
          <w:jc w:val="center"/>
        </w:trPr>
        <w:tc>
          <w:tcPr>
            <w:tcW w:w="256" w:type="dxa"/>
          </w:tcPr>
          <w:p w14:paraId="5F932E0F" w14:textId="77777777" w:rsidR="006079E9" w:rsidRDefault="00000000" w:rsidP="001A5773">
            <w:pPr>
              <w:jc w:val="both"/>
            </w:pPr>
            <w:r>
              <w:rPr>
                <w:sz w:val="17"/>
              </w:rPr>
              <w:t>K3</w:t>
            </w:r>
          </w:p>
        </w:tc>
        <w:tc>
          <w:tcPr>
            <w:tcW w:w="3814" w:type="dxa"/>
          </w:tcPr>
          <w:p w14:paraId="2C5AEB17" w14:textId="77777777" w:rsidR="006079E9" w:rsidRDefault="00000000" w:rsidP="001A5773">
            <w:pPr>
              <w:jc w:val="both"/>
            </w:pPr>
            <w:r>
              <w:rPr>
                <w:sz w:val="17"/>
              </w:rPr>
              <w:t>Accesos privilegiados al entorno de build sin revisión trimestral</w:t>
            </w:r>
          </w:p>
        </w:tc>
        <w:tc>
          <w:tcPr>
            <w:tcW w:w="2551" w:type="dxa"/>
          </w:tcPr>
          <w:p w14:paraId="36F98B93" w14:textId="77777777" w:rsidR="006079E9" w:rsidRDefault="00000000" w:rsidP="001A5773">
            <w:pPr>
              <w:jc w:val="both"/>
            </w:pPr>
            <w:r>
              <w:rPr>
                <w:sz w:val="17"/>
              </w:rPr>
              <w:t>Conteo absoluto de cuentas sin revisión</w:t>
            </w:r>
          </w:p>
        </w:tc>
        <w:tc>
          <w:tcPr>
            <w:tcW w:w="1247" w:type="dxa"/>
          </w:tcPr>
          <w:p w14:paraId="1E6C656A" w14:textId="77777777" w:rsidR="006079E9" w:rsidRDefault="00000000" w:rsidP="001A5773">
            <w:pPr>
              <w:jc w:val="both"/>
            </w:pPr>
            <w:r>
              <w:rPr>
                <w:sz w:val="17"/>
              </w:rPr>
              <w:t>&gt; 0 cuentas</w:t>
            </w:r>
          </w:p>
        </w:tc>
        <w:tc>
          <w:tcPr>
            <w:tcW w:w="1474" w:type="dxa"/>
          </w:tcPr>
          <w:p w14:paraId="3F7B5346" w14:textId="77777777" w:rsidR="006079E9" w:rsidRDefault="00000000" w:rsidP="001A5773">
            <w:pPr>
              <w:jc w:val="both"/>
            </w:pPr>
            <w:r>
              <w:rPr>
                <w:sz w:val="17"/>
              </w:rPr>
              <w:t>R1 – Compromiso del pipeline</w:t>
            </w:r>
          </w:p>
        </w:tc>
      </w:tr>
      <w:tr w:rsidR="006079E9" w14:paraId="10A062D7" w14:textId="77777777" w:rsidTr="001A5773">
        <w:trPr>
          <w:jc w:val="center"/>
        </w:trPr>
        <w:tc>
          <w:tcPr>
            <w:tcW w:w="256" w:type="dxa"/>
          </w:tcPr>
          <w:p w14:paraId="38272ACE" w14:textId="77777777" w:rsidR="006079E9" w:rsidRDefault="00000000" w:rsidP="001A5773">
            <w:pPr>
              <w:jc w:val="both"/>
            </w:pPr>
            <w:r>
              <w:rPr>
                <w:sz w:val="17"/>
              </w:rPr>
              <w:t>K4</w:t>
            </w:r>
          </w:p>
        </w:tc>
        <w:tc>
          <w:tcPr>
            <w:tcW w:w="3814" w:type="dxa"/>
          </w:tcPr>
          <w:p w14:paraId="51A1DFDA" w14:textId="77777777" w:rsidR="006079E9" w:rsidRDefault="00000000" w:rsidP="001A5773">
            <w:pPr>
              <w:jc w:val="both"/>
            </w:pPr>
            <w:r>
              <w:rPr>
                <w:sz w:val="17"/>
              </w:rPr>
              <w:t>% de actualizaciones de software con SBOM documentado</w:t>
            </w:r>
          </w:p>
        </w:tc>
        <w:tc>
          <w:tcPr>
            <w:tcW w:w="2551" w:type="dxa"/>
          </w:tcPr>
          <w:p w14:paraId="4A157ED1" w14:textId="77777777" w:rsidR="006079E9" w:rsidRDefault="00000000" w:rsidP="001A5773">
            <w:pPr>
              <w:jc w:val="both"/>
            </w:pPr>
            <w:r>
              <w:rPr>
                <w:sz w:val="17"/>
              </w:rPr>
              <w:t>(Actualizaciones con SBOM / Total de actualizaciones) × 100</w:t>
            </w:r>
          </w:p>
        </w:tc>
        <w:tc>
          <w:tcPr>
            <w:tcW w:w="1247" w:type="dxa"/>
          </w:tcPr>
          <w:p w14:paraId="35AF02D9" w14:textId="77777777" w:rsidR="006079E9" w:rsidRDefault="00000000" w:rsidP="001A5773">
            <w:pPr>
              <w:jc w:val="both"/>
            </w:pPr>
            <w:r>
              <w:rPr>
                <w:sz w:val="17"/>
              </w:rPr>
              <w:t>&lt; 100 %</w:t>
            </w:r>
          </w:p>
        </w:tc>
        <w:tc>
          <w:tcPr>
            <w:tcW w:w="1474" w:type="dxa"/>
          </w:tcPr>
          <w:p w14:paraId="160D2064" w14:textId="77777777" w:rsidR="006079E9" w:rsidRDefault="00000000" w:rsidP="001A5773">
            <w:pPr>
              <w:jc w:val="both"/>
            </w:pPr>
            <w:r>
              <w:rPr>
                <w:sz w:val="17"/>
              </w:rPr>
              <w:t>R2 – Actualizaciones maliciosas</w:t>
            </w:r>
          </w:p>
        </w:tc>
      </w:tr>
      <w:tr w:rsidR="006079E9" w14:paraId="4C3B2ADF" w14:textId="77777777" w:rsidTr="001A5773">
        <w:trPr>
          <w:jc w:val="center"/>
        </w:trPr>
        <w:tc>
          <w:tcPr>
            <w:tcW w:w="256" w:type="dxa"/>
          </w:tcPr>
          <w:p w14:paraId="73FC82A8" w14:textId="77777777" w:rsidR="006079E9" w:rsidRDefault="00000000" w:rsidP="001A5773">
            <w:pPr>
              <w:jc w:val="both"/>
            </w:pPr>
            <w:r>
              <w:rPr>
                <w:sz w:val="17"/>
              </w:rPr>
              <w:t>K5</w:t>
            </w:r>
          </w:p>
        </w:tc>
        <w:tc>
          <w:tcPr>
            <w:tcW w:w="3814" w:type="dxa"/>
          </w:tcPr>
          <w:p w14:paraId="392D5BD8" w14:textId="77777777" w:rsidR="006079E9" w:rsidRDefault="00000000" w:rsidP="001A5773">
            <w:pPr>
              <w:jc w:val="both"/>
            </w:pPr>
            <w:r>
              <w:rPr>
                <w:sz w:val="17"/>
              </w:rPr>
              <w:t>Alertas de integridad de código sin investigar</w:t>
            </w:r>
          </w:p>
        </w:tc>
        <w:tc>
          <w:tcPr>
            <w:tcW w:w="2551" w:type="dxa"/>
          </w:tcPr>
          <w:p w14:paraId="1C294E34" w14:textId="77777777" w:rsidR="006079E9" w:rsidRDefault="00000000" w:rsidP="001A5773">
            <w:pPr>
              <w:jc w:val="both"/>
            </w:pPr>
            <w:r>
              <w:rPr>
                <w:sz w:val="17"/>
              </w:rPr>
              <w:t>Conteo mensual de alertas pendientes</w:t>
            </w:r>
          </w:p>
        </w:tc>
        <w:tc>
          <w:tcPr>
            <w:tcW w:w="1247" w:type="dxa"/>
          </w:tcPr>
          <w:p w14:paraId="77A9E778" w14:textId="77777777" w:rsidR="006079E9" w:rsidRDefault="00000000" w:rsidP="001A5773">
            <w:pPr>
              <w:jc w:val="both"/>
            </w:pPr>
            <w:r>
              <w:rPr>
                <w:sz w:val="17"/>
              </w:rPr>
              <w:t>&gt; 0 alertas</w:t>
            </w:r>
          </w:p>
        </w:tc>
        <w:tc>
          <w:tcPr>
            <w:tcW w:w="1474" w:type="dxa"/>
          </w:tcPr>
          <w:p w14:paraId="4C21EAD7" w14:textId="77777777" w:rsidR="006079E9" w:rsidRDefault="00000000" w:rsidP="001A5773">
            <w:pPr>
              <w:jc w:val="both"/>
            </w:pPr>
            <w:r>
              <w:rPr>
                <w:sz w:val="17"/>
              </w:rPr>
              <w:t>R1, R2 – Backdoor en software</w:t>
            </w:r>
          </w:p>
        </w:tc>
      </w:tr>
      <w:tr w:rsidR="006079E9" w14:paraId="71544A24" w14:textId="77777777" w:rsidTr="001A5773">
        <w:trPr>
          <w:jc w:val="center"/>
        </w:trPr>
        <w:tc>
          <w:tcPr>
            <w:tcW w:w="256" w:type="dxa"/>
          </w:tcPr>
          <w:p w14:paraId="14E89504" w14:textId="77777777" w:rsidR="006079E9" w:rsidRDefault="00000000" w:rsidP="001A5773">
            <w:pPr>
              <w:jc w:val="both"/>
            </w:pPr>
            <w:r>
              <w:rPr>
                <w:sz w:val="17"/>
              </w:rPr>
              <w:t>K6</w:t>
            </w:r>
          </w:p>
        </w:tc>
        <w:tc>
          <w:tcPr>
            <w:tcW w:w="3814" w:type="dxa"/>
          </w:tcPr>
          <w:p w14:paraId="39A9726D" w14:textId="77777777" w:rsidR="006079E9" w:rsidRDefault="00000000" w:rsidP="001A5773">
            <w:pPr>
              <w:jc w:val="both"/>
            </w:pPr>
            <w:r>
              <w:rPr>
                <w:sz w:val="17"/>
              </w:rPr>
              <w:t>% de proveedores críticos de software evaluados bajo NIST SP 800-161</w:t>
            </w:r>
          </w:p>
        </w:tc>
        <w:tc>
          <w:tcPr>
            <w:tcW w:w="2551" w:type="dxa"/>
          </w:tcPr>
          <w:p w14:paraId="34978D60" w14:textId="77777777" w:rsidR="006079E9" w:rsidRDefault="00000000" w:rsidP="001A5773">
            <w:pPr>
              <w:jc w:val="both"/>
            </w:pPr>
            <w:r>
              <w:rPr>
                <w:sz w:val="17"/>
              </w:rPr>
              <w:t>(Proveedores evaluados / Total críticos) × 100</w:t>
            </w:r>
          </w:p>
        </w:tc>
        <w:tc>
          <w:tcPr>
            <w:tcW w:w="1247" w:type="dxa"/>
          </w:tcPr>
          <w:p w14:paraId="3517642F" w14:textId="77777777" w:rsidR="006079E9" w:rsidRDefault="00000000" w:rsidP="001A5773">
            <w:pPr>
              <w:jc w:val="both"/>
            </w:pPr>
            <w:r>
              <w:rPr>
                <w:sz w:val="17"/>
              </w:rPr>
              <w:t>&lt; 90 %</w:t>
            </w:r>
          </w:p>
        </w:tc>
        <w:tc>
          <w:tcPr>
            <w:tcW w:w="1474" w:type="dxa"/>
          </w:tcPr>
          <w:p w14:paraId="5D6B1D6A" w14:textId="77777777" w:rsidR="006079E9" w:rsidRDefault="00000000" w:rsidP="001A5773">
            <w:pPr>
              <w:jc w:val="both"/>
            </w:pPr>
            <w:r>
              <w:rPr>
                <w:sz w:val="17"/>
              </w:rPr>
              <w:t>R6 – Cadena de suministro</w:t>
            </w:r>
          </w:p>
        </w:tc>
      </w:tr>
      <w:tr w:rsidR="006079E9" w14:paraId="7B14D68F" w14:textId="77777777" w:rsidTr="001A5773">
        <w:trPr>
          <w:jc w:val="center"/>
        </w:trPr>
        <w:tc>
          <w:tcPr>
            <w:tcW w:w="256" w:type="dxa"/>
          </w:tcPr>
          <w:p w14:paraId="49AD30BA" w14:textId="77777777" w:rsidR="006079E9" w:rsidRDefault="00000000" w:rsidP="001A5773">
            <w:pPr>
              <w:jc w:val="both"/>
            </w:pPr>
            <w:r>
              <w:rPr>
                <w:sz w:val="17"/>
              </w:rPr>
              <w:t>K7</w:t>
            </w:r>
          </w:p>
        </w:tc>
        <w:tc>
          <w:tcPr>
            <w:tcW w:w="3814" w:type="dxa"/>
          </w:tcPr>
          <w:p w14:paraId="14332DE8" w14:textId="77777777" w:rsidR="006079E9" w:rsidRDefault="00000000" w:rsidP="001A5773">
            <w:pPr>
              <w:jc w:val="both"/>
            </w:pPr>
            <w:r>
              <w:rPr>
                <w:sz w:val="17"/>
              </w:rPr>
              <w:t>Tiempo de respuesta ante divulgación de vulnerabilidad crítica (parcheo)</w:t>
            </w:r>
          </w:p>
        </w:tc>
        <w:tc>
          <w:tcPr>
            <w:tcW w:w="2551" w:type="dxa"/>
          </w:tcPr>
          <w:p w14:paraId="0A74EB0F" w14:textId="77777777" w:rsidR="006079E9" w:rsidRDefault="00000000" w:rsidP="001A5773">
            <w:pPr>
              <w:jc w:val="both"/>
            </w:pPr>
            <w:r>
              <w:rPr>
                <w:sz w:val="17"/>
              </w:rPr>
              <w:t>Horas entre el aviso (CVE/CISA) y el parcheo efectivo</w:t>
            </w:r>
          </w:p>
        </w:tc>
        <w:tc>
          <w:tcPr>
            <w:tcW w:w="1247" w:type="dxa"/>
          </w:tcPr>
          <w:p w14:paraId="426A66C1" w14:textId="77777777" w:rsidR="006079E9" w:rsidRDefault="00000000" w:rsidP="001A5773">
            <w:pPr>
              <w:jc w:val="both"/>
            </w:pPr>
            <w:r>
              <w:rPr>
                <w:sz w:val="17"/>
              </w:rPr>
              <w:t>&gt; 72 horas</w:t>
            </w:r>
          </w:p>
        </w:tc>
        <w:tc>
          <w:tcPr>
            <w:tcW w:w="1474" w:type="dxa"/>
          </w:tcPr>
          <w:p w14:paraId="06F4DED2" w14:textId="77777777" w:rsidR="006079E9" w:rsidRDefault="00000000" w:rsidP="001A5773">
            <w:pPr>
              <w:jc w:val="both"/>
            </w:pPr>
            <w:r>
              <w:rPr>
                <w:sz w:val="17"/>
              </w:rPr>
              <w:t>R10 – Respuesta tardía</w:t>
            </w:r>
          </w:p>
        </w:tc>
      </w:tr>
      <w:tr w:rsidR="006079E9" w14:paraId="18907D03" w14:textId="77777777" w:rsidTr="001A5773">
        <w:trPr>
          <w:jc w:val="center"/>
        </w:trPr>
        <w:tc>
          <w:tcPr>
            <w:tcW w:w="256" w:type="dxa"/>
          </w:tcPr>
          <w:p w14:paraId="69781599" w14:textId="77777777" w:rsidR="006079E9" w:rsidRDefault="00000000" w:rsidP="001A5773">
            <w:pPr>
              <w:jc w:val="both"/>
            </w:pPr>
            <w:r>
              <w:rPr>
                <w:sz w:val="17"/>
              </w:rPr>
              <w:t>K8</w:t>
            </w:r>
          </w:p>
        </w:tc>
        <w:tc>
          <w:tcPr>
            <w:tcW w:w="3814" w:type="dxa"/>
          </w:tcPr>
          <w:p w14:paraId="3EE16CEB" w14:textId="77777777" w:rsidR="006079E9" w:rsidRDefault="00000000" w:rsidP="001A5773">
            <w:pPr>
              <w:jc w:val="both"/>
            </w:pPr>
            <w:r>
              <w:rPr>
                <w:sz w:val="17"/>
              </w:rPr>
              <w:t>Tokens SAML emitidos con patrones anómalos (fuera de horario / geolocalización)</w:t>
            </w:r>
          </w:p>
        </w:tc>
        <w:tc>
          <w:tcPr>
            <w:tcW w:w="2551" w:type="dxa"/>
          </w:tcPr>
          <w:p w14:paraId="691C4125" w14:textId="77777777" w:rsidR="006079E9" w:rsidRDefault="00000000" w:rsidP="001A5773">
            <w:pPr>
              <w:jc w:val="both"/>
            </w:pPr>
            <w:r>
              <w:rPr>
                <w:sz w:val="17"/>
              </w:rPr>
              <w:t>Conteo diario de emisiones anómalas (SIEM/ADFS logs)</w:t>
            </w:r>
          </w:p>
        </w:tc>
        <w:tc>
          <w:tcPr>
            <w:tcW w:w="1247" w:type="dxa"/>
          </w:tcPr>
          <w:p w14:paraId="7BFC171B" w14:textId="77777777" w:rsidR="006079E9" w:rsidRDefault="00000000" w:rsidP="001A5773">
            <w:pPr>
              <w:jc w:val="both"/>
            </w:pPr>
            <w:r>
              <w:rPr>
                <w:sz w:val="17"/>
              </w:rPr>
              <w:t>&gt; 0 eventos</w:t>
            </w:r>
          </w:p>
        </w:tc>
        <w:tc>
          <w:tcPr>
            <w:tcW w:w="1474" w:type="dxa"/>
          </w:tcPr>
          <w:p w14:paraId="110F71E1" w14:textId="77777777" w:rsidR="006079E9" w:rsidRDefault="00000000" w:rsidP="001A5773">
            <w:pPr>
              <w:jc w:val="both"/>
            </w:pPr>
            <w:r>
              <w:rPr>
                <w:sz w:val="17"/>
              </w:rPr>
              <w:t>R4 – Golden SAML</w:t>
            </w:r>
          </w:p>
        </w:tc>
      </w:tr>
      <w:tr w:rsidR="006079E9" w14:paraId="04AACFB5" w14:textId="77777777" w:rsidTr="001A5773">
        <w:trPr>
          <w:jc w:val="center"/>
        </w:trPr>
        <w:tc>
          <w:tcPr>
            <w:tcW w:w="256" w:type="dxa"/>
          </w:tcPr>
          <w:p w14:paraId="7A189F5F" w14:textId="77777777" w:rsidR="006079E9" w:rsidRDefault="00000000" w:rsidP="001A5773">
            <w:pPr>
              <w:jc w:val="both"/>
            </w:pPr>
            <w:r>
              <w:rPr>
                <w:sz w:val="17"/>
              </w:rPr>
              <w:t>K9</w:t>
            </w:r>
          </w:p>
        </w:tc>
        <w:tc>
          <w:tcPr>
            <w:tcW w:w="3814" w:type="dxa"/>
          </w:tcPr>
          <w:p w14:paraId="1DA70410" w14:textId="77777777" w:rsidR="006079E9" w:rsidRDefault="00000000" w:rsidP="001A5773">
            <w:pPr>
              <w:jc w:val="both"/>
            </w:pPr>
            <w:r>
              <w:rPr>
                <w:sz w:val="17"/>
              </w:rPr>
              <w:t>% de cuentas de servicio y administrativas con MFA habilitado</w:t>
            </w:r>
          </w:p>
        </w:tc>
        <w:tc>
          <w:tcPr>
            <w:tcW w:w="2551" w:type="dxa"/>
          </w:tcPr>
          <w:p w14:paraId="2B5399BA" w14:textId="77777777" w:rsidR="006079E9" w:rsidRDefault="00000000" w:rsidP="001A5773">
            <w:pPr>
              <w:jc w:val="both"/>
            </w:pPr>
            <w:r>
              <w:rPr>
                <w:sz w:val="17"/>
              </w:rPr>
              <w:t>(Cuentas con MFA / Total cuentas) × 100</w:t>
            </w:r>
          </w:p>
        </w:tc>
        <w:tc>
          <w:tcPr>
            <w:tcW w:w="1247" w:type="dxa"/>
          </w:tcPr>
          <w:p w14:paraId="413D4C16" w14:textId="77777777" w:rsidR="006079E9" w:rsidRDefault="00000000" w:rsidP="001A5773">
            <w:pPr>
              <w:jc w:val="both"/>
            </w:pPr>
            <w:r>
              <w:rPr>
                <w:sz w:val="17"/>
              </w:rPr>
              <w:t>&lt; 100 %</w:t>
            </w:r>
          </w:p>
        </w:tc>
        <w:tc>
          <w:tcPr>
            <w:tcW w:w="1474" w:type="dxa"/>
          </w:tcPr>
          <w:p w14:paraId="679CC7D3" w14:textId="77777777" w:rsidR="006079E9" w:rsidRDefault="00000000" w:rsidP="001A5773">
            <w:pPr>
              <w:jc w:val="both"/>
            </w:pPr>
            <w:r>
              <w:rPr>
                <w:sz w:val="17"/>
              </w:rPr>
              <w:t>R4, R7 – Accesos no autorizados</w:t>
            </w:r>
          </w:p>
        </w:tc>
      </w:tr>
      <w:tr w:rsidR="006079E9" w14:paraId="36089878" w14:textId="77777777" w:rsidTr="001A5773">
        <w:trPr>
          <w:jc w:val="center"/>
        </w:trPr>
        <w:tc>
          <w:tcPr>
            <w:tcW w:w="256" w:type="dxa"/>
          </w:tcPr>
          <w:p w14:paraId="27EF155E" w14:textId="77777777" w:rsidR="006079E9" w:rsidRDefault="00000000" w:rsidP="001A5773">
            <w:pPr>
              <w:jc w:val="both"/>
            </w:pPr>
            <w:r>
              <w:rPr>
                <w:sz w:val="17"/>
              </w:rPr>
              <w:t>K10</w:t>
            </w:r>
          </w:p>
        </w:tc>
        <w:tc>
          <w:tcPr>
            <w:tcW w:w="3814" w:type="dxa"/>
          </w:tcPr>
          <w:p w14:paraId="1A137CFC" w14:textId="77777777" w:rsidR="006079E9" w:rsidRDefault="00000000" w:rsidP="001A5773">
            <w:pPr>
              <w:jc w:val="both"/>
            </w:pPr>
            <w:r>
              <w:rPr>
                <w:sz w:val="17"/>
              </w:rPr>
              <w:t>Credenciales corporativas expuestas detectadas en repositorios públicos o dark web</w:t>
            </w:r>
          </w:p>
        </w:tc>
        <w:tc>
          <w:tcPr>
            <w:tcW w:w="2551" w:type="dxa"/>
          </w:tcPr>
          <w:p w14:paraId="78AE8E1C" w14:textId="77777777" w:rsidR="006079E9" w:rsidRDefault="00000000" w:rsidP="001A5773">
            <w:pPr>
              <w:jc w:val="both"/>
            </w:pPr>
            <w:r>
              <w:rPr>
                <w:sz w:val="17"/>
              </w:rPr>
              <w:t>Conteo mensual (servicios de threat intelligence)</w:t>
            </w:r>
          </w:p>
        </w:tc>
        <w:tc>
          <w:tcPr>
            <w:tcW w:w="1247" w:type="dxa"/>
          </w:tcPr>
          <w:p w14:paraId="5B8EBBB6" w14:textId="77777777" w:rsidR="006079E9" w:rsidRDefault="00000000" w:rsidP="001A5773">
            <w:pPr>
              <w:jc w:val="both"/>
            </w:pPr>
            <w:r>
              <w:rPr>
                <w:sz w:val="17"/>
              </w:rPr>
              <w:t>&gt; 0 hallazgos</w:t>
            </w:r>
          </w:p>
        </w:tc>
        <w:tc>
          <w:tcPr>
            <w:tcW w:w="1474" w:type="dxa"/>
          </w:tcPr>
          <w:p w14:paraId="0DC4128E" w14:textId="77777777" w:rsidR="006079E9" w:rsidRDefault="00000000" w:rsidP="001A5773">
            <w:pPr>
              <w:jc w:val="both"/>
            </w:pPr>
            <w:r>
              <w:rPr>
                <w:sz w:val="17"/>
              </w:rPr>
              <w:t>R7 – Filtración de credenciales</w:t>
            </w:r>
          </w:p>
        </w:tc>
      </w:tr>
    </w:tbl>
    <w:p w14:paraId="34EEF81E" w14:textId="77777777" w:rsidR="006079E9" w:rsidRDefault="00000000" w:rsidP="001A5773">
      <w:pPr>
        <w:pStyle w:val="Ttulo1"/>
        <w:jc w:val="both"/>
      </w:pPr>
      <w:bookmarkStart w:id="13" w:name="_Toc233146863"/>
      <w:bookmarkStart w:id="14" w:name="_Toc233146914"/>
      <w:r>
        <w:rPr>
          <w:color w:val="1F3864"/>
        </w:rPr>
        <w:t>6. Propuesta de Controles según Marcos de Referencia</w:t>
      </w:r>
      <w:bookmarkEnd w:id="13"/>
      <w:bookmarkEnd w:id="14"/>
    </w:p>
    <w:p w14:paraId="4EB1796E" w14:textId="77777777" w:rsidR="006079E9" w:rsidRDefault="00000000" w:rsidP="001A5773">
      <w:pPr>
        <w:jc w:val="both"/>
      </w:pPr>
      <w:r>
        <w:t>Se proponen controles alineados a ISO/IEC 27001:2022 (Anexo A), NIST Cybersecurity Framework 2.0, NIST SP 800-53 Rev. 5, NIST SP 800-161 Rev. 1 (Gestión de Riesgos de la Cadena de Suministro), NIST SP 800-218 (Secure Software Development Framework) y CIS Controls v8, organizados por estrategia de tratamiento (Mitigar, Transferir, Evitar, Aceptar):</w:t>
      </w:r>
    </w:p>
    <w:tbl>
      <w:tblPr>
        <w:tblStyle w:val="Tablaconcuadrcula"/>
        <w:tblW w:w="0" w:type="auto"/>
        <w:jc w:val="center"/>
        <w:tblLook w:val="04A0" w:firstRow="1" w:lastRow="0" w:firstColumn="1" w:lastColumn="0" w:noHBand="0" w:noVBand="1"/>
      </w:tblPr>
      <w:tblGrid>
        <w:gridCol w:w="707"/>
        <w:gridCol w:w="1984"/>
        <w:gridCol w:w="3969"/>
        <w:gridCol w:w="2551"/>
      </w:tblGrid>
      <w:tr w:rsidR="006079E9" w14:paraId="651AB767" w14:textId="77777777">
        <w:trPr>
          <w:jc w:val="center"/>
        </w:trPr>
        <w:tc>
          <w:tcPr>
            <w:tcW w:w="680" w:type="dxa"/>
            <w:shd w:val="clear" w:color="auto" w:fill="1F3864"/>
          </w:tcPr>
          <w:p w14:paraId="098C5C56" w14:textId="77777777" w:rsidR="006079E9" w:rsidRDefault="00000000" w:rsidP="001A5773">
            <w:pPr>
              <w:jc w:val="both"/>
            </w:pPr>
            <w:r>
              <w:rPr>
                <w:b/>
                <w:color w:val="FFFFFF"/>
                <w:sz w:val="18"/>
              </w:rPr>
              <w:t>Riesgo</w:t>
            </w:r>
          </w:p>
        </w:tc>
        <w:tc>
          <w:tcPr>
            <w:tcW w:w="1984" w:type="dxa"/>
            <w:shd w:val="clear" w:color="auto" w:fill="1F3864"/>
          </w:tcPr>
          <w:p w14:paraId="68BF0DE1" w14:textId="77777777" w:rsidR="006079E9" w:rsidRDefault="00000000" w:rsidP="001A5773">
            <w:pPr>
              <w:jc w:val="both"/>
            </w:pPr>
            <w:r>
              <w:rPr>
                <w:b/>
                <w:color w:val="FFFFFF"/>
                <w:sz w:val="18"/>
              </w:rPr>
              <w:t>Estrategia</w:t>
            </w:r>
          </w:p>
        </w:tc>
        <w:tc>
          <w:tcPr>
            <w:tcW w:w="3969" w:type="dxa"/>
            <w:shd w:val="clear" w:color="auto" w:fill="1F3864"/>
          </w:tcPr>
          <w:p w14:paraId="04846B40" w14:textId="77777777" w:rsidR="006079E9" w:rsidRDefault="00000000" w:rsidP="001A5773">
            <w:pPr>
              <w:jc w:val="both"/>
            </w:pPr>
            <w:r>
              <w:rPr>
                <w:b/>
                <w:color w:val="FFFFFF"/>
                <w:sz w:val="18"/>
              </w:rPr>
              <w:t>Control propuesto</w:t>
            </w:r>
          </w:p>
        </w:tc>
        <w:tc>
          <w:tcPr>
            <w:tcW w:w="2551" w:type="dxa"/>
            <w:shd w:val="clear" w:color="auto" w:fill="1F3864"/>
          </w:tcPr>
          <w:p w14:paraId="6713290D" w14:textId="77777777" w:rsidR="006079E9" w:rsidRDefault="00000000" w:rsidP="001A5773">
            <w:pPr>
              <w:jc w:val="both"/>
            </w:pPr>
            <w:r>
              <w:rPr>
                <w:b/>
                <w:color w:val="FFFFFF"/>
                <w:sz w:val="18"/>
              </w:rPr>
              <w:t>Marco / Referencia</w:t>
            </w:r>
          </w:p>
        </w:tc>
      </w:tr>
      <w:tr w:rsidR="006079E9" w14:paraId="60807A05" w14:textId="77777777">
        <w:trPr>
          <w:jc w:val="center"/>
        </w:trPr>
        <w:tc>
          <w:tcPr>
            <w:tcW w:w="680" w:type="dxa"/>
          </w:tcPr>
          <w:p w14:paraId="4CFAE8E5" w14:textId="77777777" w:rsidR="006079E9" w:rsidRDefault="00000000" w:rsidP="001A5773">
            <w:pPr>
              <w:jc w:val="both"/>
            </w:pPr>
            <w:r>
              <w:rPr>
                <w:sz w:val="17"/>
              </w:rPr>
              <w:t>R1, R2</w:t>
            </w:r>
          </w:p>
        </w:tc>
        <w:tc>
          <w:tcPr>
            <w:tcW w:w="1984" w:type="dxa"/>
          </w:tcPr>
          <w:p w14:paraId="50C58A68" w14:textId="77777777" w:rsidR="006079E9" w:rsidRDefault="00000000" w:rsidP="001A5773">
            <w:pPr>
              <w:jc w:val="both"/>
            </w:pPr>
            <w:r>
              <w:rPr>
                <w:sz w:val="17"/>
              </w:rPr>
              <w:t>Mitigar – Integridad del software</w:t>
            </w:r>
          </w:p>
        </w:tc>
        <w:tc>
          <w:tcPr>
            <w:tcW w:w="3969" w:type="dxa"/>
          </w:tcPr>
          <w:p w14:paraId="455BA33A" w14:textId="77777777" w:rsidR="006079E9" w:rsidRDefault="00000000" w:rsidP="001A5773">
            <w:pPr>
              <w:jc w:val="both"/>
            </w:pPr>
            <w:r>
              <w:rPr>
                <w:sz w:val="17"/>
              </w:rPr>
              <w:t>Firma y verificación criptográfica (hash) de cada build; control de cambios en el código fuente; entornos de compilación aislados y monitoreados (build farms dedicadas).</w:t>
            </w:r>
          </w:p>
        </w:tc>
        <w:tc>
          <w:tcPr>
            <w:tcW w:w="2551" w:type="dxa"/>
          </w:tcPr>
          <w:p w14:paraId="6791D40A" w14:textId="77777777" w:rsidR="006079E9" w:rsidRDefault="00000000" w:rsidP="001A5773">
            <w:pPr>
              <w:jc w:val="both"/>
            </w:pPr>
            <w:r>
              <w:rPr>
                <w:sz w:val="17"/>
              </w:rPr>
              <w:t>NIST SP 800-218 (SSDF) / ISO 27001 A.8.25–A.8.32</w:t>
            </w:r>
          </w:p>
        </w:tc>
      </w:tr>
      <w:tr w:rsidR="006079E9" w14:paraId="7A46ED60" w14:textId="77777777">
        <w:trPr>
          <w:jc w:val="center"/>
        </w:trPr>
        <w:tc>
          <w:tcPr>
            <w:tcW w:w="680" w:type="dxa"/>
          </w:tcPr>
          <w:p w14:paraId="3BD5EB5B" w14:textId="77777777" w:rsidR="006079E9" w:rsidRDefault="00000000" w:rsidP="001A5773">
            <w:pPr>
              <w:jc w:val="both"/>
            </w:pPr>
            <w:r>
              <w:rPr>
                <w:sz w:val="17"/>
              </w:rPr>
              <w:t>R1, R7</w:t>
            </w:r>
          </w:p>
        </w:tc>
        <w:tc>
          <w:tcPr>
            <w:tcW w:w="1984" w:type="dxa"/>
          </w:tcPr>
          <w:p w14:paraId="18B2DE39" w14:textId="77777777" w:rsidR="006079E9" w:rsidRDefault="00000000" w:rsidP="001A5773">
            <w:pPr>
              <w:jc w:val="both"/>
            </w:pPr>
            <w:r>
              <w:rPr>
                <w:sz w:val="17"/>
              </w:rPr>
              <w:t>Mitigar – Refuerzo de identidades y accesos</w:t>
            </w:r>
          </w:p>
        </w:tc>
        <w:tc>
          <w:tcPr>
            <w:tcW w:w="3969" w:type="dxa"/>
          </w:tcPr>
          <w:p w14:paraId="2103F438" w14:textId="77777777" w:rsidR="006079E9" w:rsidRDefault="00000000" w:rsidP="001A5773">
            <w:pPr>
              <w:jc w:val="both"/>
            </w:pPr>
            <w:r>
              <w:rPr>
                <w:sz w:val="17"/>
              </w:rPr>
              <w:t>MFA obligatorio en todos los accesos al entorno de desarrollo y build; gestión de accesos privilegiados (PAM); revisión trimestral de cuentas con privilegios elevados.</w:t>
            </w:r>
          </w:p>
        </w:tc>
        <w:tc>
          <w:tcPr>
            <w:tcW w:w="2551" w:type="dxa"/>
          </w:tcPr>
          <w:p w14:paraId="2FBCD512" w14:textId="77777777" w:rsidR="006079E9" w:rsidRDefault="00000000" w:rsidP="001A5773">
            <w:pPr>
              <w:jc w:val="both"/>
            </w:pPr>
            <w:r>
              <w:rPr>
                <w:sz w:val="17"/>
              </w:rPr>
              <w:t>NIST SP 800-53 IA-2, AC-2 / CIS Controles 5, 6</w:t>
            </w:r>
          </w:p>
        </w:tc>
      </w:tr>
      <w:tr w:rsidR="006079E9" w14:paraId="26DF9436" w14:textId="77777777">
        <w:trPr>
          <w:jc w:val="center"/>
        </w:trPr>
        <w:tc>
          <w:tcPr>
            <w:tcW w:w="680" w:type="dxa"/>
          </w:tcPr>
          <w:p w14:paraId="0E0D73EA" w14:textId="77777777" w:rsidR="006079E9" w:rsidRDefault="00000000" w:rsidP="001A5773">
            <w:pPr>
              <w:jc w:val="both"/>
            </w:pPr>
            <w:r>
              <w:rPr>
                <w:sz w:val="17"/>
              </w:rPr>
              <w:t>R4</w:t>
            </w:r>
          </w:p>
        </w:tc>
        <w:tc>
          <w:tcPr>
            <w:tcW w:w="1984" w:type="dxa"/>
          </w:tcPr>
          <w:p w14:paraId="35248B2F" w14:textId="77777777" w:rsidR="006079E9" w:rsidRDefault="00000000" w:rsidP="001A5773">
            <w:pPr>
              <w:jc w:val="both"/>
            </w:pPr>
            <w:r>
              <w:rPr>
                <w:sz w:val="17"/>
              </w:rPr>
              <w:t>Mitigar – Arquitectura Zero Trust e identidad federada</w:t>
            </w:r>
          </w:p>
        </w:tc>
        <w:tc>
          <w:tcPr>
            <w:tcW w:w="3969" w:type="dxa"/>
          </w:tcPr>
          <w:p w14:paraId="55FC663C" w14:textId="77777777" w:rsidR="006079E9" w:rsidRDefault="00000000" w:rsidP="001A5773">
            <w:pPr>
              <w:jc w:val="both"/>
            </w:pPr>
            <w:r>
              <w:rPr>
                <w:sz w:val="17"/>
              </w:rPr>
              <w:t>Rotación periódica de certificados/claves de firma SAML; monitoreo de anomalías en tokens emitidos; segmentación entre Directorio Activo on-premise y servicios en la nube.</w:t>
            </w:r>
          </w:p>
        </w:tc>
        <w:tc>
          <w:tcPr>
            <w:tcW w:w="2551" w:type="dxa"/>
          </w:tcPr>
          <w:p w14:paraId="4EEAF5AC" w14:textId="77777777" w:rsidR="006079E9" w:rsidRDefault="00000000" w:rsidP="001A5773">
            <w:pPr>
              <w:jc w:val="both"/>
            </w:pPr>
            <w:r>
              <w:rPr>
                <w:sz w:val="17"/>
              </w:rPr>
              <w:t>NIST CSF 2.0 PR.AC / Microsoft Zero Trust</w:t>
            </w:r>
          </w:p>
        </w:tc>
      </w:tr>
      <w:tr w:rsidR="006079E9" w14:paraId="505F8637" w14:textId="77777777">
        <w:trPr>
          <w:jc w:val="center"/>
        </w:trPr>
        <w:tc>
          <w:tcPr>
            <w:tcW w:w="680" w:type="dxa"/>
          </w:tcPr>
          <w:p w14:paraId="6A45B574" w14:textId="77777777" w:rsidR="006079E9" w:rsidRDefault="00000000" w:rsidP="001A5773">
            <w:pPr>
              <w:jc w:val="both"/>
            </w:pPr>
            <w:r>
              <w:rPr>
                <w:sz w:val="17"/>
              </w:rPr>
              <w:t>R2, R6</w:t>
            </w:r>
          </w:p>
        </w:tc>
        <w:tc>
          <w:tcPr>
            <w:tcW w:w="1984" w:type="dxa"/>
          </w:tcPr>
          <w:p w14:paraId="0F4F1B2E" w14:textId="77777777" w:rsidR="006079E9" w:rsidRDefault="00000000" w:rsidP="001A5773">
            <w:pPr>
              <w:jc w:val="both"/>
            </w:pPr>
            <w:r>
              <w:rPr>
                <w:sz w:val="17"/>
              </w:rPr>
              <w:t>Mitigar – Gestión de riesgos de cadena de suministro</w:t>
            </w:r>
          </w:p>
        </w:tc>
        <w:tc>
          <w:tcPr>
            <w:tcW w:w="3969" w:type="dxa"/>
          </w:tcPr>
          <w:p w14:paraId="68D266BC" w14:textId="77777777" w:rsidR="006079E9" w:rsidRDefault="00000000" w:rsidP="001A5773">
            <w:pPr>
              <w:jc w:val="both"/>
            </w:pPr>
            <w:r>
              <w:rPr>
                <w:sz w:val="17"/>
              </w:rPr>
              <w:t>Evaluación de seguridad a proveedores críticos, exigencia de SBOM (Software Bill of Materials), cláusulas contractuales de notificación temprana de incidentes.</w:t>
            </w:r>
          </w:p>
        </w:tc>
        <w:tc>
          <w:tcPr>
            <w:tcW w:w="2551" w:type="dxa"/>
          </w:tcPr>
          <w:p w14:paraId="6ABC2EE2" w14:textId="77777777" w:rsidR="006079E9" w:rsidRDefault="00000000" w:rsidP="001A5773">
            <w:pPr>
              <w:jc w:val="both"/>
            </w:pPr>
            <w:r>
              <w:rPr>
                <w:sz w:val="17"/>
              </w:rPr>
              <w:t>NIST SP 800-161 Rev. 1 / ISO 27001 A.5.19–A.5.22</w:t>
            </w:r>
          </w:p>
        </w:tc>
      </w:tr>
      <w:tr w:rsidR="006079E9" w14:paraId="54F2D0B2" w14:textId="77777777">
        <w:trPr>
          <w:jc w:val="center"/>
        </w:trPr>
        <w:tc>
          <w:tcPr>
            <w:tcW w:w="680" w:type="dxa"/>
          </w:tcPr>
          <w:p w14:paraId="7BACDE51" w14:textId="77777777" w:rsidR="006079E9" w:rsidRDefault="00000000" w:rsidP="001A5773">
            <w:pPr>
              <w:jc w:val="both"/>
            </w:pPr>
            <w:r>
              <w:rPr>
                <w:sz w:val="17"/>
              </w:rPr>
              <w:t>R1, R5</w:t>
            </w:r>
          </w:p>
        </w:tc>
        <w:tc>
          <w:tcPr>
            <w:tcW w:w="1984" w:type="dxa"/>
          </w:tcPr>
          <w:p w14:paraId="31D9D0AC" w14:textId="77777777" w:rsidR="006079E9" w:rsidRDefault="00000000" w:rsidP="001A5773">
            <w:pPr>
              <w:jc w:val="both"/>
            </w:pPr>
            <w:r>
              <w:rPr>
                <w:sz w:val="17"/>
              </w:rPr>
              <w:t>Mitigar – Monitoreo continuo (SOC 24/7)</w:t>
            </w:r>
          </w:p>
        </w:tc>
        <w:tc>
          <w:tcPr>
            <w:tcW w:w="3969" w:type="dxa"/>
          </w:tcPr>
          <w:p w14:paraId="0C272B15" w14:textId="77777777" w:rsidR="006079E9" w:rsidRDefault="00000000" w:rsidP="001A5773">
            <w:pPr>
              <w:jc w:val="both"/>
            </w:pPr>
            <w:r>
              <w:rPr>
                <w:sz w:val="17"/>
              </w:rPr>
              <w:t>SIEM, EDR/XDR, SOAR e inteligencia de amenazas para detectar comportamientos anómalos en el pipeline de build y en accesos privilegiados.</w:t>
            </w:r>
          </w:p>
        </w:tc>
        <w:tc>
          <w:tcPr>
            <w:tcW w:w="2551" w:type="dxa"/>
          </w:tcPr>
          <w:p w14:paraId="55AC7AE0" w14:textId="77777777" w:rsidR="006079E9" w:rsidRDefault="00000000" w:rsidP="001A5773">
            <w:pPr>
              <w:jc w:val="both"/>
            </w:pPr>
            <w:r>
              <w:rPr>
                <w:sz w:val="17"/>
              </w:rPr>
              <w:t>NIST CSF 2.0 DE / NIST SP 800-53 AU-6, SI-4</w:t>
            </w:r>
          </w:p>
        </w:tc>
      </w:tr>
      <w:tr w:rsidR="006079E9" w14:paraId="62BCD0C3" w14:textId="77777777">
        <w:trPr>
          <w:jc w:val="center"/>
        </w:trPr>
        <w:tc>
          <w:tcPr>
            <w:tcW w:w="680" w:type="dxa"/>
          </w:tcPr>
          <w:p w14:paraId="023D1708" w14:textId="77777777" w:rsidR="006079E9" w:rsidRDefault="00000000" w:rsidP="001A5773">
            <w:pPr>
              <w:jc w:val="both"/>
            </w:pPr>
            <w:r>
              <w:rPr>
                <w:sz w:val="17"/>
              </w:rPr>
              <w:t>R8, R9</w:t>
            </w:r>
          </w:p>
        </w:tc>
        <w:tc>
          <w:tcPr>
            <w:tcW w:w="1984" w:type="dxa"/>
          </w:tcPr>
          <w:p w14:paraId="7CA943A0" w14:textId="77777777" w:rsidR="006079E9" w:rsidRDefault="00000000" w:rsidP="001A5773">
            <w:pPr>
              <w:jc w:val="both"/>
            </w:pPr>
            <w:r>
              <w:rPr>
                <w:sz w:val="17"/>
              </w:rPr>
              <w:t xml:space="preserve">Transferir / Mitigar – Gobernanza y </w:t>
            </w:r>
            <w:r>
              <w:rPr>
                <w:sz w:val="17"/>
              </w:rPr>
              <w:lastRenderedPageBreak/>
              <w:t>divulgación</w:t>
            </w:r>
          </w:p>
        </w:tc>
        <w:tc>
          <w:tcPr>
            <w:tcW w:w="3969" w:type="dxa"/>
          </w:tcPr>
          <w:p w14:paraId="04945A66" w14:textId="77777777" w:rsidR="006079E9" w:rsidRDefault="00000000" w:rsidP="001A5773">
            <w:pPr>
              <w:jc w:val="both"/>
            </w:pPr>
            <w:r>
              <w:rPr>
                <w:sz w:val="17"/>
              </w:rPr>
              <w:lastRenderedPageBreak/>
              <w:t xml:space="preserve">Política formal de divulgación responsable de incidentes (disclosure), seguro de riesgos </w:t>
            </w:r>
            <w:r>
              <w:rPr>
                <w:sz w:val="17"/>
              </w:rPr>
              <w:lastRenderedPageBreak/>
              <w:t>cibernéticos, comité de gestión de crisis con reporte a junta directiva.</w:t>
            </w:r>
          </w:p>
        </w:tc>
        <w:tc>
          <w:tcPr>
            <w:tcW w:w="2551" w:type="dxa"/>
          </w:tcPr>
          <w:p w14:paraId="4A5CBC9E" w14:textId="77777777" w:rsidR="006079E9" w:rsidRDefault="00000000" w:rsidP="001A5773">
            <w:pPr>
              <w:jc w:val="both"/>
            </w:pPr>
            <w:r>
              <w:rPr>
                <w:sz w:val="17"/>
              </w:rPr>
              <w:lastRenderedPageBreak/>
              <w:t>ISO 31000 / SEC Cybersecurity Disclosure Rules</w:t>
            </w:r>
          </w:p>
        </w:tc>
      </w:tr>
      <w:tr w:rsidR="006079E9" w14:paraId="2E4B7CC7" w14:textId="77777777">
        <w:trPr>
          <w:jc w:val="center"/>
        </w:trPr>
        <w:tc>
          <w:tcPr>
            <w:tcW w:w="680" w:type="dxa"/>
          </w:tcPr>
          <w:p w14:paraId="00A1C11B" w14:textId="77777777" w:rsidR="006079E9" w:rsidRDefault="00000000" w:rsidP="001A5773">
            <w:pPr>
              <w:jc w:val="both"/>
            </w:pPr>
            <w:r>
              <w:rPr>
                <w:sz w:val="17"/>
              </w:rPr>
              <w:t>R10</w:t>
            </w:r>
          </w:p>
        </w:tc>
        <w:tc>
          <w:tcPr>
            <w:tcW w:w="1984" w:type="dxa"/>
          </w:tcPr>
          <w:p w14:paraId="5879CA60" w14:textId="77777777" w:rsidR="006079E9" w:rsidRDefault="00000000" w:rsidP="001A5773">
            <w:pPr>
              <w:jc w:val="both"/>
            </w:pPr>
            <w:r>
              <w:rPr>
                <w:sz w:val="17"/>
              </w:rPr>
              <w:t>Mitigar – Gestión de vulnerabilidades y respuesta</w:t>
            </w:r>
          </w:p>
        </w:tc>
        <w:tc>
          <w:tcPr>
            <w:tcW w:w="3969" w:type="dxa"/>
          </w:tcPr>
          <w:p w14:paraId="5355AD1A" w14:textId="77777777" w:rsidR="006079E9" w:rsidRDefault="00000000" w:rsidP="001A5773">
            <w:pPr>
              <w:jc w:val="both"/>
            </w:pPr>
            <w:r>
              <w:rPr>
                <w:sz w:val="17"/>
              </w:rPr>
              <w:t>Proceso de notificación coordinada (CISA Emergency Directives), priorización de parches por criticidad (CVSS), simulacros de respuesta a incidentes de cadena de suministro.</w:t>
            </w:r>
          </w:p>
        </w:tc>
        <w:tc>
          <w:tcPr>
            <w:tcW w:w="2551" w:type="dxa"/>
          </w:tcPr>
          <w:p w14:paraId="18DE96CA" w14:textId="77777777" w:rsidR="006079E9" w:rsidRDefault="00000000" w:rsidP="001A5773">
            <w:pPr>
              <w:jc w:val="both"/>
            </w:pPr>
            <w:r>
              <w:rPr>
                <w:sz w:val="17"/>
              </w:rPr>
              <w:t>CISA ED 21-01 / NIST SP 800-53 RA-5, IR-4</w:t>
            </w:r>
          </w:p>
        </w:tc>
      </w:tr>
      <w:tr w:rsidR="006079E9" w14:paraId="21993470" w14:textId="77777777">
        <w:trPr>
          <w:jc w:val="center"/>
        </w:trPr>
        <w:tc>
          <w:tcPr>
            <w:tcW w:w="680" w:type="dxa"/>
          </w:tcPr>
          <w:p w14:paraId="20FEBD61" w14:textId="77777777" w:rsidR="006079E9" w:rsidRDefault="00000000" w:rsidP="001A5773">
            <w:pPr>
              <w:jc w:val="both"/>
            </w:pPr>
            <w:r>
              <w:rPr>
                <w:sz w:val="17"/>
              </w:rPr>
              <w:t>Todos</w:t>
            </w:r>
          </w:p>
        </w:tc>
        <w:tc>
          <w:tcPr>
            <w:tcW w:w="1984" w:type="dxa"/>
          </w:tcPr>
          <w:p w14:paraId="67B3F8F8" w14:textId="77777777" w:rsidR="006079E9" w:rsidRDefault="00000000" w:rsidP="001A5773">
            <w:pPr>
              <w:jc w:val="both"/>
            </w:pPr>
            <w:r>
              <w:rPr>
                <w:sz w:val="17"/>
              </w:rPr>
              <w:t>Mitigar – Cultura y mejora continua</w:t>
            </w:r>
          </w:p>
        </w:tc>
        <w:tc>
          <w:tcPr>
            <w:tcW w:w="3969" w:type="dxa"/>
          </w:tcPr>
          <w:p w14:paraId="7E632DE9" w14:textId="77777777" w:rsidR="006079E9" w:rsidRDefault="00000000" w:rsidP="001A5773">
            <w:pPr>
              <w:jc w:val="both"/>
            </w:pPr>
            <w:r>
              <w:rPr>
                <w:sz w:val="17"/>
              </w:rPr>
              <w:t>Programa de concientización en seguridad del ciclo de vida de desarrollo de software (SDLC), auditorías independientes del entorno de build, ciclo de mejora continua (PDCA).</w:t>
            </w:r>
          </w:p>
        </w:tc>
        <w:tc>
          <w:tcPr>
            <w:tcW w:w="2551" w:type="dxa"/>
          </w:tcPr>
          <w:p w14:paraId="3DE55275" w14:textId="77777777" w:rsidR="006079E9" w:rsidRDefault="00000000" w:rsidP="001A5773">
            <w:pPr>
              <w:jc w:val="both"/>
            </w:pPr>
            <w:r>
              <w:rPr>
                <w:sz w:val="17"/>
              </w:rPr>
              <w:t>ISO/IEC 27001 A.6.3 / ISO 9001 – PDCA</w:t>
            </w:r>
          </w:p>
        </w:tc>
      </w:tr>
    </w:tbl>
    <w:p w14:paraId="20320229" w14:textId="77777777" w:rsidR="006079E9" w:rsidRDefault="00000000" w:rsidP="001A5773">
      <w:pPr>
        <w:pStyle w:val="Ttulo1"/>
        <w:jc w:val="both"/>
      </w:pPr>
      <w:bookmarkStart w:id="15" w:name="_Toc233146864"/>
      <w:bookmarkStart w:id="16" w:name="_Toc233146915"/>
      <w:r>
        <w:rPr>
          <w:color w:val="1F3864"/>
        </w:rPr>
        <w:t>7. Conclusiones y Recomendaciones</w:t>
      </w:r>
      <w:bookmarkEnd w:id="15"/>
      <w:bookmarkEnd w:id="16"/>
    </w:p>
    <w:p w14:paraId="3989AF38" w14:textId="77777777" w:rsidR="006079E9" w:rsidRDefault="00000000" w:rsidP="001A5773">
      <w:pPr>
        <w:pStyle w:val="Ttulo2"/>
        <w:jc w:val="both"/>
      </w:pPr>
      <w:bookmarkStart w:id="17" w:name="_Toc233146865"/>
      <w:bookmarkStart w:id="18" w:name="_Toc233146916"/>
      <w:r>
        <w:rPr>
          <w:color w:val="1F3864"/>
        </w:rPr>
        <w:t>7.1 Conclusiones</w:t>
      </w:r>
      <w:bookmarkEnd w:id="17"/>
      <w:bookmarkEnd w:id="18"/>
    </w:p>
    <w:p w14:paraId="7213C664" w14:textId="77777777" w:rsidR="006079E9" w:rsidRDefault="00000000" w:rsidP="001A5773">
      <w:pPr>
        <w:pStyle w:val="Listaconvietas"/>
        <w:jc w:val="both"/>
      </w:pPr>
      <w:r>
        <w:t>El caso SolarWinds/Sunburst demostró que la cadena de suministro de software constituye uno de los vectores de riesgo más críticos y subestimados en la ciberseguridad moderna, ya que un único proveedor comprometido puede convertirse en el punto de entrada hacia miles de organizaciones, incluyendo agencias gubernamentales de alto nivel.</w:t>
      </w:r>
    </w:p>
    <w:p w14:paraId="7BAEDC5E" w14:textId="77777777" w:rsidR="006079E9" w:rsidRDefault="00000000" w:rsidP="001A5773">
      <w:pPr>
        <w:pStyle w:val="Listaconvietas"/>
        <w:jc w:val="both"/>
      </w:pPr>
      <w:r>
        <w:t>La ausencia de verificación de integridad en el proceso de compilación y firma de software permitió que un backdoor permaneciera oculto durante más de 14 meses dentro de actualizaciones consideradas legítimas y confiables por los clientes.</w:t>
      </w:r>
    </w:p>
    <w:p w14:paraId="7E48EDAB" w14:textId="77777777" w:rsidR="006079E9" w:rsidRDefault="00000000" w:rsidP="001A5773">
      <w:pPr>
        <w:pStyle w:val="Listaconvietas"/>
        <w:jc w:val="both"/>
      </w:pPr>
      <w:r>
        <w:t>La combinación de un actor estatal altamente sofisticado (APT29/Nobelium), técnicas avanzadas de evasión (Golden SAML) y debilidades organizacionales (monitoreo limitado, credenciales débiles, segmentación insuficiente) evidencia que la gestión de riesgos de ciberseguridad debe extenderse más allá del perímetro propio hacia los proveedores críticos de TI.</w:t>
      </w:r>
    </w:p>
    <w:p w14:paraId="4ED2AC23" w14:textId="77777777" w:rsidR="006079E9" w:rsidRDefault="00000000" w:rsidP="001A5773">
      <w:pPr>
        <w:pStyle w:val="Listaconvietas"/>
        <w:jc w:val="both"/>
      </w:pPr>
      <w:r>
        <w:t>La aplicación articulada de marcos como NIST SP 800-161 (gestión de riesgos de cadena de suministro), NIST SP 800-218 (desarrollo seguro de software), ISO/IEC 27001:2022 y NIST CSF 2.0 ofrece un enfoque robusto y complementario para reducir el riesgo residual asociado a proveedores de software.</w:t>
      </w:r>
    </w:p>
    <w:p w14:paraId="03228DAA" w14:textId="77777777" w:rsidR="006079E9" w:rsidRDefault="00000000" w:rsidP="001A5773">
      <w:pPr>
        <w:pStyle w:val="Listaconvietas"/>
        <w:jc w:val="both"/>
      </w:pPr>
      <w:r>
        <w:t>El monitoreo continuo mediante KRIs orientados a la integridad del código, los accesos privilegiados y el comportamiento de identidades federadas es indispensable para detectar señales tempranas de compromiso en entornos de desarrollo y distribución de software.</w:t>
      </w:r>
    </w:p>
    <w:p w14:paraId="5FA16927" w14:textId="77777777" w:rsidR="006079E9" w:rsidRDefault="00000000" w:rsidP="001A5773">
      <w:pPr>
        <w:pStyle w:val="Ttulo2"/>
        <w:jc w:val="both"/>
      </w:pPr>
      <w:bookmarkStart w:id="19" w:name="_Toc233146866"/>
      <w:bookmarkStart w:id="20" w:name="_Toc233146917"/>
      <w:r>
        <w:rPr>
          <w:color w:val="1F3864"/>
        </w:rPr>
        <w:t>7.2 Recomendaciones</w:t>
      </w:r>
      <w:bookmarkEnd w:id="19"/>
      <w:bookmarkEnd w:id="20"/>
    </w:p>
    <w:p w14:paraId="4E4BF86D" w14:textId="399619D5" w:rsidR="006079E9" w:rsidRDefault="00000000" w:rsidP="001A5773">
      <w:pPr>
        <w:pStyle w:val="Listaconnmeros"/>
        <w:jc w:val="both"/>
      </w:pPr>
      <w:r>
        <w:rPr>
          <w:b/>
        </w:rPr>
        <w:t xml:space="preserve">Corto </w:t>
      </w:r>
      <w:proofErr w:type="spellStart"/>
      <w:r>
        <w:rPr>
          <w:b/>
        </w:rPr>
        <w:t>plazo</w:t>
      </w:r>
      <w:proofErr w:type="spellEnd"/>
      <w:r>
        <w:rPr>
          <w:b/>
        </w:rPr>
        <w:t xml:space="preserve"> (0–6 meses): </w:t>
      </w:r>
      <w:proofErr w:type="spellStart"/>
      <w:r w:rsidR="00A702C8">
        <w:t>I</w:t>
      </w:r>
      <w:r>
        <w:t>mplementar</w:t>
      </w:r>
      <w:proofErr w:type="spellEnd"/>
      <w:r>
        <w:t xml:space="preserve"> </w:t>
      </w:r>
      <w:proofErr w:type="spellStart"/>
      <w:r>
        <w:t>verificación</w:t>
      </w:r>
      <w:proofErr w:type="spellEnd"/>
      <w:r>
        <w:t xml:space="preserve"> </w:t>
      </w:r>
      <w:proofErr w:type="spellStart"/>
      <w:r>
        <w:t>criptográfica</w:t>
      </w:r>
      <w:proofErr w:type="spellEnd"/>
      <w:r>
        <w:t xml:space="preserve"> de integridad en cada build, MFA obligatorio en accesos al entorno de desarrollo, rotación de credenciales y certificados expuestos, y monitoreo reforzado del pipeline CI/CD.</w:t>
      </w:r>
    </w:p>
    <w:p w14:paraId="538656B9" w14:textId="4D05321A" w:rsidR="006079E9" w:rsidRDefault="00000000" w:rsidP="001A5773">
      <w:pPr>
        <w:pStyle w:val="Listaconnmeros"/>
        <w:jc w:val="both"/>
      </w:pPr>
      <w:r>
        <w:rPr>
          <w:b/>
        </w:rPr>
        <w:t xml:space="preserve">Mediano </w:t>
      </w:r>
      <w:proofErr w:type="spellStart"/>
      <w:r>
        <w:rPr>
          <w:b/>
        </w:rPr>
        <w:t>plazo</w:t>
      </w:r>
      <w:proofErr w:type="spellEnd"/>
      <w:r>
        <w:rPr>
          <w:b/>
        </w:rPr>
        <w:t xml:space="preserve"> (6–18 meses): </w:t>
      </w:r>
      <w:proofErr w:type="spellStart"/>
      <w:r w:rsidR="00A702C8">
        <w:t>A</w:t>
      </w:r>
      <w:r>
        <w:t>doptar</w:t>
      </w:r>
      <w:proofErr w:type="spellEnd"/>
      <w:r>
        <w:t xml:space="preserve"> un </w:t>
      </w:r>
      <w:proofErr w:type="spellStart"/>
      <w:r>
        <w:t>programa</w:t>
      </w:r>
      <w:proofErr w:type="spellEnd"/>
      <w:r>
        <w:t xml:space="preserve"> formal de gestión de riesgos de cadena de suministro (NIST SP 800-161), exigir SBOM a proveedores críticos, desplegar SOC 24/7 con SIEM/SOAR/EDR, y establecer simulacros periódicos de respuesta </w:t>
      </w:r>
      <w:proofErr w:type="gramStart"/>
      <w:r>
        <w:t>a</w:t>
      </w:r>
      <w:proofErr w:type="gramEnd"/>
      <w:r>
        <w:t xml:space="preserve"> incidentes de cadena de suministro.</w:t>
      </w:r>
    </w:p>
    <w:p w14:paraId="63B9CAFA" w14:textId="2C83B826" w:rsidR="006079E9" w:rsidRDefault="00000000" w:rsidP="001A5773">
      <w:pPr>
        <w:pStyle w:val="Listaconnmeros"/>
        <w:jc w:val="both"/>
      </w:pPr>
      <w:r>
        <w:rPr>
          <w:b/>
        </w:rPr>
        <w:t xml:space="preserve">Largo </w:t>
      </w:r>
      <w:proofErr w:type="spellStart"/>
      <w:r>
        <w:rPr>
          <w:b/>
        </w:rPr>
        <w:t>plazo</w:t>
      </w:r>
      <w:proofErr w:type="spellEnd"/>
      <w:r>
        <w:rPr>
          <w:b/>
        </w:rPr>
        <w:t xml:space="preserve"> (18–36 meses): </w:t>
      </w:r>
      <w:proofErr w:type="spellStart"/>
      <w:r w:rsidR="00A702C8">
        <w:rPr>
          <w:bCs/>
        </w:rPr>
        <w:t>A</w:t>
      </w:r>
      <w:r>
        <w:t>linear</w:t>
      </w:r>
      <w:proofErr w:type="spellEnd"/>
      <w:r>
        <w:t xml:space="preserve"> </w:t>
      </w:r>
      <w:proofErr w:type="spellStart"/>
      <w:r>
        <w:t>el</w:t>
      </w:r>
      <w:proofErr w:type="spellEnd"/>
      <w:r>
        <w:t xml:space="preserve"> </w:t>
      </w:r>
      <w:proofErr w:type="spellStart"/>
      <w:r>
        <w:t>ciclo</w:t>
      </w:r>
      <w:proofErr w:type="spellEnd"/>
      <w:r>
        <w:t xml:space="preserve"> de desarrollo de software con NIST SP 800-218 (SSDF), certificar el SGSI bajo ISO/IEC 27001:2022, e integrar la seguridad de la cadena de suministro como componente estratégico del gobierno corporativo.</w:t>
      </w:r>
    </w:p>
    <w:p w14:paraId="69ACB581" w14:textId="282FAC00" w:rsidR="006079E9" w:rsidRDefault="00000000" w:rsidP="001A5773">
      <w:pPr>
        <w:pStyle w:val="Listaconnmeros"/>
        <w:jc w:val="both"/>
      </w:pPr>
      <w:proofErr w:type="spellStart"/>
      <w:r>
        <w:rPr>
          <w:b/>
        </w:rPr>
        <w:t>Gobernanza</w:t>
      </w:r>
      <w:proofErr w:type="spellEnd"/>
      <w:r>
        <w:rPr>
          <w:b/>
        </w:rPr>
        <w:t xml:space="preserve">: </w:t>
      </w:r>
      <w:proofErr w:type="spellStart"/>
      <w:r w:rsidR="00A702C8">
        <w:t>D</w:t>
      </w:r>
      <w:r>
        <w:t>esignar</w:t>
      </w:r>
      <w:proofErr w:type="spellEnd"/>
      <w:r>
        <w:t xml:space="preserve"> un CISO con reporte directo al Comité Ejecutivo/Directorio, establecer un Comité de Riesgos Tecnológicos y de Terceros, y mantener un proceso de mejora continua basado en </w:t>
      </w:r>
      <w:r>
        <w:lastRenderedPageBreak/>
        <w:t xml:space="preserve">el ciclo PDCA con auditorías internas y externas periódicas al entorno de desarrollo y </w:t>
      </w:r>
      <w:proofErr w:type="spellStart"/>
      <w:r>
        <w:t>distribución</w:t>
      </w:r>
      <w:proofErr w:type="spellEnd"/>
      <w:r>
        <w:t xml:space="preserve"> de software.</w:t>
      </w:r>
    </w:p>
    <w:p w14:paraId="21BC0A27" w14:textId="77777777" w:rsidR="006079E9" w:rsidRDefault="00000000" w:rsidP="001A5773">
      <w:pPr>
        <w:pStyle w:val="Ttulo1"/>
        <w:jc w:val="both"/>
      </w:pPr>
      <w:bookmarkStart w:id="21" w:name="_Toc233146867"/>
      <w:bookmarkStart w:id="22" w:name="_Toc233146918"/>
      <w:r>
        <w:rPr>
          <w:color w:val="1F3864"/>
        </w:rPr>
        <w:t xml:space="preserve">8. </w:t>
      </w:r>
      <w:proofErr w:type="spellStart"/>
      <w:r>
        <w:rPr>
          <w:color w:val="1F3864"/>
        </w:rPr>
        <w:t>Bibliografía</w:t>
      </w:r>
      <w:bookmarkEnd w:id="21"/>
      <w:bookmarkEnd w:id="22"/>
      <w:proofErr w:type="spellEnd"/>
    </w:p>
    <w:p w14:paraId="45DE5069" w14:textId="77777777" w:rsidR="006079E9" w:rsidRDefault="00000000" w:rsidP="001A5773">
      <w:pPr>
        <w:pStyle w:val="Prrafodelista"/>
        <w:numPr>
          <w:ilvl w:val="0"/>
          <w:numId w:val="10"/>
        </w:numPr>
        <w:spacing w:after="120"/>
        <w:jc w:val="both"/>
      </w:pPr>
      <w:r>
        <w:t xml:space="preserve">Cybersecurity and Infrastructure Security Agency [CISA]. (2020). Advanced Persistent Threat Compromise of Government Agencies, Critical Infrastructure, and Private Sector Organizations (AA20-352A). Recuperado de </w:t>
      </w:r>
      <w:hyperlink r:id="rId15">
        <w:r>
          <w:rPr>
            <w:color w:val="0563C1"/>
            <w:u w:val="single"/>
          </w:rPr>
          <w:t>https://www.cisa.gov/news-events/cybersecurity-advisories/aa20-352a</w:t>
        </w:r>
      </w:hyperlink>
    </w:p>
    <w:p w14:paraId="7CBFA89A" w14:textId="77777777" w:rsidR="006079E9" w:rsidRDefault="00000000" w:rsidP="001A5773">
      <w:pPr>
        <w:pStyle w:val="Prrafodelista"/>
        <w:numPr>
          <w:ilvl w:val="0"/>
          <w:numId w:val="10"/>
        </w:numPr>
        <w:spacing w:after="120"/>
        <w:jc w:val="both"/>
      </w:pPr>
      <w:r>
        <w:t xml:space="preserve">Cybersecurity and Infrastructure Security Agency [CISA]. (2020). Emergency Directive 21-01: Mitigate SolarWinds Orion Code Compromise. Recuperado de </w:t>
      </w:r>
      <w:hyperlink r:id="rId16">
        <w:r>
          <w:rPr>
            <w:color w:val="0563C1"/>
            <w:u w:val="single"/>
          </w:rPr>
          <w:t>https://www.cisa.gov/news-events/directives/ed-21-01-mitigate-solarwinds-orion-code-compromise</w:t>
        </w:r>
      </w:hyperlink>
    </w:p>
    <w:p w14:paraId="5FB421B1" w14:textId="77777777" w:rsidR="006079E9" w:rsidRDefault="00000000" w:rsidP="001A5773">
      <w:pPr>
        <w:pStyle w:val="Prrafodelista"/>
        <w:numPr>
          <w:ilvl w:val="0"/>
          <w:numId w:val="10"/>
        </w:numPr>
        <w:spacing w:after="120"/>
        <w:jc w:val="both"/>
      </w:pPr>
      <w:r>
        <w:t xml:space="preserve">FireEye / Mandiant. (2020). Highly Evasive Attacker Leverages SolarWinds Supply Chain to Compromise Multiple Global Victims with SUNBURST Backdoor. Recuperado de </w:t>
      </w:r>
      <w:hyperlink r:id="rId17">
        <w:r>
          <w:rPr>
            <w:color w:val="0563C1"/>
            <w:u w:val="single"/>
          </w:rPr>
          <w:t>https://www.mandiant.com/resources/blog/evasive-attacker-leverages-solarwinds-supply-chain-compromises-with-sunburst-backdoor</w:t>
        </w:r>
      </w:hyperlink>
    </w:p>
    <w:p w14:paraId="1C7D65FC" w14:textId="77777777" w:rsidR="006079E9" w:rsidRDefault="00000000" w:rsidP="001A5773">
      <w:pPr>
        <w:pStyle w:val="Prrafodelista"/>
        <w:numPr>
          <w:ilvl w:val="0"/>
          <w:numId w:val="10"/>
        </w:numPr>
        <w:spacing w:after="120"/>
        <w:jc w:val="both"/>
      </w:pPr>
      <w:r>
        <w:t xml:space="preserve">Microsoft Threat Intelligence Center [MSTIC]. (2021). Analyzing Solorigate, the Compromised DLL File That Started a Sophisticated Cyberattack. Recuperado de </w:t>
      </w:r>
      <w:hyperlink r:id="rId18">
        <w:r>
          <w:rPr>
            <w:color w:val="0563C1"/>
            <w:u w:val="single"/>
          </w:rPr>
          <w:t>https://www.microsoft.com/en-us/security/blog/</w:t>
        </w:r>
      </w:hyperlink>
    </w:p>
    <w:p w14:paraId="11BE307E" w14:textId="77777777" w:rsidR="006079E9" w:rsidRDefault="00000000" w:rsidP="001A5773">
      <w:pPr>
        <w:pStyle w:val="Prrafodelista"/>
        <w:numPr>
          <w:ilvl w:val="0"/>
          <w:numId w:val="10"/>
        </w:numPr>
        <w:spacing w:after="120"/>
        <w:jc w:val="both"/>
      </w:pPr>
      <w:r>
        <w:t xml:space="preserve">SolarWinds Corporation. (2021). Security Advisory: SolarWinds Orion Platform Software Update. Recuperado de </w:t>
      </w:r>
      <w:hyperlink r:id="rId19">
        <w:r>
          <w:rPr>
            <w:color w:val="0563C1"/>
            <w:u w:val="single"/>
          </w:rPr>
          <w:t>https://www.solarwinds.com/security-advisory</w:t>
        </w:r>
      </w:hyperlink>
    </w:p>
    <w:p w14:paraId="4857113D" w14:textId="77777777" w:rsidR="006079E9" w:rsidRDefault="00000000" w:rsidP="001A5773">
      <w:pPr>
        <w:pStyle w:val="Prrafodelista"/>
        <w:numPr>
          <w:ilvl w:val="0"/>
          <w:numId w:val="10"/>
        </w:numPr>
        <w:spacing w:after="120"/>
        <w:jc w:val="both"/>
      </w:pPr>
      <w:r>
        <w:t xml:space="preserve">United States Government Accountability Office [GAO]. (2021). Federal Response to SolarWinds and Microsoft Exchange Incidents (GAO-22-104746). Recuperado de </w:t>
      </w:r>
      <w:hyperlink r:id="rId20">
        <w:r>
          <w:rPr>
            <w:color w:val="0563C1"/>
            <w:u w:val="single"/>
          </w:rPr>
          <w:t>https://www.gao.gov/products/gao-22-104746</w:t>
        </w:r>
      </w:hyperlink>
    </w:p>
    <w:p w14:paraId="4F3D253B" w14:textId="77777777" w:rsidR="006079E9" w:rsidRDefault="00000000" w:rsidP="001A5773">
      <w:pPr>
        <w:pStyle w:val="Prrafodelista"/>
        <w:numPr>
          <w:ilvl w:val="0"/>
          <w:numId w:val="10"/>
        </w:numPr>
        <w:spacing w:after="120"/>
        <w:jc w:val="both"/>
      </w:pPr>
      <w:r>
        <w:t xml:space="preserve">National Institute of Standards and Technology. (2022). Cybersecurity Supply Chain Risk Management Practices for Systems and Organizations (NIST SP 800-161 Rev. 1). U.S. Department of Commerce. Recuperado de </w:t>
      </w:r>
      <w:hyperlink r:id="rId21">
        <w:r>
          <w:rPr>
            <w:color w:val="0563C1"/>
            <w:u w:val="single"/>
          </w:rPr>
          <w:t>https://csrc.nist.gov/pubs/sp/800/161/r1/final</w:t>
        </w:r>
      </w:hyperlink>
    </w:p>
    <w:p w14:paraId="77CA1AA0" w14:textId="77777777" w:rsidR="006079E9" w:rsidRDefault="00000000" w:rsidP="001A5773">
      <w:pPr>
        <w:pStyle w:val="Prrafodelista"/>
        <w:numPr>
          <w:ilvl w:val="0"/>
          <w:numId w:val="10"/>
        </w:numPr>
        <w:spacing w:after="120"/>
        <w:jc w:val="both"/>
      </w:pPr>
      <w:r>
        <w:t xml:space="preserve">National Institute of Standards and Technology. (2022). Secure Software Development Framework (SSDF) (NIST SP 800-218). U.S. Department of Commerce. Recuperado de </w:t>
      </w:r>
      <w:hyperlink r:id="rId22">
        <w:r>
          <w:rPr>
            <w:color w:val="0563C1"/>
            <w:u w:val="single"/>
          </w:rPr>
          <w:t>https://csrc.nist.gov/pubs/sp/800/218/final</w:t>
        </w:r>
      </w:hyperlink>
    </w:p>
    <w:p w14:paraId="1F6C764C" w14:textId="77777777" w:rsidR="006079E9" w:rsidRDefault="00000000" w:rsidP="001A5773">
      <w:pPr>
        <w:pStyle w:val="Prrafodelista"/>
        <w:numPr>
          <w:ilvl w:val="0"/>
          <w:numId w:val="10"/>
        </w:numPr>
        <w:spacing w:after="120"/>
        <w:jc w:val="both"/>
      </w:pPr>
      <w:r>
        <w:t xml:space="preserve">National Institute of Standards and Technology. (2024). The NIST Cybersecurity Framework (CSF) 2.0 (NIST CSWP 29). U.S. Department of Commerce. Recuperado de </w:t>
      </w:r>
      <w:hyperlink r:id="rId23">
        <w:r>
          <w:rPr>
            <w:color w:val="0563C1"/>
            <w:u w:val="single"/>
          </w:rPr>
          <w:t>https://www.nist.gov/cyberframework</w:t>
        </w:r>
      </w:hyperlink>
    </w:p>
    <w:p w14:paraId="1F02F2FD" w14:textId="77777777" w:rsidR="006079E9" w:rsidRDefault="00000000" w:rsidP="001A5773">
      <w:pPr>
        <w:pStyle w:val="Prrafodelista"/>
        <w:numPr>
          <w:ilvl w:val="0"/>
          <w:numId w:val="10"/>
        </w:numPr>
        <w:spacing w:after="120"/>
        <w:jc w:val="both"/>
      </w:pPr>
      <w:r>
        <w:t xml:space="preserve">National Institute of Standards and Technology. (2020). Security and Privacy Controls for Information Systems and Organizations (NIST SP 800-53 Rev. 5). U.S. Department of Commerce. Recuperado de </w:t>
      </w:r>
      <w:hyperlink r:id="rId24">
        <w:r>
          <w:rPr>
            <w:color w:val="0563C1"/>
            <w:u w:val="single"/>
          </w:rPr>
          <w:t>https://csrc.nist.gov/pubs/sp/800/53/r5/upd1/final</w:t>
        </w:r>
      </w:hyperlink>
    </w:p>
    <w:p w14:paraId="4F30A249" w14:textId="77777777" w:rsidR="006079E9" w:rsidRDefault="00000000" w:rsidP="001A5773">
      <w:pPr>
        <w:pStyle w:val="Prrafodelista"/>
        <w:numPr>
          <w:ilvl w:val="0"/>
          <w:numId w:val="10"/>
        </w:numPr>
        <w:spacing w:after="120"/>
        <w:jc w:val="both"/>
      </w:pPr>
      <w:r>
        <w:t xml:space="preserve">International Organization for Standardization. (2022). ISO/IEC 27001:2022 Information security, cybersecurity and privacy protection — Information security management systems — Requirements. Geneva: ISO. Recuperado de </w:t>
      </w:r>
      <w:hyperlink r:id="rId25">
        <w:r>
          <w:rPr>
            <w:color w:val="0563C1"/>
            <w:u w:val="single"/>
          </w:rPr>
          <w:t>https://www.iso.org/standard/27001</w:t>
        </w:r>
      </w:hyperlink>
    </w:p>
    <w:p w14:paraId="17CEA436" w14:textId="77777777" w:rsidR="006079E9" w:rsidRDefault="00000000" w:rsidP="001A5773">
      <w:pPr>
        <w:pStyle w:val="Prrafodelista"/>
        <w:numPr>
          <w:ilvl w:val="0"/>
          <w:numId w:val="10"/>
        </w:numPr>
        <w:spacing w:after="120"/>
        <w:jc w:val="both"/>
      </w:pPr>
      <w:r>
        <w:t xml:space="preserve">International Organization for Standardization. (2018). ISO 31000:2018 Risk management — Guidelines. Geneva: ISO. Recuperado de </w:t>
      </w:r>
      <w:hyperlink r:id="rId26">
        <w:r>
          <w:rPr>
            <w:color w:val="0563C1"/>
            <w:u w:val="single"/>
          </w:rPr>
          <w:t>https://www.iso.org/iso-31000-risk-management.html</w:t>
        </w:r>
      </w:hyperlink>
    </w:p>
    <w:p w14:paraId="6D7E6F5A" w14:textId="77777777" w:rsidR="006079E9" w:rsidRDefault="00000000" w:rsidP="001A5773">
      <w:pPr>
        <w:pStyle w:val="Prrafodelista"/>
        <w:numPr>
          <w:ilvl w:val="0"/>
          <w:numId w:val="10"/>
        </w:numPr>
        <w:spacing w:after="120"/>
        <w:jc w:val="both"/>
      </w:pPr>
      <w:r>
        <w:t xml:space="preserve">Center for Internet Security. (2021). CIS Critical Security Controls Version 8. Recuperado de </w:t>
      </w:r>
      <w:hyperlink r:id="rId27">
        <w:r>
          <w:rPr>
            <w:color w:val="0563C1"/>
            <w:u w:val="single"/>
          </w:rPr>
          <w:t>https://www.cisecurity.org/controls/v8</w:t>
        </w:r>
      </w:hyperlink>
    </w:p>
    <w:p w14:paraId="2682B154" w14:textId="77777777" w:rsidR="006079E9" w:rsidRDefault="00000000" w:rsidP="001A5773">
      <w:pPr>
        <w:pStyle w:val="Prrafodelista"/>
        <w:numPr>
          <w:ilvl w:val="0"/>
          <w:numId w:val="10"/>
        </w:numPr>
        <w:spacing w:after="120"/>
        <w:jc w:val="both"/>
      </w:pPr>
      <w:r>
        <w:t xml:space="preserve">U.S. Senate Select Committee on Intelligence. (2021). Hearing on the SolarWinds Cyber Breach. Recuperado de </w:t>
      </w:r>
      <w:hyperlink r:id="rId28">
        <w:r>
          <w:rPr>
            <w:color w:val="0563C1"/>
            <w:u w:val="single"/>
          </w:rPr>
          <w:t>https://www.intelligence.senate.gov/</w:t>
        </w:r>
      </w:hyperlink>
    </w:p>
    <w:sectPr w:rsidR="006079E9" w:rsidSect="00034616">
      <w:headerReference w:type="default" r:id="rId11"/>
      <w:footerReference w:type="default" r:id="rId12"/>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7AE3" w14:textId="77777777" w:rsidR="00294AEE" w:rsidRDefault="00294AEE">
      <w:pPr>
        <w:spacing w:after="0" w:line="240" w:lineRule="auto"/>
      </w:pPr>
      <w:r>
        <w:separator/>
      </w:r>
    </w:p>
  </w:endnote>
  <w:endnote w:type="continuationSeparator" w:id="0">
    <w:p w14:paraId="74B3DA35" w14:textId="77777777" w:rsidR="00294AEE" w:rsidRDefault="00294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87F2" w14:textId="517EF4E3" w:rsidR="001A5773" w:rsidRPr="001A5773" w:rsidRDefault="001A5773">
    <w:pPr>
      <w:pStyle w:val="Piedepgina"/>
      <w:jc w:val="center"/>
      <w:rPr>
        <w:b/>
        <w:bCs/>
        <w:color w:val="404040"/>
        <w:sz w:val="20"/>
        <w:szCs w:val="20"/>
      </w:rPr>
    </w:pPr>
    <w:r w:rsidRPr="001A5773">
      <w:rPr>
        <w:b/>
        <w:bCs/>
        <w:color w:val="404040"/>
        <w:sz w:val="20"/>
        <w:szCs w:val="20"/>
      </w:rPr>
      <w:t>______________________________________________________________________________________________</w:t>
    </w:r>
  </w:p>
  <w:p w14:paraId="0165EFBD" w14:textId="71B6C633" w:rsidR="006079E9" w:rsidRPr="001A5773" w:rsidRDefault="00000000">
    <w:pPr>
      <w:pStyle w:val="Piedepgina"/>
      <w:jc w:val="center"/>
      <w:rPr>
        <w:sz w:val="20"/>
        <w:szCs w:val="20"/>
      </w:rPr>
    </w:pPr>
    <w:proofErr w:type="spellStart"/>
    <w:r w:rsidRPr="001A5773">
      <w:rPr>
        <w:color w:val="404040"/>
        <w:sz w:val="20"/>
        <w:szCs w:val="20"/>
      </w:rPr>
      <w:t>Trabajo</w:t>
    </w:r>
    <w:proofErr w:type="spellEnd"/>
    <w:r w:rsidRPr="001A5773">
      <w:rPr>
        <w:color w:val="404040"/>
        <w:sz w:val="20"/>
        <w:szCs w:val="20"/>
      </w:rPr>
      <w:t xml:space="preserve"> Final </w:t>
    </w:r>
    <w:proofErr w:type="spellStart"/>
    <w:proofErr w:type="gramStart"/>
    <w:r w:rsidRPr="001A5773">
      <w:rPr>
        <w:color w:val="404040"/>
        <w:sz w:val="20"/>
        <w:szCs w:val="20"/>
      </w:rPr>
      <w:t>Grupal</w:t>
    </w:r>
    <w:proofErr w:type="spellEnd"/>
    <w:r w:rsidRPr="001A5773">
      <w:rPr>
        <w:color w:val="404040"/>
        <w:sz w:val="20"/>
        <w:szCs w:val="20"/>
      </w:rPr>
      <w:t xml:space="preserve">  |</w:t>
    </w:r>
    <w:proofErr w:type="gramEnd"/>
    <w:r w:rsidRPr="001A5773">
      <w:rPr>
        <w:color w:val="404040"/>
        <w:sz w:val="20"/>
        <w:szCs w:val="20"/>
      </w:rPr>
      <w:t xml:space="preserve">  Página </w:t>
    </w:r>
    <w:r w:rsidRPr="001A5773">
      <w:rPr>
        <w:sz w:val="20"/>
        <w:szCs w:val="20"/>
      </w:rPr>
      <w:fldChar w:fldCharType="begin"/>
    </w:r>
    <w:r w:rsidRPr="001A5773">
      <w:rPr>
        <w:sz w:val="20"/>
        <w:szCs w:val="20"/>
      </w:rPr>
      <w:instrText>PAGE</w:instrText>
    </w:r>
    <w:r w:rsidRPr="001A5773">
      <w:rPr>
        <w:sz w:val="20"/>
        <w:szCs w:val="20"/>
      </w:rPr>
      <w:fldChar w:fldCharType="separate"/>
    </w:r>
    <w:r w:rsidRPr="001A5773">
      <w:rPr>
        <w:sz w:val="20"/>
        <w:szCs w:val="20"/>
      </w:rPr>
      <w:t>1</w:t>
    </w:r>
    <w:r w:rsidRPr="001A5773">
      <w:rPr>
        <w:sz w:val="20"/>
        <w:szCs w:val="20"/>
      </w:rPr>
      <w:fldChar w:fldCharType="end"/>
    </w:r>
    <w:r w:rsidRPr="001A5773">
      <w:rPr>
        <w:color w:val="404040"/>
        <w:sz w:val="20"/>
        <w:szCs w:val="20"/>
      </w:rPr>
      <w:t xml:space="preserve"> de </w:t>
    </w:r>
    <w:r w:rsidRPr="001A5773">
      <w:rPr>
        <w:sz w:val="20"/>
        <w:szCs w:val="20"/>
      </w:rPr>
      <w:fldChar w:fldCharType="begin"/>
    </w:r>
    <w:r w:rsidRPr="001A5773">
      <w:rPr>
        <w:sz w:val="20"/>
        <w:szCs w:val="20"/>
      </w:rPr>
      <w:instrText>NUMPAGES</w:instrText>
    </w:r>
    <w:r w:rsidRPr="001A5773">
      <w:rPr>
        <w:sz w:val="20"/>
        <w:szCs w:val="20"/>
      </w:rPr>
      <w:fldChar w:fldCharType="separate"/>
    </w:r>
    <w:r w:rsidRPr="001A5773">
      <w:rPr>
        <w:sz w:val="20"/>
        <w:szCs w:val="20"/>
      </w:rPr>
      <w:t>1</w:t>
    </w:r>
    <w:r w:rsidRPr="001A5773">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88934" w14:textId="77777777" w:rsidR="00294AEE" w:rsidRDefault="00294AEE">
      <w:pPr>
        <w:spacing w:after="0" w:line="240" w:lineRule="auto"/>
      </w:pPr>
      <w:r>
        <w:separator/>
      </w:r>
    </w:p>
  </w:footnote>
  <w:footnote w:type="continuationSeparator" w:id="0">
    <w:p w14:paraId="410E96FD" w14:textId="77777777" w:rsidR="00294AEE" w:rsidRDefault="00294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D1AA" w14:textId="77777777" w:rsidR="006079E9" w:rsidRPr="001A5773" w:rsidRDefault="00000000">
    <w:pPr>
      <w:pStyle w:val="Encabezado"/>
      <w:jc w:val="right"/>
      <w:rPr>
        <w:b/>
        <w:bCs/>
        <w:i/>
        <w:color w:val="404040"/>
        <w:sz w:val="16"/>
      </w:rPr>
    </w:pPr>
    <w:proofErr w:type="spellStart"/>
    <w:r w:rsidRPr="001A5773">
      <w:rPr>
        <w:b/>
        <w:bCs/>
        <w:i/>
        <w:color w:val="404040"/>
        <w:sz w:val="16"/>
      </w:rPr>
      <w:t>Gestión</w:t>
    </w:r>
    <w:proofErr w:type="spellEnd"/>
    <w:r w:rsidRPr="001A5773">
      <w:rPr>
        <w:b/>
        <w:bCs/>
        <w:i/>
        <w:color w:val="404040"/>
        <w:sz w:val="16"/>
      </w:rPr>
      <w:t xml:space="preserve"> de </w:t>
    </w:r>
    <w:proofErr w:type="spellStart"/>
    <w:r w:rsidRPr="001A5773">
      <w:rPr>
        <w:b/>
        <w:bCs/>
        <w:i/>
        <w:color w:val="404040"/>
        <w:sz w:val="16"/>
      </w:rPr>
      <w:t>Riesgos</w:t>
    </w:r>
    <w:proofErr w:type="spellEnd"/>
    <w:r w:rsidRPr="001A5773">
      <w:rPr>
        <w:b/>
        <w:bCs/>
        <w:i/>
        <w:color w:val="404040"/>
        <w:sz w:val="16"/>
      </w:rPr>
      <w:t xml:space="preserve"> de </w:t>
    </w:r>
    <w:proofErr w:type="spellStart"/>
    <w:r w:rsidRPr="001A5773">
      <w:rPr>
        <w:b/>
        <w:bCs/>
        <w:i/>
        <w:color w:val="404040"/>
        <w:sz w:val="16"/>
      </w:rPr>
      <w:t>Ciberseguridad</w:t>
    </w:r>
    <w:proofErr w:type="spellEnd"/>
    <w:r w:rsidRPr="001A5773">
      <w:rPr>
        <w:b/>
        <w:bCs/>
        <w:i/>
        <w:color w:val="404040"/>
        <w:sz w:val="16"/>
      </w:rPr>
      <w:t xml:space="preserve"> – Caso SolarWinds (2020)</w:t>
    </w:r>
  </w:p>
  <w:p w14:paraId="0F377797" w14:textId="2EA57D0D" w:rsidR="001A5773" w:rsidRPr="001A5773" w:rsidRDefault="001A5773">
    <w:pPr>
      <w:pStyle w:val="Encabezado"/>
      <w:jc w:val="right"/>
      <w:rPr>
        <w:b/>
        <w:bCs/>
      </w:rPr>
    </w:pPr>
    <w:r w:rsidRPr="001A5773">
      <w:rPr>
        <w:b/>
        <w:bCs/>
        <w:i/>
        <w:color w:val="404040"/>
        <w:sz w:val="16"/>
      </w:rPr>
      <w:t>______________________________________________________________________________________________________________________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3290CFE"/>
    <w:multiLevelType w:val="hybridMultilevel"/>
    <w:tmpl w:val="50C899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391737017">
    <w:abstractNumId w:val="8"/>
  </w:num>
  <w:num w:numId="2" w16cid:durableId="606078711">
    <w:abstractNumId w:val="6"/>
  </w:num>
  <w:num w:numId="3" w16cid:durableId="1476333996">
    <w:abstractNumId w:val="5"/>
  </w:num>
  <w:num w:numId="4" w16cid:durableId="277102016">
    <w:abstractNumId w:val="4"/>
  </w:num>
  <w:num w:numId="5" w16cid:durableId="1084957243">
    <w:abstractNumId w:val="7"/>
  </w:num>
  <w:num w:numId="6" w16cid:durableId="736634096">
    <w:abstractNumId w:val="3"/>
  </w:num>
  <w:num w:numId="7" w16cid:durableId="671448421">
    <w:abstractNumId w:val="2"/>
  </w:num>
  <w:num w:numId="8" w16cid:durableId="1495953162">
    <w:abstractNumId w:val="1"/>
  </w:num>
  <w:num w:numId="9" w16cid:durableId="554126394">
    <w:abstractNumId w:val="0"/>
  </w:num>
  <w:num w:numId="10" w16cid:durableId="1153722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773"/>
    <w:rsid w:val="00294AEE"/>
    <w:rsid w:val="0029639D"/>
    <w:rsid w:val="00326F90"/>
    <w:rsid w:val="006079E9"/>
    <w:rsid w:val="00A702C8"/>
    <w:rsid w:val="00AA1D8D"/>
    <w:rsid w:val="00B47730"/>
    <w:rsid w:val="00CB0664"/>
    <w:rsid w:val="00CE4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F47A3"/>
  <w14:defaultImageDpi w14:val="300"/>
  <w15:docId w15:val="{8EF61565-64D1-4CE2-AFDB-25827204F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702C8"/>
    <w:pPr>
      <w:spacing w:after="100"/>
    </w:pPr>
  </w:style>
  <w:style w:type="paragraph" w:styleId="TDC2">
    <w:name w:val="toc 2"/>
    <w:basedOn w:val="Normal"/>
    <w:next w:val="Normal"/>
    <w:autoRedefine/>
    <w:uiPriority w:val="39"/>
    <w:unhideWhenUsed/>
    <w:rsid w:val="00A702C8"/>
    <w:pPr>
      <w:spacing w:after="100"/>
      <w:ind w:left="220"/>
    </w:pPr>
  </w:style>
  <w:style w:type="character" w:styleId="Hipervnculo">
    <w:name w:val="Hyperlink"/>
    <w:basedOn w:val="Fuentedeprrafopredeter"/>
    <w:uiPriority w:val="99"/>
    <w:unhideWhenUsed/>
    <w:rsid w:val="00A702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www.cisa.gov/news-events/cybersecurity-advisories/aa20-352a" TargetMode="External"/><Relationship Id="rId16" Type="http://schemas.openxmlformats.org/officeDocument/2006/relationships/hyperlink" Target="https://www.cisa.gov/news-events/directives/ed-21-01-mitigate-solarwinds-orion-code-compromise" TargetMode="External"/><Relationship Id="rId17" Type="http://schemas.openxmlformats.org/officeDocument/2006/relationships/hyperlink" Target="https://www.mandiant.com/resources/blog/evasive-attacker-leverages-solarwinds-supply-chain-compromises-with-sunburst-backdoor" TargetMode="External"/><Relationship Id="rId18" Type="http://schemas.openxmlformats.org/officeDocument/2006/relationships/hyperlink" Target="https://www.microsoft.com/en-us/security/blog/" TargetMode="External"/><Relationship Id="rId19" Type="http://schemas.openxmlformats.org/officeDocument/2006/relationships/hyperlink" Target="https://www.solarwinds.com/security-advisory" TargetMode="External"/><Relationship Id="rId20" Type="http://schemas.openxmlformats.org/officeDocument/2006/relationships/hyperlink" Target="https://www.gao.gov/products/gao-22-104746" TargetMode="External"/><Relationship Id="rId21" Type="http://schemas.openxmlformats.org/officeDocument/2006/relationships/hyperlink" Target="https://csrc.nist.gov/pubs/sp/800/161/r1/final" TargetMode="External"/><Relationship Id="rId22" Type="http://schemas.openxmlformats.org/officeDocument/2006/relationships/hyperlink" Target="https://csrc.nist.gov/pubs/sp/800/218/final" TargetMode="External"/><Relationship Id="rId23" Type="http://schemas.openxmlformats.org/officeDocument/2006/relationships/hyperlink" Target="https://www.nist.gov/cyberframework" TargetMode="External"/><Relationship Id="rId24" Type="http://schemas.openxmlformats.org/officeDocument/2006/relationships/hyperlink" Target="https://csrc.nist.gov/pubs/sp/800/53/r5/upd1/final" TargetMode="External"/><Relationship Id="rId25" Type="http://schemas.openxmlformats.org/officeDocument/2006/relationships/hyperlink" Target="https://www.iso.org/standard/27001" TargetMode="External"/><Relationship Id="rId26" Type="http://schemas.openxmlformats.org/officeDocument/2006/relationships/hyperlink" Target="https://www.iso.org/iso-31000-risk-management.html" TargetMode="External"/><Relationship Id="rId27" Type="http://schemas.openxmlformats.org/officeDocument/2006/relationships/hyperlink" Target="https://www.cisecurity.org/controls/v8" TargetMode="External"/><Relationship Id="rId28" Type="http://schemas.openxmlformats.org/officeDocument/2006/relationships/hyperlink" Target="https://www.intelligence.senate.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3188</Words>
  <Characters>17535</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edgardo cajusol mio</cp:lastModifiedBy>
  <cp:revision>2</cp:revision>
  <dcterms:created xsi:type="dcterms:W3CDTF">2013-12-23T23:15:00Z</dcterms:created>
  <dcterms:modified xsi:type="dcterms:W3CDTF">2026-06-24T03:43:00Z</dcterms:modified>
  <cp:category/>
</cp:coreProperties>
</file>