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commentRangeStart w:id="0"/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Slide: Why now? Why you?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2026 marks a decade into the Philippines' "demographic dividend." The median age is ~25. This isn't just a "young population"—it’s a population entering its peak spending years.</w:t>
      </w:r>
    </w:p>
    <w:p w:rsidR="00000000" w:rsidDel="00000000" w:rsidP="00000000" w:rsidRDefault="00000000" w:rsidRPr="00000000" w14:paraId="00000003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Founder Succession Crisis:</w:t>
      </w:r>
      <w:r w:rsidDel="00000000" w:rsidR="00000000" w:rsidRPr="00000000">
        <w:rPr>
          <w:rtl w:val="0"/>
        </w:rPr>
        <w:t xml:space="preserve"> Thousands of family-owned SMEs founded in the 80s and 90s are facing "Generation 2" transitions. These heirs often want liquidity or professional partners, not to run the daily operations. This creates a </w:t>
      </w:r>
      <w:r w:rsidDel="00000000" w:rsidR="00000000" w:rsidRPr="00000000">
        <w:rPr>
          <w:b w:val="1"/>
          <w:bCs w:val="1"/>
          <w:rtl w:val="0"/>
        </w:rPr>
        <w:t xml:space="preserve">buyer’s market for high-dividend assets.</w:t>
      </w:r>
    </w:p>
    <w:p w:rsidR="00000000" w:rsidDel="00000000" w:rsidP="00000000" w:rsidRDefault="00000000" w:rsidRPr="00000000" w14:paraId="00000004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target universe consists of the ~4,800 Medium Enterprises and the bottom quartile of the ~4,600 Large Enterprises.</w:t>
      </w:r>
    </w:p>
    <w:p w:rsidR="00000000" w:rsidDel="00000000" w:rsidP="00000000" w:rsidRDefault="00000000" w:rsidRPr="00000000" w14:paraId="00000005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The Universe: Approximately 6,000 to 7,500 companies represent the true Philippine Lower Middle Market.</w:t>
      </w:r>
    </w:p>
    <w:p w:rsidR="00000000" w:rsidDel="00000000" w:rsidP="00000000" w:rsidRDefault="00000000" w:rsidRPr="00000000" w14:paraId="00000006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Family Ownership: In the Philippines, family ownership is the default. Leading surveys (PwC/EY 2025) consistently show that 80% to 90% of these LMM companies are family-owned or founder-led.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As regional interest rates stabilize and the PSEi begins its recovery, the window to acquire high-yield LMM assets at 5x EBITDA is closing. We are capturing the 'first-mover' advantage in the professionalization of Philippine SMEs.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Financial Engineering as a Massive Level for growth</w:t>
      </w:r>
    </w:p>
    <w:p w:rsidR="00000000" w:rsidDel="00000000" w:rsidP="00000000" w:rsidRDefault="00000000" w:rsidRPr="00000000" w14:paraId="00000009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Recent data from the Bangko Sentral ng Pilipinas (BSP) as of mid-2025 reveals a massive disconnect between the size of the SME sector and its use of formal credit.</w:t>
      </w:r>
    </w:p>
    <w:p w:rsidR="00000000" w:rsidDel="00000000" w:rsidP="00000000" w:rsidRDefault="00000000" w:rsidRPr="00000000" w14:paraId="0000000A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The 4.6% Reality: Despite MSMEs making up 99% of businesses, they accounted for only 4.59% of the total Philippine banking lending portfolio in June 2025.</w:t>
      </w:r>
    </w:p>
    <w:p w:rsidR="00000000" w:rsidDel="00000000" w:rsidP="00000000" w:rsidRDefault="00000000" w:rsidRPr="00000000" w14:paraId="0000000B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The Quota Gap: Banks are mandated to lend 10% of their portfolio to MSMEs (8% for small, 2% for medium). While they have finally started meeting the "Medium" quota (at 2.72%), they are drastically underserving the "Small" segment (only 1.87%).</w:t>
      </w:r>
    </w:p>
    <w:p w:rsidR="00000000" w:rsidDel="00000000" w:rsidP="00000000" w:rsidRDefault="00000000" w:rsidRPr="00000000" w14:paraId="0000000C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The Takeaway: Most LMM companies are operating with Debt-to-Equity (D/E) ratios of 0.1x to 0.3x. In a professionalized global LMM context, a healthy, cash-flow-positive business can easily support 1.0x to 1.5x D/E, providing a massive lever for growth.</w:t>
      </w:r>
    </w:p>
    <w:p w:rsidR="00000000" w:rsidDel="00000000" w:rsidP="00000000" w:rsidRDefault="00000000" w:rsidRPr="00000000" w14:paraId="0000000D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LMM companies in the Philippines operate at 0.2x D/E vs. 1.2x for regional peers (Source: ADB Asia SME Monitor 2025).</w:t>
      </w:r>
    </w:p>
    <w:p w:rsidR="00000000" w:rsidDel="00000000" w:rsidP="00000000" w:rsidRDefault="00000000" w:rsidRPr="00000000" w14:paraId="0000000E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The banking sector’s MSME exposure remains at &lt;5% of TLP, creating a ~P1.2 Trillion funding gap (Source: BSP Financial Inclusion Report 2024/25)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Interest Rate Tailwind</w:t>
      </w:r>
    </w:p>
    <w:p w:rsidR="00000000" w:rsidDel="00000000" w:rsidP="00000000" w:rsidRDefault="00000000" w:rsidRPr="00000000" w14:paraId="00000010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As of early 2026, the BSP has transitioned into a "Dovish" cycle, with policy rates having dropped from their 2023 peaks to 4.50%.</w:t>
      </w:r>
    </w:p>
    <w:p w:rsidR="00000000" w:rsidDel="00000000" w:rsidP="00000000" w:rsidRDefault="00000000" w:rsidRPr="00000000" w14:paraId="00000011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Yield Compression: With interest rates falling, the Cost of Debt for a professionalized LMM company is now lower than the Dividend Yield you are targeting (12-15%).</w:t>
      </w:r>
    </w:p>
    <w:p w:rsidR="00000000" w:rsidDel="00000000" w:rsidP="00000000" w:rsidRDefault="00000000" w:rsidRPr="00000000" w14:paraId="00000012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Positive Carry: This creates a "positive carry" environment where borrowing money to buy a competitor actually increases the cash available for your dividends.</w:t>
      </w:r>
    </w:p>
    <w:p w:rsidR="00000000" w:rsidDel="00000000" w:rsidP="00000000" w:rsidRDefault="00000000" w:rsidRPr="00000000" w14:paraId="00000013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Macro opportunity: missing middle, demographics, consumption pattern, regulatory</w:t>
      </w:r>
    </w:p>
    <w:p w:rsidR="00000000" w:rsidDel="00000000" w:rsidP="00000000" w:rsidRDefault="00000000" w:rsidRPr="00000000" w14:paraId="00000015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Macroeconomic factors</w:t>
      </w:r>
    </w:p>
    <w:p w:rsidR="00000000" w:rsidDel="00000000" w:rsidP="00000000" w:rsidRDefault="00000000" w:rsidRPr="00000000" w14:paraId="00000016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GDP Momentum: Forecasted growth of 6.0%–6.1% for 2026 (ADB/World Bank), significantly outpacing regional peers like Thailand and Indonesia.</w:t>
      </w:r>
    </w:p>
    <w:p w:rsidR="00000000" w:rsidDel="00000000" w:rsidP="00000000" w:rsidRDefault="00000000" w:rsidRPr="00000000" w14:paraId="00000017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Path to Upper-Middle Income: The country is on track to achieve Upper-Middle Income Status by 2027, a critical psychological and economic threshold that historically triggers a surge in discretionary spending.</w:t>
      </w:r>
    </w:p>
    <w:p w:rsidR="00000000" w:rsidDel="00000000" w:rsidP="00000000" w:rsidRDefault="00000000" w:rsidRPr="00000000" w14:paraId="00000018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Controlled Inflation: Projected to stay within the 3.0%–3.5% target range for 2026, preserving the purchasing power of the middle class and stabilizing operating costs for portfolio companies.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Workforce</w:t>
      </w:r>
    </w:p>
    <w:p w:rsidR="00000000" w:rsidDel="00000000" w:rsidP="00000000" w:rsidRDefault="00000000" w:rsidRPr="00000000" w14:paraId="0000001A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Working-Age Dominance: In 2026, the working-age population (15–64) is reaching a record 70% of the total population.</w:t>
      </w:r>
    </w:p>
    <w:p w:rsidR="00000000" w:rsidDel="00000000" w:rsidP="00000000" w:rsidRDefault="00000000" w:rsidRPr="00000000" w14:paraId="0000001B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Median Age Advantage: At a median age of 25–26 years, the Philippines possesses the youngest, most tech-savvy workforce in Asia, providing a 15–20 year "runway" of productive labor.</w:t>
      </w:r>
    </w:p>
    <w:p w:rsidR="00000000" w:rsidDel="00000000" w:rsidP="00000000" w:rsidRDefault="00000000" w:rsidRPr="00000000" w14:paraId="0000001C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Job Quality Shift: Record-low headline unemployment (~4.3%) coupled with a shift from agriculture to high-value services (BPO/Tech) is driving household income growth.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Philippines maturing to becoming and investment grade country</w:t>
      </w:r>
    </w:p>
    <w:tbl>
      <w:tblPr>
        <w:tblStyle w:val="Table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125"/>
        <w:gridCol w:w="1365"/>
        <w:gridCol w:w="4410"/>
        <w:tblGridChange w:id="0">
          <w:tblGrid>
            <w:gridCol w:w="1815"/>
            <w:gridCol w:w="1125"/>
            <w:gridCol w:w="1365"/>
            <w:gridCol w:w="44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Agency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Outlook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S&amp;P Global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BBB+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One notch below 'A'. Upgrade possible in 2026.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Moody's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Baa2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Stable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Investment grade; focuses on institutional strength.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Fitch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BBB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Stable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Focuses on fiscal consolidation and governance.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b w:val="1"/>
                <w:bCs w:val="1"/>
                <w:color w:val="444746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R&amp;I (Japan)</w:t>
            </w:r>
            <w:r w:rsidDel="00000000" w:rsidR="00000000" w:rsidRPr="00000000">
              <w:rPr>
                <w:b w:val="1"/>
                <w:bCs w:val="1"/>
                <w:color w:val="444746"/>
                <w:sz w:val="40"/>
                <w:szCs w:val="40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b w:val="1"/>
                <w:bCs w:val="1"/>
                <w:color w:val="444746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A-</w:t>
            </w:r>
            <w:r w:rsidDel="00000000" w:rsidR="00000000" w:rsidRPr="00000000">
              <w:rPr>
                <w:b w:val="1"/>
                <w:bCs w:val="1"/>
                <w:color w:val="444746"/>
                <w:sz w:val="40"/>
                <w:szCs w:val="40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rPr>
                <w:b w:val="1"/>
                <w:bCs w:val="1"/>
                <w:color w:val="444746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Stable</w:t>
            </w:r>
            <w:r w:rsidDel="00000000" w:rsidR="00000000" w:rsidRPr="00000000">
              <w:rPr>
                <w:b w:val="1"/>
                <w:bCs w:val="1"/>
                <w:color w:val="444746"/>
                <w:sz w:val="40"/>
                <w:szCs w:val="40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color w:val="444746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First ever 'A' level upgrade (Aug 2024).</w:t>
            </w:r>
            <w:r w:rsidDel="00000000" w:rsidR="00000000" w:rsidRPr="00000000">
              <w:rPr>
                <w:color w:val="444746"/>
                <w:sz w:val="40"/>
                <w:szCs w:val="40"/>
                <w:vertAlign w:val="superscript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Standard &amp; Poor’s </w:t>
      </w:r>
      <w:r w:rsidDel="00000000" w:rsidR="00000000" w:rsidRPr="00000000">
        <w:rPr>
          <w:b w:val="1"/>
          <w:bCs w:val="1"/>
          <w:rtl w:val="0"/>
        </w:rPr>
        <w:t xml:space="preserve">"Positive Outlook"</w:t>
      </w:r>
      <w:r w:rsidDel="00000000" w:rsidR="00000000" w:rsidRPr="00000000">
        <w:rPr>
          <w:rtl w:val="0"/>
        </w:rPr>
        <w:t xml:space="preserve"> is the most significant indicator for you. It means there is a high probability of an upgrade to 'A-' within 12–24 months.</w:t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Investment strategy: buy and build</w:t>
      </w:r>
    </w:p>
    <w:p w:rsidR="00000000" w:rsidDel="00000000" w:rsidP="00000000" w:rsidRDefault="00000000" w:rsidRPr="00000000" w14:paraId="00000035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Build a diversified range of opportunities and create a synthetic conglomerate mimicking the PH economy</w:t>
      </w:r>
    </w:p>
    <w:tbl>
      <w:tblPr>
        <w:tblStyle w:val="Table2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3240"/>
        <w:gridCol w:w="2910"/>
        <w:tblGridChange w:id="0">
          <w:tblGrid>
            <w:gridCol w:w="2325"/>
            <w:gridCol w:w="3240"/>
            <w:gridCol w:w="29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ind w:left="140" w:right="140" w:firstLine="0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ind w:left="140" w:right="140" w:firstLine="0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Before (Founder Led)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ind w:left="140" w:right="140" w:firstLine="0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After (PE Optimized)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ind w:left="140" w:right="140" w:firstLine="0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Accounting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ind w:left="140" w:right="140" w:firstLine="0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Informal / Tax-Minimization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ind w:left="140" w:right="140" w:firstLine="0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IFRS / Audit-Ready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ind w:left="140" w:right="140" w:firstLine="0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Capital Structure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ind w:left="140" w:right="140" w:firstLine="0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100% Equity / 0% Debt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ind w:left="140" w:right="140" w:firstLine="0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60% Equity / 40% Debt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ind w:left="140" w:right="140" w:firstLine="0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Cost of Capital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ind w:left="140" w:right="140" w:firstLine="0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15% (Opportunity Cost)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ind w:left="140" w:right="140" w:firstLine="0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9% (Weighted Average)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ind w:left="140" w:right="140" w:firstLine="0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ROE Growth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ind w:left="140" w:right="140" w:firstLine="0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Linear (10-12%)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ind w:left="140" w:right="140" w:firstLine="0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Accelerated (18-22%)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Example: Logistics</w:t>
      </w:r>
      <w:r w:rsidDel="00000000" w:rsidR="00000000" w:rsidRPr="00000000">
        <w:rPr>
          <w:rtl w:val="0"/>
        </w:rPr>
        <w:t xml:space="preserve"> (moving goods), </w:t>
      </w:r>
      <w:r w:rsidDel="00000000" w:rsidR="00000000" w:rsidRPr="00000000">
        <w:rPr>
          <w:b w:val="1"/>
          <w:bCs w:val="1"/>
          <w:rtl w:val="0"/>
        </w:rPr>
        <w:t xml:space="preserve">Healthcare</w:t>
      </w:r>
      <w:r w:rsidDel="00000000" w:rsidR="00000000" w:rsidRPr="00000000">
        <w:rPr>
          <w:rtl w:val="0"/>
        </w:rPr>
        <w:t xml:space="preserve"> (servicing people), and </w:t>
      </w:r>
      <w:r w:rsidDel="00000000" w:rsidR="00000000" w:rsidRPr="00000000">
        <w:rPr>
          <w:b w:val="1"/>
          <w:bCs w:val="1"/>
          <w:rtl w:val="0"/>
        </w:rPr>
        <w:t xml:space="preserve">Fintech/BPO</w:t>
      </w:r>
      <w:r w:rsidDel="00000000" w:rsidR="00000000" w:rsidRPr="00000000">
        <w:rPr>
          <w:rtl w:val="0"/>
        </w:rPr>
        <w:t xml:space="preserve"> (servicing the world), the fund captures growth regardless of which specific sector leads in a given quarter.</w:t>
      </w:r>
    </w:p>
    <w:p w:rsidR="00000000" w:rsidDel="00000000" w:rsidP="00000000" w:rsidRDefault="00000000" w:rsidRPr="00000000" w14:paraId="00000046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 </w:t>
      </w:r>
      <w:commentRangeStart w:id="1"/>
      <w:r w:rsidDel="00000000" w:rsidR="00000000" w:rsidRPr="00000000">
        <w:rPr>
          <w:rtl w:val="0"/>
        </w:rPr>
        <w:t xml:space="preserve">"While our primary exit path is traditional M&amp;A/IPO, we are exploring regulated RWA tokenization to provide our LPs with optionality for secondary liquidity. This will be executed only through BSP-licensed partners and compliant with the Philippine SEC's CASP framework."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Portfolio and Pipeline</w:t>
      </w:r>
    </w:p>
    <w:p w:rsidR="00000000" w:rsidDel="00000000" w:rsidP="00000000" w:rsidRDefault="00000000" w:rsidRPr="00000000" w14:paraId="0000004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Portfolio companies to have strong synergies without creating additional risk –</w:t>
      </w:r>
    </w:p>
    <w:p w:rsidR="00000000" w:rsidDel="00000000" w:rsidP="00000000" w:rsidRDefault="00000000" w:rsidRPr="00000000" w14:paraId="0000004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Distinct advantage – sourcing through </w:t>
      </w:r>
      <w:commentRangeStart w:id="2"/>
      <w:r w:rsidDel="00000000" w:rsidR="00000000" w:rsidRPr="00000000">
        <w:rPr>
          <w:rtl w:val="0"/>
        </w:rPr>
        <w:t xml:space="preserve">fintech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company with unparalleled deal sourcing capabilities along with relationships from the largest network on financial lenders in the Philippines</w:t>
      </w:r>
    </w:p>
    <w:p w:rsidR="00000000" w:rsidDel="00000000" w:rsidP="00000000" w:rsidRDefault="00000000" w:rsidRPr="00000000" w14:paraId="0000004A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Graphic showing your "Deal Funnel" (e.g., 200 companies screened → 40 in DD → 5 in exclusivity). Also show reason for sale.</w:t>
      </w:r>
    </w:p>
    <w:p w:rsidR="00000000" w:rsidDel="00000000" w:rsidP="00000000" w:rsidRDefault="00000000" w:rsidRPr="00000000" w14:paraId="0000004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Also be prepared to show reasons for rejection in the pipeline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Risk mitigation</w:t>
      </w:r>
    </w:p>
    <w:p w:rsidR="00000000" w:rsidDel="00000000" w:rsidP="00000000" w:rsidRDefault="00000000" w:rsidRPr="00000000" w14:paraId="0000004D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PHP/USD vol</w:t>
      </w:r>
    </w:p>
    <w:p w:rsidR="00000000" w:rsidDel="00000000" w:rsidP="00000000" w:rsidRDefault="00000000" w:rsidRPr="00000000" w14:paraId="0000004E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Key man risk</w:t>
      </w:r>
    </w:p>
    <w:p w:rsidR="00000000" w:rsidDel="00000000" w:rsidP="00000000" w:rsidRDefault="00000000" w:rsidRPr="00000000" w14:paraId="0000004F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Exit environment</w:t>
      </w:r>
    </w:p>
    <w:p w:rsidR="00000000" w:rsidDel="00000000" w:rsidP="00000000" w:rsidRDefault="00000000" w:rsidRPr="00000000" w14:paraId="00000050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commentRangeStart w:id="3"/>
      <w:r w:rsidDel="00000000" w:rsidR="00000000" w:rsidRPr="00000000">
        <w:rPr>
          <w:rtl w:val="0"/>
        </w:rPr>
        <w:t xml:space="preserve">Operating Partners: Do you have specialized "vertical" experts for each sector, or is it one team trying to do everything?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The team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Terms and Structure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Appendix</w:t>
      </w:r>
    </w:p>
    <w:p w:rsidR="00000000" w:rsidDel="00000000" w:rsidP="00000000" w:rsidRDefault="00000000" w:rsidRPr="00000000" w14:paraId="00000054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Legal Structure</w:t>
      </w:r>
    </w:p>
    <w:p w:rsidR="00000000" w:rsidDel="00000000" w:rsidP="00000000" w:rsidRDefault="00000000" w:rsidRPr="00000000" w14:paraId="00000055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Tax strategy</w:t>
      </w:r>
    </w:p>
    <w:p w:rsidR="00000000" w:rsidDel="00000000" w:rsidP="00000000" w:rsidRDefault="00000000" w:rsidRPr="00000000" w14:paraId="00000056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Dividend Sustainability</w:t>
      </w:r>
    </w:p>
    <w:p w:rsidR="00000000" w:rsidDel="00000000" w:rsidP="00000000" w:rsidRDefault="00000000" w:rsidRPr="00000000" w14:paraId="00000057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Historical Comparisons</w:t>
      </w:r>
    </w:p>
    <w:p w:rsidR="00000000" w:rsidDel="00000000" w:rsidP="00000000" w:rsidRDefault="00000000" w:rsidRPr="00000000" w14:paraId="00000058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In 1980, the US median age was roughly where the Philippines is today (~28-30). This created a predictable surge in demand for housing, credit, and consumer staples.</w:t>
      </w:r>
    </w:p>
    <w:p w:rsidR="00000000" w:rsidDel="00000000" w:rsidP="00000000" w:rsidRDefault="00000000" w:rsidRPr="00000000" w14:paraId="00000059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The Investment Play: This was the birth of modern Private Equity (the "Barbarians at the Gate" era). While the headlines were about LBOs, the underlying success was driven by operational professionalization—taking fragmented, family-run American businesses and scaling them.</w:t>
      </w:r>
    </w:p>
    <w:p w:rsidR="00000000" w:rsidDel="00000000" w:rsidP="00000000" w:rsidRDefault="00000000" w:rsidRPr="00000000" w14:paraId="0000005A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The Dividend Angle: Many of these companies were "Cash Cows." Investors captured the "yield" while waiting for the IPO boom of the 90s.</w:t>
      </w:r>
    </w:p>
    <w:p w:rsidR="00000000" w:rsidDel="00000000" w:rsidP="00000000" w:rsidRDefault="00000000" w:rsidRPr="00000000" w14:paraId="0000005B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This is the closest structural parallel. Like the Philippines today, Thailand in the late 80s was transitioning from an agrarian economy to a manufacturing and services hub.</w:t>
      </w:r>
    </w:p>
    <w:p w:rsidR="00000000" w:rsidDel="00000000" w:rsidP="00000000" w:rsidRDefault="00000000" w:rsidRPr="00000000" w14:paraId="0000005C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The Parallel:</w:t>
      </w:r>
      <w:r w:rsidDel="00000000" w:rsidR="00000000" w:rsidRPr="00000000">
        <w:rPr>
          <w:rtl w:val="0"/>
        </w:rPr>
        <w:t xml:space="preserve"> A massive shift of labor from rural areas to cities, creating a "consumption boom."</w:t>
      </w:r>
    </w:p>
    <w:p w:rsidR="00000000" w:rsidDel="00000000" w:rsidP="00000000" w:rsidRDefault="00000000" w:rsidRPr="00000000" w14:paraId="0000005D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The Investment Play:</w:t>
      </w:r>
      <w:r w:rsidDel="00000000" w:rsidR="00000000" w:rsidRPr="00000000">
        <w:rPr>
          <w:rtl w:val="0"/>
        </w:rPr>
        <w:t xml:space="preserve"> This was the golden era for "Toll-gate" businesses. Funds that invested in local logistics, retail distribution (7-Eleven Thailand’s rise), and private healthcare saw </w:t>
      </w:r>
      <w:r w:rsidDel="00000000" w:rsidR="00000000" w:rsidRPr="00000000">
        <w:rPr>
          <w:b w:val="1"/>
          <w:bCs w:val="1"/>
          <w:rtl w:val="0"/>
        </w:rPr>
        <w:t xml:space="preserve">dividend yields of 10%</w:t>
      </w:r>
      <w:r w:rsidDel="00000000" w:rsidR="00000000" w:rsidRPr="00000000">
        <w:rPr>
          <w:rtl w:val="0"/>
        </w:rPr>
        <w:t xml:space="preserve"> while valuations tripled.</w:t>
      </w:r>
    </w:p>
    <w:p w:rsidR="00000000" w:rsidDel="00000000" w:rsidP="00000000" w:rsidRDefault="00000000" w:rsidRPr="00000000" w14:paraId="0000005E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The Lesson:</w:t>
      </w:r>
      <w:r w:rsidDel="00000000" w:rsidR="00000000" w:rsidRPr="00000000">
        <w:rPr>
          <w:rtl w:val="0"/>
        </w:rPr>
        <w:t xml:space="preserve"> The real money wasn't in the exporters; it was in the companies serving the newly minted Thai middle class.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hristopher Verceles" w:id="3" w:date="2026-01-24T08:02:25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 this is an impt sticking point: pipeline of operators that maybe we have multiple advisors to get us continuous intros to candidates...?</w:t>
      </w:r>
    </w:p>
  </w:comment>
  <w:comment w:author="Christopher Verceles" w:id="2" w:date="2026-01-24T08:01:27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we comfortable telling LPs that Buhay's sales funnel is the source of dealflow? do we need to formalize this somehow?</w:t>
      </w:r>
    </w:p>
  </w:comment>
  <w:comment w:author="Christopher Verceles" w:id="1" w:date="2026-01-24T07:58:43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we need to hint that our first step is joining the PH SEC's tokenized equities sandbox? or just keep it verbal in our pockets</w:t>
      </w:r>
    </w:p>
  </w:comment>
  <w:comment w:author="Christopher Verceles" w:id="0" w:date="2026-01-24T08:03:50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 outline google slides c/o AI team https://docs.google.com/presentation/d/1FKy_py_i5JUlIZUD02wKSYpHyXPWSsW1/edit?usp=sharing&amp;ouid=103903146136314942136&amp;rtpof=true&amp;sd=true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