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18F" w:rsidRDefault="00BE3862" w:rsidP="00BE3862">
      <w:pPr>
        <w:jc w:val="center"/>
        <w:rPr>
          <w:rFonts w:ascii="Arial" w:hAnsi="Arial" w:cs="Arial"/>
          <w:b/>
          <w:sz w:val="24"/>
        </w:rPr>
      </w:pPr>
      <w:r>
        <w:rPr>
          <w:rFonts w:ascii="Arial" w:hAnsi="Arial" w:cs="Arial"/>
          <w:b/>
          <w:sz w:val="24"/>
        </w:rPr>
        <w:t>Razones de administración financiera</w:t>
      </w:r>
    </w:p>
    <w:p w:rsidR="00BE3862" w:rsidRDefault="000627CF" w:rsidP="000627CF">
      <w:pPr>
        <w:spacing w:after="0"/>
        <w:rPr>
          <w:rFonts w:ascii="Arial" w:hAnsi="Arial" w:cs="Arial"/>
          <w:b/>
          <w:sz w:val="24"/>
        </w:rPr>
      </w:pPr>
      <w:r>
        <w:rPr>
          <w:rFonts w:ascii="Arial" w:hAnsi="Arial" w:cs="Arial"/>
          <w:b/>
          <w:sz w:val="24"/>
        </w:rPr>
        <w:t>Liquidez</w:t>
      </w:r>
    </w:p>
    <w:p w:rsidR="000627CF" w:rsidRDefault="000627CF" w:rsidP="000627CF">
      <w:pPr>
        <w:spacing w:after="0"/>
        <w:jc w:val="both"/>
        <w:rPr>
          <w:rFonts w:ascii="Arial" w:hAnsi="Arial" w:cs="Arial"/>
          <w:sz w:val="24"/>
        </w:rPr>
      </w:pPr>
      <w:r w:rsidRPr="00E06AB8">
        <w:rPr>
          <w:rFonts w:ascii="Arial" w:hAnsi="Arial" w:cs="Arial"/>
          <w:i/>
          <w:sz w:val="24"/>
          <w:u w:val="single"/>
        </w:rPr>
        <w:t>Liquidez corriente</w:t>
      </w:r>
      <w:r>
        <w:rPr>
          <w:rFonts w:ascii="Arial" w:hAnsi="Arial" w:cs="Arial"/>
          <w:sz w:val="24"/>
        </w:rPr>
        <w:t>: Mide la capacidad de la empresa para cumplir con sus obligaciones de corto plazo. Entre más alta es la liquidez corriente, mayor liquidez tiene la empresa.</w:t>
      </w:r>
    </w:p>
    <w:p w:rsidR="000627CF" w:rsidRDefault="000627CF" w:rsidP="000627CF">
      <w:pPr>
        <w:spacing w:after="0"/>
        <w:jc w:val="both"/>
        <w:rPr>
          <w:rFonts w:ascii="Arial" w:hAnsi="Arial" w:cs="Arial"/>
          <w:sz w:val="24"/>
        </w:rPr>
      </w:pPr>
      <w:r w:rsidRPr="00E06AB8">
        <w:rPr>
          <w:rFonts w:ascii="Arial" w:hAnsi="Arial" w:cs="Arial"/>
          <w:i/>
          <w:sz w:val="24"/>
          <w:u w:val="single"/>
        </w:rPr>
        <w:t>Razón rápida</w:t>
      </w:r>
      <w:r>
        <w:rPr>
          <w:rFonts w:ascii="Arial" w:hAnsi="Arial" w:cs="Arial"/>
          <w:sz w:val="24"/>
        </w:rPr>
        <w:t>: Es similar a la liquidez corriente, con la excepción de que excluye el inventario, que es comúnmente el activo menos líquido.</w:t>
      </w:r>
    </w:p>
    <w:p w:rsidR="00764EDE" w:rsidRDefault="00764EDE" w:rsidP="000627CF">
      <w:pPr>
        <w:spacing w:after="0"/>
        <w:jc w:val="both"/>
        <w:rPr>
          <w:rFonts w:ascii="Arial" w:hAnsi="Arial" w:cs="Arial"/>
          <w:sz w:val="24"/>
        </w:rPr>
      </w:pPr>
    </w:p>
    <w:p w:rsidR="00764EDE" w:rsidRDefault="00764EDE" w:rsidP="000627CF">
      <w:pPr>
        <w:spacing w:after="0"/>
        <w:jc w:val="both"/>
        <w:rPr>
          <w:rFonts w:ascii="Arial" w:hAnsi="Arial" w:cs="Arial"/>
          <w:b/>
          <w:sz w:val="24"/>
        </w:rPr>
      </w:pPr>
      <w:r>
        <w:rPr>
          <w:rFonts w:ascii="Arial" w:hAnsi="Arial" w:cs="Arial"/>
          <w:b/>
          <w:sz w:val="24"/>
        </w:rPr>
        <w:t>Actividad</w:t>
      </w:r>
    </w:p>
    <w:p w:rsidR="00764EDE" w:rsidRDefault="00764EDE" w:rsidP="000627CF">
      <w:pPr>
        <w:spacing w:after="0"/>
        <w:jc w:val="both"/>
        <w:rPr>
          <w:rFonts w:ascii="Arial" w:hAnsi="Arial" w:cs="Arial"/>
          <w:sz w:val="24"/>
        </w:rPr>
      </w:pPr>
      <w:r w:rsidRPr="00E06AB8">
        <w:rPr>
          <w:rFonts w:ascii="Arial" w:hAnsi="Arial" w:cs="Arial"/>
          <w:i/>
          <w:sz w:val="24"/>
          <w:u w:val="single"/>
        </w:rPr>
        <w:t>Rotación de inventarios</w:t>
      </w:r>
      <w:r>
        <w:rPr>
          <w:rFonts w:ascii="Arial" w:hAnsi="Arial" w:cs="Arial"/>
          <w:sz w:val="24"/>
        </w:rPr>
        <w:t>: Mide comúnmente la actividad o liquidez del inventario.</w:t>
      </w:r>
    </w:p>
    <w:p w:rsidR="00764EDE" w:rsidRDefault="00764EDE" w:rsidP="000627CF">
      <w:pPr>
        <w:spacing w:after="0"/>
        <w:jc w:val="both"/>
        <w:rPr>
          <w:rFonts w:ascii="Arial" w:hAnsi="Arial" w:cs="Arial"/>
          <w:sz w:val="24"/>
        </w:rPr>
      </w:pPr>
      <w:r w:rsidRPr="00E06AB8">
        <w:rPr>
          <w:rFonts w:ascii="Arial" w:hAnsi="Arial" w:cs="Arial"/>
          <w:i/>
          <w:sz w:val="24"/>
          <w:u w:val="single"/>
        </w:rPr>
        <w:t>Período promedio de cobro</w:t>
      </w:r>
      <w:r>
        <w:rPr>
          <w:rFonts w:ascii="Arial" w:hAnsi="Arial" w:cs="Arial"/>
          <w:sz w:val="24"/>
        </w:rPr>
        <w:t>: O antigüedad promedio de las cuentas por cobrar, es útil para evaluar las políticas de crédito y cobro. Tiene validez cuando se compara con otras empresas.</w:t>
      </w:r>
    </w:p>
    <w:p w:rsidR="006426A1" w:rsidRDefault="00764EDE" w:rsidP="000627CF">
      <w:pPr>
        <w:spacing w:after="0"/>
        <w:jc w:val="both"/>
        <w:rPr>
          <w:rFonts w:ascii="Arial" w:hAnsi="Arial" w:cs="Arial"/>
          <w:sz w:val="24"/>
        </w:rPr>
      </w:pPr>
      <w:r w:rsidRPr="00E06AB8">
        <w:rPr>
          <w:rFonts w:ascii="Arial" w:hAnsi="Arial" w:cs="Arial"/>
          <w:i/>
          <w:sz w:val="24"/>
          <w:u w:val="single"/>
        </w:rPr>
        <w:t>Período promedio de pago</w:t>
      </w:r>
      <w:r>
        <w:rPr>
          <w:rFonts w:ascii="Arial" w:hAnsi="Arial" w:cs="Arial"/>
          <w:sz w:val="24"/>
        </w:rPr>
        <w:t>: O antigüedad de las cuentas por pagar. Los posibles prestamistas o proveedores de crédito se interesan más</w:t>
      </w:r>
      <w:r w:rsidR="00A42F13">
        <w:rPr>
          <w:rFonts w:ascii="Arial" w:hAnsi="Arial" w:cs="Arial"/>
          <w:sz w:val="24"/>
        </w:rPr>
        <w:t xml:space="preserve"> en este cálculo.</w:t>
      </w:r>
    </w:p>
    <w:p w:rsidR="00764EDE" w:rsidRDefault="006426A1" w:rsidP="000627CF">
      <w:pPr>
        <w:spacing w:after="0"/>
        <w:jc w:val="both"/>
        <w:rPr>
          <w:rFonts w:ascii="Arial" w:hAnsi="Arial" w:cs="Arial"/>
          <w:sz w:val="24"/>
        </w:rPr>
      </w:pPr>
      <w:r w:rsidRPr="00E06AB8">
        <w:rPr>
          <w:rFonts w:ascii="Arial" w:hAnsi="Arial" w:cs="Arial"/>
          <w:i/>
          <w:sz w:val="24"/>
          <w:u w:val="single"/>
        </w:rPr>
        <w:t>Rotación de activos totales</w:t>
      </w:r>
      <w:r>
        <w:rPr>
          <w:rFonts w:ascii="Arial" w:hAnsi="Arial" w:cs="Arial"/>
          <w:sz w:val="24"/>
        </w:rPr>
        <w:t>: Indica la eficiencia con la que la empresa utiliza sus activos para generar ventas. Por lo general, cuanto mayor es la rotación, mayor es la eficiencia con la que se han usados sus activos.</w:t>
      </w:r>
    </w:p>
    <w:p w:rsidR="006426A1" w:rsidRDefault="006426A1" w:rsidP="000627CF">
      <w:pPr>
        <w:spacing w:after="0"/>
        <w:jc w:val="both"/>
        <w:rPr>
          <w:rFonts w:ascii="Arial" w:hAnsi="Arial" w:cs="Arial"/>
          <w:sz w:val="24"/>
        </w:rPr>
      </w:pPr>
    </w:p>
    <w:p w:rsidR="006426A1" w:rsidRDefault="006426A1" w:rsidP="000627CF">
      <w:pPr>
        <w:spacing w:after="0"/>
        <w:jc w:val="both"/>
        <w:rPr>
          <w:rFonts w:ascii="Arial" w:hAnsi="Arial" w:cs="Arial"/>
          <w:b/>
          <w:sz w:val="24"/>
        </w:rPr>
      </w:pPr>
      <w:r>
        <w:rPr>
          <w:rFonts w:ascii="Arial" w:hAnsi="Arial" w:cs="Arial"/>
          <w:b/>
          <w:sz w:val="24"/>
        </w:rPr>
        <w:t>Endeudamiento</w:t>
      </w:r>
    </w:p>
    <w:p w:rsidR="006426A1" w:rsidRDefault="006426A1" w:rsidP="000627CF">
      <w:pPr>
        <w:spacing w:after="0"/>
        <w:jc w:val="both"/>
        <w:rPr>
          <w:rFonts w:ascii="Arial" w:hAnsi="Arial" w:cs="Arial"/>
          <w:sz w:val="24"/>
        </w:rPr>
      </w:pPr>
      <w:r w:rsidRPr="00E06AB8">
        <w:rPr>
          <w:rFonts w:ascii="Arial" w:hAnsi="Arial" w:cs="Arial"/>
          <w:i/>
          <w:sz w:val="24"/>
          <w:u w:val="single"/>
        </w:rPr>
        <w:t>Índice de endeudamiento</w:t>
      </w:r>
      <w:r>
        <w:rPr>
          <w:rFonts w:ascii="Arial" w:hAnsi="Arial" w:cs="Arial"/>
          <w:sz w:val="24"/>
        </w:rPr>
        <w:t xml:space="preserve">: Mide la proporción de los activos totales que financian los acreedores de la empresa. Cuanto más alto es este índice, mayor es el grado de endeudamiento </w:t>
      </w:r>
      <w:r w:rsidR="00AC0874">
        <w:rPr>
          <w:rFonts w:ascii="Arial" w:hAnsi="Arial" w:cs="Arial"/>
          <w:sz w:val="24"/>
        </w:rPr>
        <w:t>de la empresa.</w:t>
      </w:r>
    </w:p>
    <w:p w:rsidR="00AC0874" w:rsidRDefault="00AC0874" w:rsidP="000627CF">
      <w:pPr>
        <w:spacing w:after="0"/>
        <w:jc w:val="both"/>
        <w:rPr>
          <w:rFonts w:ascii="Arial" w:hAnsi="Arial" w:cs="Arial"/>
          <w:sz w:val="24"/>
        </w:rPr>
      </w:pPr>
      <w:r w:rsidRPr="00E06AB8">
        <w:rPr>
          <w:rFonts w:ascii="Arial" w:hAnsi="Arial" w:cs="Arial"/>
          <w:i/>
          <w:sz w:val="24"/>
          <w:u w:val="single"/>
        </w:rPr>
        <w:t>Razón de cargos de interés fijo</w:t>
      </w:r>
      <w:r>
        <w:rPr>
          <w:rFonts w:ascii="Arial" w:hAnsi="Arial" w:cs="Arial"/>
          <w:sz w:val="24"/>
        </w:rPr>
        <w:t>: Mide la capacidad de la empresa para realizar pagos de intereses contractuales. Cuanto más alto es su valor,  mayor es la capacidad de la empresa para cumplir con sus obligaciones de intereses.</w:t>
      </w:r>
    </w:p>
    <w:p w:rsidR="00E06AB8" w:rsidRDefault="004D2E2E" w:rsidP="000627CF">
      <w:pPr>
        <w:spacing w:after="0"/>
        <w:jc w:val="both"/>
        <w:rPr>
          <w:rFonts w:ascii="Arial" w:hAnsi="Arial" w:cs="Arial"/>
          <w:sz w:val="24"/>
        </w:rPr>
      </w:pPr>
      <w:r w:rsidRPr="00E06AB8">
        <w:rPr>
          <w:rFonts w:ascii="Arial" w:hAnsi="Arial" w:cs="Arial"/>
          <w:i/>
          <w:sz w:val="24"/>
          <w:u w:val="single"/>
        </w:rPr>
        <w:t>Índice de cobertura de pagos fijos</w:t>
      </w:r>
      <w:r>
        <w:rPr>
          <w:rFonts w:ascii="Arial" w:hAnsi="Arial" w:cs="Arial"/>
          <w:sz w:val="24"/>
        </w:rPr>
        <w:t>:</w:t>
      </w:r>
      <w:r w:rsidR="00E06AB8">
        <w:rPr>
          <w:rFonts w:ascii="Arial" w:hAnsi="Arial" w:cs="Arial"/>
          <w:sz w:val="24"/>
        </w:rPr>
        <w:t xml:space="preserve"> Mide la capacidad de la empresa para cumplir con todas sus obligaciones de pagos fijos, como intereses, dividendos de acciones preferentes y pagos de arrendamiento. </w:t>
      </w:r>
    </w:p>
    <w:p w:rsidR="00E06AB8" w:rsidRDefault="00E06AB8" w:rsidP="000627CF">
      <w:pPr>
        <w:spacing w:after="0"/>
        <w:jc w:val="both"/>
        <w:rPr>
          <w:rFonts w:ascii="Arial" w:hAnsi="Arial" w:cs="Arial"/>
          <w:sz w:val="24"/>
        </w:rPr>
      </w:pPr>
    </w:p>
    <w:p w:rsidR="00E06AB8" w:rsidRDefault="00E06AB8" w:rsidP="000627CF">
      <w:pPr>
        <w:spacing w:after="0"/>
        <w:jc w:val="both"/>
        <w:rPr>
          <w:rFonts w:ascii="Arial" w:hAnsi="Arial" w:cs="Arial"/>
          <w:b/>
          <w:sz w:val="24"/>
        </w:rPr>
      </w:pPr>
      <w:r>
        <w:rPr>
          <w:rFonts w:ascii="Arial" w:hAnsi="Arial" w:cs="Arial"/>
          <w:b/>
          <w:sz w:val="24"/>
        </w:rPr>
        <w:t>Rentabilidad</w:t>
      </w:r>
    </w:p>
    <w:p w:rsidR="00E06AB8" w:rsidRDefault="00E06AB8" w:rsidP="000627CF">
      <w:pPr>
        <w:spacing w:after="0"/>
        <w:jc w:val="both"/>
        <w:rPr>
          <w:rFonts w:ascii="Arial" w:hAnsi="Arial" w:cs="Arial"/>
          <w:sz w:val="24"/>
        </w:rPr>
      </w:pPr>
      <w:r w:rsidRPr="00E06AB8">
        <w:rPr>
          <w:rFonts w:ascii="Arial" w:hAnsi="Arial" w:cs="Arial"/>
          <w:i/>
          <w:sz w:val="24"/>
          <w:u w:val="single"/>
        </w:rPr>
        <w:t>Margen de utilidad neta</w:t>
      </w:r>
      <w:r>
        <w:rPr>
          <w:rFonts w:ascii="Arial" w:hAnsi="Arial" w:cs="Arial"/>
          <w:sz w:val="24"/>
        </w:rPr>
        <w:t>: Mide el porcentaje que queda de cada dólar de ventas después de que se dedujeron todos los costos y gastos, incluyendo los intereses</w:t>
      </w:r>
      <w:r w:rsidR="00B7343C">
        <w:rPr>
          <w:rFonts w:ascii="Arial" w:hAnsi="Arial" w:cs="Arial"/>
          <w:sz w:val="24"/>
        </w:rPr>
        <w:t xml:space="preserve"> y dividendo de acciones preferentes</w:t>
      </w:r>
      <w:r>
        <w:rPr>
          <w:rFonts w:ascii="Arial" w:hAnsi="Arial" w:cs="Arial"/>
          <w:sz w:val="24"/>
        </w:rPr>
        <w:t>.</w:t>
      </w:r>
    </w:p>
    <w:p w:rsidR="00B7343C" w:rsidRDefault="00E06AB8" w:rsidP="000627CF">
      <w:pPr>
        <w:spacing w:after="0"/>
        <w:jc w:val="both"/>
        <w:rPr>
          <w:rFonts w:ascii="Arial" w:hAnsi="Arial" w:cs="Arial"/>
          <w:sz w:val="24"/>
        </w:rPr>
      </w:pPr>
      <w:r>
        <w:rPr>
          <w:rFonts w:ascii="Arial" w:hAnsi="Arial" w:cs="Arial"/>
          <w:i/>
          <w:sz w:val="24"/>
          <w:u w:val="single"/>
        </w:rPr>
        <w:t>Margen de utilidad bruta</w:t>
      </w:r>
      <w:r>
        <w:rPr>
          <w:rFonts w:ascii="Arial" w:hAnsi="Arial" w:cs="Arial"/>
          <w:sz w:val="24"/>
        </w:rPr>
        <w:t>:</w:t>
      </w:r>
      <w:r w:rsidR="00B7343C">
        <w:rPr>
          <w:rFonts w:ascii="Arial" w:hAnsi="Arial" w:cs="Arial"/>
          <w:sz w:val="24"/>
        </w:rPr>
        <w:t xml:space="preserve"> Mide el porcentaje que queda de cada dólar de ventas después que la empresa pagó sus bienes. Cuanto más alto es el margen, mejor ya que es el menor costo relativo de la mercancía vendida. </w:t>
      </w:r>
    </w:p>
    <w:p w:rsidR="00F4565A" w:rsidRDefault="00B7343C" w:rsidP="000627CF">
      <w:pPr>
        <w:spacing w:after="0"/>
        <w:jc w:val="both"/>
        <w:rPr>
          <w:rFonts w:ascii="Arial" w:hAnsi="Arial" w:cs="Arial"/>
          <w:sz w:val="24"/>
        </w:rPr>
      </w:pPr>
      <w:r w:rsidRPr="00B7343C">
        <w:rPr>
          <w:rFonts w:ascii="Arial" w:hAnsi="Arial" w:cs="Arial"/>
          <w:i/>
          <w:sz w:val="24"/>
          <w:u w:val="single"/>
        </w:rPr>
        <w:t>Margen de utilidad operativa</w:t>
      </w:r>
      <w:r>
        <w:rPr>
          <w:rFonts w:ascii="Arial" w:hAnsi="Arial" w:cs="Arial"/>
          <w:sz w:val="24"/>
        </w:rPr>
        <w:t>:</w:t>
      </w:r>
      <w:r w:rsidR="00F4565A">
        <w:rPr>
          <w:rFonts w:ascii="Arial" w:hAnsi="Arial" w:cs="Arial"/>
          <w:sz w:val="24"/>
        </w:rPr>
        <w:t xml:space="preserve"> Mide el porcentaje que queda de cada dólar de ventas después que se dedujeron todos los costos y gastos, excluyendo los intereses y dividendos de acciones preferentes.</w:t>
      </w:r>
    </w:p>
    <w:p w:rsidR="00F4565A" w:rsidRDefault="00F4565A" w:rsidP="000627CF">
      <w:pPr>
        <w:spacing w:after="0"/>
        <w:jc w:val="both"/>
        <w:rPr>
          <w:rFonts w:ascii="Arial" w:hAnsi="Arial" w:cs="Arial"/>
          <w:b/>
          <w:sz w:val="24"/>
        </w:rPr>
      </w:pPr>
      <w:r>
        <w:rPr>
          <w:rFonts w:ascii="Arial" w:hAnsi="Arial" w:cs="Arial"/>
          <w:b/>
          <w:sz w:val="24"/>
        </w:rPr>
        <w:lastRenderedPageBreak/>
        <w:t>Rentabilidad</w:t>
      </w:r>
    </w:p>
    <w:p w:rsidR="00F4565A" w:rsidRDefault="00F4565A" w:rsidP="000627CF">
      <w:pPr>
        <w:spacing w:after="0"/>
        <w:jc w:val="both"/>
        <w:rPr>
          <w:rFonts w:ascii="Arial" w:hAnsi="Arial" w:cs="Arial"/>
          <w:sz w:val="24"/>
        </w:rPr>
      </w:pPr>
      <w:r>
        <w:rPr>
          <w:rFonts w:ascii="Arial" w:hAnsi="Arial" w:cs="Arial"/>
          <w:i/>
          <w:sz w:val="24"/>
          <w:u w:val="single"/>
        </w:rPr>
        <w:t>Ganancias por acción</w:t>
      </w:r>
      <w:r>
        <w:rPr>
          <w:rFonts w:ascii="Arial" w:hAnsi="Arial" w:cs="Arial"/>
          <w:sz w:val="24"/>
        </w:rPr>
        <w:t xml:space="preserve">: Representa el monto en dólares obtenido durante un periodo para cada acción común en circulación. </w:t>
      </w:r>
    </w:p>
    <w:p w:rsidR="00F4565A" w:rsidRDefault="00F4565A" w:rsidP="000627CF">
      <w:pPr>
        <w:spacing w:after="0"/>
        <w:jc w:val="both"/>
        <w:rPr>
          <w:rFonts w:ascii="Arial" w:hAnsi="Arial" w:cs="Arial"/>
          <w:sz w:val="24"/>
        </w:rPr>
      </w:pPr>
      <w:r>
        <w:rPr>
          <w:rFonts w:ascii="Arial" w:hAnsi="Arial" w:cs="Arial"/>
          <w:i/>
          <w:sz w:val="24"/>
          <w:u w:val="single"/>
        </w:rPr>
        <w:t>Rendimiento sobre los activos totales</w:t>
      </w:r>
      <w:r>
        <w:rPr>
          <w:rFonts w:ascii="Arial" w:hAnsi="Arial" w:cs="Arial"/>
          <w:sz w:val="24"/>
        </w:rPr>
        <w:t>: Mide la eficacia integral de la administración para generar utilidades con sus activos disponibles. Cuanto más alto es el rendimiento sobre los activos, mejor.</w:t>
      </w:r>
    </w:p>
    <w:p w:rsidR="00F4565A" w:rsidRDefault="00F4565A" w:rsidP="000627CF">
      <w:pPr>
        <w:spacing w:after="0"/>
        <w:jc w:val="both"/>
        <w:rPr>
          <w:rFonts w:ascii="Arial" w:hAnsi="Arial" w:cs="Arial"/>
          <w:sz w:val="24"/>
        </w:rPr>
      </w:pPr>
      <w:r>
        <w:rPr>
          <w:rFonts w:ascii="Arial" w:hAnsi="Arial" w:cs="Arial"/>
          <w:i/>
          <w:sz w:val="24"/>
          <w:u w:val="single"/>
        </w:rPr>
        <w:t>Rendimiento sobre el patrimonio</w:t>
      </w:r>
      <w:r>
        <w:rPr>
          <w:rFonts w:ascii="Arial" w:hAnsi="Arial" w:cs="Arial"/>
          <w:sz w:val="24"/>
        </w:rPr>
        <w:t xml:space="preserve">: Mide el rendimiento ganado sobre la inversión de los accionistas comunes de la empresa. Cuanto más alto es este rendimiento, </w:t>
      </w:r>
      <w:r w:rsidR="00967779">
        <w:rPr>
          <w:rFonts w:ascii="Arial" w:hAnsi="Arial" w:cs="Arial"/>
          <w:sz w:val="24"/>
        </w:rPr>
        <w:t>más</w:t>
      </w:r>
      <w:r>
        <w:rPr>
          <w:rFonts w:ascii="Arial" w:hAnsi="Arial" w:cs="Arial"/>
          <w:sz w:val="24"/>
        </w:rPr>
        <w:t xml:space="preserve"> ganan los propietarios.</w:t>
      </w:r>
    </w:p>
    <w:p w:rsidR="00F4565A" w:rsidRDefault="00F4565A" w:rsidP="000627CF">
      <w:pPr>
        <w:spacing w:after="0"/>
        <w:jc w:val="both"/>
        <w:rPr>
          <w:rFonts w:ascii="Arial" w:hAnsi="Arial" w:cs="Arial"/>
          <w:sz w:val="24"/>
        </w:rPr>
      </w:pPr>
    </w:p>
    <w:p w:rsidR="00F4565A" w:rsidRDefault="00F4565A" w:rsidP="000627CF">
      <w:pPr>
        <w:spacing w:after="0"/>
        <w:jc w:val="both"/>
        <w:rPr>
          <w:rFonts w:ascii="Arial" w:hAnsi="Arial" w:cs="Arial"/>
          <w:b/>
          <w:sz w:val="24"/>
        </w:rPr>
      </w:pPr>
      <w:r>
        <w:rPr>
          <w:rFonts w:ascii="Arial" w:hAnsi="Arial" w:cs="Arial"/>
          <w:b/>
          <w:sz w:val="24"/>
        </w:rPr>
        <w:t>Mercado</w:t>
      </w:r>
    </w:p>
    <w:p w:rsidR="004D2E2E" w:rsidRPr="004D2E2E" w:rsidRDefault="00F4565A" w:rsidP="000627CF">
      <w:pPr>
        <w:spacing w:after="0"/>
        <w:jc w:val="both"/>
        <w:rPr>
          <w:rFonts w:ascii="Arial" w:hAnsi="Arial" w:cs="Arial"/>
          <w:sz w:val="24"/>
        </w:rPr>
      </w:pPr>
      <w:r>
        <w:rPr>
          <w:rFonts w:ascii="Arial" w:hAnsi="Arial" w:cs="Arial"/>
          <w:i/>
          <w:sz w:val="24"/>
          <w:u w:val="single"/>
        </w:rPr>
        <w:t>Relación precio / ganancia</w:t>
      </w:r>
      <w:r>
        <w:rPr>
          <w:rFonts w:ascii="Arial" w:hAnsi="Arial" w:cs="Arial"/>
          <w:sz w:val="24"/>
        </w:rPr>
        <w:t xml:space="preserve">: Mide la cantidad que los inversionistas están dispuestos a pagar por cada dólar de las ganancias de una empresa.   </w:t>
      </w:r>
      <w:r w:rsidR="00B7343C">
        <w:rPr>
          <w:rFonts w:ascii="Arial" w:hAnsi="Arial" w:cs="Arial"/>
          <w:sz w:val="24"/>
        </w:rPr>
        <w:t xml:space="preserve"> </w:t>
      </w:r>
      <w:r w:rsidR="00E06AB8">
        <w:rPr>
          <w:rFonts w:ascii="Arial" w:hAnsi="Arial" w:cs="Arial"/>
          <w:sz w:val="24"/>
        </w:rPr>
        <w:t xml:space="preserve">  </w:t>
      </w:r>
    </w:p>
    <w:p w:rsidR="000627CF" w:rsidRPr="00967779" w:rsidRDefault="00967779" w:rsidP="000627CF">
      <w:pPr>
        <w:spacing w:after="0"/>
        <w:jc w:val="both"/>
        <w:rPr>
          <w:rFonts w:ascii="Arial" w:hAnsi="Arial" w:cs="Arial"/>
          <w:sz w:val="24"/>
        </w:rPr>
      </w:pPr>
      <w:r>
        <w:rPr>
          <w:rFonts w:ascii="Arial" w:hAnsi="Arial" w:cs="Arial"/>
          <w:i/>
          <w:sz w:val="24"/>
          <w:u w:val="single"/>
        </w:rPr>
        <w:t>Razón Mercado / Libro</w:t>
      </w:r>
      <w:r>
        <w:rPr>
          <w:rFonts w:ascii="Arial" w:hAnsi="Arial" w:cs="Arial"/>
          <w:sz w:val="24"/>
        </w:rPr>
        <w:t xml:space="preserve">: Permite hacer una evaluación de cómo los inversionistas ven el desempeño de una empresa. </w:t>
      </w:r>
    </w:p>
    <w:sectPr w:rsidR="000627CF" w:rsidRPr="00967779" w:rsidSect="00104F1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E3862"/>
    <w:rsid w:val="0000372B"/>
    <w:rsid w:val="000312C0"/>
    <w:rsid w:val="00034306"/>
    <w:rsid w:val="000627CF"/>
    <w:rsid w:val="00076C85"/>
    <w:rsid w:val="000C33B3"/>
    <w:rsid w:val="000F13D5"/>
    <w:rsid w:val="00104C5A"/>
    <w:rsid w:val="00104F16"/>
    <w:rsid w:val="001110EF"/>
    <w:rsid w:val="001912EB"/>
    <w:rsid w:val="00191A06"/>
    <w:rsid w:val="001E428C"/>
    <w:rsid w:val="002370F3"/>
    <w:rsid w:val="00242A42"/>
    <w:rsid w:val="00251D73"/>
    <w:rsid w:val="00286E84"/>
    <w:rsid w:val="002A59AC"/>
    <w:rsid w:val="002B7D86"/>
    <w:rsid w:val="00336270"/>
    <w:rsid w:val="00344DE1"/>
    <w:rsid w:val="00376BDF"/>
    <w:rsid w:val="0041556E"/>
    <w:rsid w:val="0042209D"/>
    <w:rsid w:val="00437CAD"/>
    <w:rsid w:val="004431F0"/>
    <w:rsid w:val="004527AD"/>
    <w:rsid w:val="00453FD4"/>
    <w:rsid w:val="0046739D"/>
    <w:rsid w:val="0048320C"/>
    <w:rsid w:val="004A100D"/>
    <w:rsid w:val="004D2E2E"/>
    <w:rsid w:val="004D720C"/>
    <w:rsid w:val="004F0945"/>
    <w:rsid w:val="004F6BDA"/>
    <w:rsid w:val="00521BE1"/>
    <w:rsid w:val="00543E49"/>
    <w:rsid w:val="0059302E"/>
    <w:rsid w:val="00614EBC"/>
    <w:rsid w:val="006426A1"/>
    <w:rsid w:val="0065232C"/>
    <w:rsid w:val="006646B5"/>
    <w:rsid w:val="00665B95"/>
    <w:rsid w:val="00690FFE"/>
    <w:rsid w:val="00694338"/>
    <w:rsid w:val="006B348D"/>
    <w:rsid w:val="006D5257"/>
    <w:rsid w:val="006F0137"/>
    <w:rsid w:val="00703855"/>
    <w:rsid w:val="00727003"/>
    <w:rsid w:val="007354E7"/>
    <w:rsid w:val="007457A3"/>
    <w:rsid w:val="00764EDE"/>
    <w:rsid w:val="007927F5"/>
    <w:rsid w:val="0084459D"/>
    <w:rsid w:val="00875271"/>
    <w:rsid w:val="0089602D"/>
    <w:rsid w:val="008A3E74"/>
    <w:rsid w:val="008C554D"/>
    <w:rsid w:val="008D4DDA"/>
    <w:rsid w:val="008E7F7E"/>
    <w:rsid w:val="008F09E4"/>
    <w:rsid w:val="008F7983"/>
    <w:rsid w:val="0091417E"/>
    <w:rsid w:val="0092427B"/>
    <w:rsid w:val="00943DAB"/>
    <w:rsid w:val="00967779"/>
    <w:rsid w:val="00996DFF"/>
    <w:rsid w:val="00A07581"/>
    <w:rsid w:val="00A219C3"/>
    <w:rsid w:val="00A258A6"/>
    <w:rsid w:val="00A3705A"/>
    <w:rsid w:val="00A42F13"/>
    <w:rsid w:val="00A738BB"/>
    <w:rsid w:val="00AC0874"/>
    <w:rsid w:val="00AC1239"/>
    <w:rsid w:val="00AE2673"/>
    <w:rsid w:val="00B11F68"/>
    <w:rsid w:val="00B1460C"/>
    <w:rsid w:val="00B44AE9"/>
    <w:rsid w:val="00B5044C"/>
    <w:rsid w:val="00B54D82"/>
    <w:rsid w:val="00B557C6"/>
    <w:rsid w:val="00B55F97"/>
    <w:rsid w:val="00B7343C"/>
    <w:rsid w:val="00BB3328"/>
    <w:rsid w:val="00BE3862"/>
    <w:rsid w:val="00BF0BB9"/>
    <w:rsid w:val="00C329F6"/>
    <w:rsid w:val="00C470A9"/>
    <w:rsid w:val="00C50DB3"/>
    <w:rsid w:val="00C74B02"/>
    <w:rsid w:val="00C77E85"/>
    <w:rsid w:val="00C84FD0"/>
    <w:rsid w:val="00C91A11"/>
    <w:rsid w:val="00D4016F"/>
    <w:rsid w:val="00D430BA"/>
    <w:rsid w:val="00D876CB"/>
    <w:rsid w:val="00DA2CBF"/>
    <w:rsid w:val="00DD7172"/>
    <w:rsid w:val="00E06AB8"/>
    <w:rsid w:val="00E206F9"/>
    <w:rsid w:val="00E229EB"/>
    <w:rsid w:val="00E52A69"/>
    <w:rsid w:val="00E84A16"/>
    <w:rsid w:val="00E905F3"/>
    <w:rsid w:val="00EB55FB"/>
    <w:rsid w:val="00EF5EDD"/>
    <w:rsid w:val="00F4565A"/>
    <w:rsid w:val="00F4694C"/>
    <w:rsid w:val="00F87B36"/>
    <w:rsid w:val="00FD1FF6"/>
    <w:rsid w:val="00FF1CFA"/>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2</Pages>
  <Words>469</Words>
  <Characters>2584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Abdias Navarro</dc:creator>
  <cp:lastModifiedBy>Abdias Navarro</cp:lastModifiedBy>
  <cp:revision>1</cp:revision>
  <dcterms:created xsi:type="dcterms:W3CDTF">2019-05-20T15:04:00Z</dcterms:created>
  <dcterms:modified xsi:type="dcterms:W3CDTF">2019-05-20T20:48:00Z</dcterms:modified>
</cp:coreProperties>
</file>