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赛博城邦《1号方案》落地架构工程学评估与简化重构报告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核心设计之工程学可行性与高价值特性评估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赛博城邦操作系统（Cybernetic City-State OS）在设计《1号方案》时，针对现役大模型在超长上下文处理、任务漂移以及由于强化学习训练诱发的迎合用户错误假设等固有缺陷，制定了一套极具工程落地价值的物理约束与验证机制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。在以严苛的技术视角对底座代码与宏观拓扑进行解构后，本评估认为以下三项设计属于“刀刀见血”且极为有效的架构亮点。</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首先，物理层绝对锚定与证据化核验机制，在工程上直接封堵了模型在长交互周期中不可避免的事实虚构瓶颈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。由于大模型普遍存在注意力漂移和迎合性幻觉，直接让其进行黑盒长链路推演通常会导致其脱离系统实际状态，产生无意义的逻辑空转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。底座方案强制将模型的分析事实锁死于物理存储空间（/00_Evidence_Room/compiled_evidence.md），并要求每一次系统级推理必须精确附带具体的哈希指针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。这一规则通过强烈的外部事实限制，阻断了模型的虚构空间，实现了从自由语言生成到严格的事实约束映射，解决了高难度系统配置修改中的事实虚构痛点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其次，会话塌缩与 机制极大地缓解了由于历史会话无限累加而导致的推理性能衰减和首字延迟（TTFT）飙升问题 [1, 1, 4, 5]。在长生命周期的大模型协同工作中，堆积的冗余日志和错误排查历史会严重分散注意力机制的有效分配 </w:t>
      </w:r>
      <w:r w:rsidDel="00000000" w:rsidR="00000000" w:rsidRPr="00000000">
        <w:rPr>
          <w:rFonts w:ascii="Google Sans" w:cs="Google Sans" w:eastAsia="Google Sans" w:hAnsi="Google Sans"/>
          <w:i w:val="0"/>
          <w:iCs w:val="0"/>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。本方案定义的 协议通过对工作状态进行层级分类，将过期的 Episodic 垃圾历史予以淘汰并迁入 L3 冷存储，随即在宿主环境中强行截断当前 Turn，重新注入经过精简和证据提取后的 &lt;Clean_State_Injection&gt; 状态向量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。该设计在数学和物理层面保障了上下文空间的大小始终收敛在 </w:t>
      </w:r>
      <w:r w:rsidDel="00000000" w:rsidR="00000000" w:rsidRPr="00000000">
        <w:rPr>
          <w:rFonts w:ascii="Google Sans" w:cs="Google Sans" w:eastAsia="Google Sans" w:hAnsi="Google Sans"/>
          <w:color w:val="1f1f1f"/>
        </w:rPr>
        <w:drawing>
          <wp:inline distB="19050" distT="19050" distL="19050" distR="19050">
            <wp:extent cx="357783" cy="213414"/>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7783" cy="213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的高密度工作状态，其逻辑可以用如下公式表达：</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5018"/>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05500" cy="62501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这确保了长时间、高吞吐量的系统状态修改能够在极高的指令遵循精度下稳定运行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最后，沙盒隔离验证与报错梯度物理回传机制，构成了闭环演进的数学基础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。静态分析很难规避大模型在高难度编码和修宪提案中的局部逻辑崩溃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。本方案通过沙盒验证官（SVO）将新生成的草案加载到独立的 disposable 物理环境中，以运行态反馈拦截潜在的崩溃，并将执行故障提炼为具体的“报错梯度流”，回传至证据室供下一轮观测强制读取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。这种非黑盒的、可量化的物理报错回退机制，有效地利用了外部环境作为强化学习的反馈源，引导模型自主进行状态修正并快速实现收敛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机制名称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解决的底层大模型缺陷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工程学直接成效 [source_id]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物理层绝对锚定与哈希指针校验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超长上下文注意力漂移、迎合性幻觉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逻辑推演完全绑定于实际文件状态，阻断事实伪造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会话塌缩与 `` 垃圾回收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轮次累积导致的指令遵循度衰减、TTFT延迟增加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截断污染 Turn，将工作内存维持在 </w:t>
            </w:r>
            <w:r w:rsidDel="00000000" w:rsidR="00000000" w:rsidRPr="00000000">
              <w:rPr>
                <w:rFonts w:ascii="Google Sans" w:cs="Google Sans" w:eastAsia="Google Sans" w:hAnsi="Google Sans"/>
                <w:color w:val="1f1f1f"/>
                <w:shd w:fill="auto" w:val="clear"/>
              </w:rPr>
              <w:drawing>
                <wp:inline distB="19050" distT="19050" distL="19050" distR="19050">
                  <wp:extent cx="357783" cy="213414"/>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7783" cy="2134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级高效区间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沙盒隔离验证与物理报错梯度回传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静态代码分析难以预测运行时 Panic 的缺陷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构建外部强化反馈，引导后续逻辑生成梯度收敛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架构过度工程与计算冗余之深度剖析</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尽管底层方案在应对模型局限性上设计了坚实的防线，但在 2026 年的技术生态基准下，部分设计明显属于多余的过度工程，不仅带来了大量的算力和令牌浪费，甚至在实际部署时会卡死系统调度总线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第一，死板的马尔可夫物理思维逻辑日志限制（如 Evidence_Based_CoT_Fusion_Module.xml 中强行规定的 20 步显式推理步骤）在现役模型能力下已显多余并构成严重的延迟负担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。在过去的技术阶段，手动引导大模型进行显式步骤推演能显著改善逻辑性，但现役的推理模型（如 Gemini 3.1 Pro 的 Thinking 机制、OpenAI o1/o3 以及 Claude 3.7+ 的扩展思考模型）均在底层集成了经过强化学习训练的、不可见的原生思考机制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。这些模型通过内置的 scratchpad 自动调节逻辑推演的深度，无需外界强制设定死板的 XML 结构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。在这种底层能力下，强制模型生成极其冗长、死板的显式推理步骤，会导致严重的令牌吞吐量瓶颈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。因为单 Token 输出耗时（TPOT）高达每 token 近 </w:t>
      </w:r>
      <w:r w:rsidDel="00000000" w:rsidR="00000000" w:rsidRPr="00000000">
        <w:rPr>
          <w:rFonts w:ascii="Google Sans" w:cs="Google Sans" w:eastAsia="Google Sans" w:hAnsi="Google Sans"/>
          <w:color w:val="1f1f1f"/>
        </w:rPr>
        <w:drawing>
          <wp:inline distB="19050" distT="19050" distL="19050" distR="19050">
            <wp:extent cx="387449" cy="23501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7449" cy="235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485378" cy="23630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5378" cy="236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，这会导致每个简单的逻辑决策都被迫堆叠出数千字无用的外部自解释文本，带来多达数十秒的无谓阻塞，且极易因 XML 结构断裂而产生语法解析错误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第二，宏观架构中由“主控调度器-聚合器-净化器-最高仲裁器”构建的多核提案对抗法庭，不仅面临严峻的通信延迟，还可能引发任务调度的彻底瘫痪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。根据 Google 针对大模型扩展性的最新实证研究，多模型协同交互虽然在并行子任务中能带来 +81% 的成效，但在高耦合度、状态强相关的顺序执行任务中，却会导致高达 70% 的运行效率退化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。赛博城邦操作系统的修宪、配置文件更新和内核漏洞排查，本质上都是高耦合性的串行工程，需要维护极高的状态一致性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。多代理在所谓的“对抗法庭”中频繁进行信息分发、辩论与仲裁，不仅会导致模型消耗 4 至 220 倍的冗余输入 Token，而且在没有明确数学收敛停止边界的设定下，极其容易陷入学术界所警告的“无尽辩论循环”（Argument Loops），将每次微小的配置更新延迟直接从毫秒级拉长至分钟级，严重浪费公共计算资源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第三，硬性划分的“架构师-天才-执行者”静态阶级体系，属于典型的利用人类组织行政管理思维去套用机器运行架构的冗余设计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2026 年的高并发 API 调度中，大模型的运行角色完全可以基于传入数据的上下文和提示词进行极其轻量级的动态路由（Context Routing）和现场注入，无需在系统总线层面维持数个长生命周期的角色容器实体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。这种硬性的静态实体划分，在实际落地中会因为繁琐的容器调度、并发锁（Mutex）争抢和频繁的 API 回调而加剧内存泄漏风险，对系统吞吐量带来了不必要的工程损耗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系统评估指标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传统单体模型调用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1号方案多核辩论法庭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工程学损耗与瓶颈分析 [source_id]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 消耗倍率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1.0x 基准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4.0x - 220.0x 膨胀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UIUC研究表明多代理交互存在海量冗余输入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串行任务执行效率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高度连贯、状态一致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降低达 70.0% (退化)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串行系统修改中，辩论会导致逻辑冲突与状态断层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平均调度延迟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1 - 2s 级别</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10 - 30s 级乃至无限卡死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每次手递手网络调用增加 100-500ms 握手，极易引发死锁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运行成本评估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$0.05 - $0.10 /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$0.40 - $1.50 / 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算力与令牌单价成倍上涨，缺乏生产环境落地性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独立与协同目标下之高吞吐量简化重构方案</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基于对现役大模型（Gemini 3.1, Claude 4.5/4.6, GPT-4o）在 API 吞吐量、首字延迟、价格空间以及硬件级缓存命中（Prompt Caching）等真实工程极限的测算，本评估认为，应当彻底抛弃繁重的行政化辩论多核法庭，转而构建以“扁平化单体核心调度-多路并发沙盒验证”为特色的</w:t>
      </w:r>
      <w:r w:rsidDel="00000000" w:rsidR="00000000" w:rsidRPr="00000000">
        <w:rPr>
          <w:rFonts w:ascii="Google Sans" w:cs="Google Sans" w:eastAsia="Google Sans" w:hAnsi="Google Sans"/>
          <w:b w:val="1"/>
          <w:bCs w:val="1"/>
          <w:color w:val="1f1f1f"/>
          <w:rtl w:val="0"/>
        </w:rPr>
        <w:t xml:space="preserve">高吞吐量简化认知引擎</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。以下为针对性的重构建议。</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首先，必须引入硬件级别的上下文缓存（Prompt Caching）机制，并结合动态上下文路由（Dynamic Context Routing）取代静态角色阶级字典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 2026 年的技术基准下，静态的宪政规则、大模型角色模版以及城邦操作系统 API 文档具有极高的可重用度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。重构方案应将这些静态指令声明在 Prompt 头部并开启 cache_control，使得一次写入后后续所有并发读取均可触发 10% 的极低折价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 Claude Sonnet 架构中，静态指令部分的输入单价将直接从 </w:t>
      </w:r>
      <w:r w:rsidDel="00000000" w:rsidR="00000000" w:rsidRPr="00000000">
        <w:rPr>
          <w:rFonts w:ascii="Google Sans" w:cs="Google Sans" w:eastAsia="Google Sans" w:hAnsi="Google Sans"/>
          <w:color w:val="1f1f1f"/>
        </w:rPr>
        <w:drawing>
          <wp:inline distB="19050" distT="19050" distL="19050" distR="19050">
            <wp:extent cx="407392" cy="24825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7392" cy="248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降至 </w:t>
      </w:r>
      <w:r w:rsidDel="00000000" w:rsidR="00000000" w:rsidRPr="00000000">
        <w:rPr>
          <w:rFonts w:ascii="Google Sans" w:cs="Google Sans" w:eastAsia="Google Sans" w:hAnsi="Google Sans"/>
          <w:color w:val="1f1f1f"/>
        </w:rPr>
        <w:drawing>
          <wp:inline distB="19050" distT="19050" distL="19050" distR="19050">
            <wp:extent cx="657721" cy="24904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57721" cy="249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Gemini 3.1 Pro 架构下更可凭借高达 90% 的折价率，直接将长上下文下的运行成本压缩到常规运行的十分之一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。利用动态上下文路由替换多角色分身，主控调度器成为唯一的、具备高吞吐量的认知分发节点，其费用计算重构为：</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229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5500" cy="54229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其中，当命中缓存时， </w:t>
      </w:r>
      <w:r w:rsidDel="00000000" w:rsidR="00000000" w:rsidRPr="00000000">
        <w:rPr>
          <w:rFonts w:ascii="Google Sans" w:cs="Google Sans" w:eastAsia="Google Sans" w:hAnsi="Google Sans"/>
          <w:color w:val="1f1f1f"/>
        </w:rPr>
        <w:drawing>
          <wp:inline distB="19050" distT="19050" distL="19050" distR="19050">
            <wp:extent cx="1569834" cy="247869"/>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69834" cy="24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。这消除了多角色通信时产生的冗余，实现了极其优雅的高频状态流转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其次，全面释放原生思考预算（Thinking Budget），剔除 XML 手动推演步骤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。系统通过 API 参数（如设定 thinkingBudget = -1 或 reasoning_effort）允许底层 GPU 算力执行其原生强化学习自解释逻辑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。模型在底层的 scratchpad 空间内完成漏洞挖掘、方案验证等高难度规划，并仅在物理生成层输出具体的系统更新代码草案和 /00_Evidence_Room 中的直接哈希引用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。这不仅降低了 60% 的输出 Token 耗费，极大提升了生成速度（GPT-4o 展现了双倍于传统逻辑生成的速度优势），同时也彻底解决了 XML 解析异常而导致的中间调度死锁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再次，采用“异步单向分发-物理并行跑测-结构化 JSON 回传”的轻量化工作流替代对抗法庭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。主调度核心生成草案后，一并分发至多个并行的沙盒验证官（SVO）测试池中独立运行，最大化榨取大模型在高度并行任务中表现出的 +81% 性能红利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。测试失败后，SVO 不再构建繁重的、难以被模型直接吸收的几何流，而是直接捕获编译日志和运行时 Panic，将其格式化为标准的、带有精确报错行数与变量偏移的结构化 JSON 块，并作为单向纠错向量直接拼接至缓存后的主上下文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。这种轻量化、直接的数据传输方式易于调试、代码极易落地，且整体系统吞吐量呈线性拉升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最后，保留 Dialectic Auditor 的亚致死灾难预警（``）物理拦截门闸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。在方案通过并行沙盒彻底跑通后，该拦截阀自动生成差分对比报告，强制回调人类最高议长进行最终的加密签名确认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。这一确认点既保证了城邦生态不会陷入不可逆的“AI 黑盒演进失控”，又将整套修宪与更新闭环的工程延迟压低至数秒以内，实现了真正生产级的自动化高吞吐演进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1号方案原始机制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简化认知引擎重构方案 [source_id]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代码落地实施指南与 API 配置建议 [source_id]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20步马尔可夫物理 XML 思维日志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原生隐藏思考预算配置 (Thinking Budget)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废除 &lt;Thought_Step&gt; 手动规则；调用 API 时配置 thinkingBudget = -1 开启自适应底层推理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多核辩论法庭（协调-聚合-净化-仲裁）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扁平化单核主调度 + 动态路由控制总线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停止 Aggregator 和 Purifier 的轮询调用；将系统憲章和 API 手册全部声明为首部，标记 cache_control Breakpoint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高维报错梯度流与记忆塌缩物理回退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异步并行沙盒验证 + 结构化 JSON 错误注入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调度器提出草案后，异步发起多个 Git mirror 跑测；解析报错输出为标准 JSON 数据，直接追加回主上下文进行 O(1) 状态修正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复杂的静态角色阶级字典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动态上下文路由与高频共享内存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用现役模型原生支持的轻量级工具调用（Function Calling）替代繁杂的人格分身，以共享硬盘存储进行 OCC 并发控制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Evidence_Based_CoT_Fusion_Module.xml</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3.5 Sonnet vs GPT-4o: Complete AI Model Comparison - SentiSight.ai, accessed June 9, 2026, </w:t>
      </w:r>
      <w:hyperlink r:id="rId14">
        <w:r w:rsidDel="00000000" w:rsidR="00000000" w:rsidRPr="00000000">
          <w:rPr>
            <w:rFonts w:ascii="Google Sans" w:cs="Google Sans" w:eastAsia="Google Sans" w:hAnsi="Google Sans"/>
            <w:color w:val="0000ee"/>
            <w:sz w:val="24"/>
            <w:szCs w:val="24"/>
            <w:u w:val="single"/>
            <w:rtl w:val="0"/>
          </w:rPr>
          <w:t xml:space="preserve">https://www.sentisight.ai/claude-3-5-sonnet-vs-gpt-4o-ultimate-comparison/</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API Pricing 2026: Complete Cost Guide per 1M Tokens - Metacto, accessed June 9, 2026, </w:t>
      </w:r>
      <w:hyperlink r:id="rId15">
        <w:r w:rsidDel="00000000" w:rsidR="00000000" w:rsidRPr="00000000">
          <w:rPr>
            <w:rFonts w:ascii="Google Sans" w:cs="Google Sans" w:eastAsia="Google Sans" w:hAnsi="Google Sans"/>
            <w:color w:val="0000ee"/>
            <w:sz w:val="24"/>
            <w:szCs w:val="24"/>
            <w:u w:val="single"/>
            <w:rtl w:val="0"/>
          </w:rPr>
          <w:t xml:space="preserve">https://www.metacto.com/blogs/the-true-cost-of-google-gemini-a-guide-to-api-pricing-and-integration</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LLM Response Latency: A Deep Dive into Input vs Output Processing, accessed June 9, 2026, </w:t>
      </w:r>
      <w:hyperlink r:id="rId16">
        <w:r w:rsidDel="00000000" w:rsidR="00000000" w:rsidRPr="00000000">
          <w:rPr>
            <w:rFonts w:ascii="Google Sans" w:cs="Google Sans" w:eastAsia="Google Sans" w:hAnsi="Google Sans"/>
            <w:color w:val="0000ee"/>
            <w:sz w:val="24"/>
            <w:szCs w:val="24"/>
            <w:u w:val="single"/>
            <w:rtl w:val="0"/>
          </w:rPr>
          <w:t xml:space="preserve">https://medium.com/@gezhouz/understanding-llm-response-latency-a-deep-dive-into-input-vs-output-processing-2d83025b8797</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Systems Explained: When One AI Isn't Enough - Product School, accessed June 9, 2026, </w:t>
      </w:r>
      <w:hyperlink r:id="rId17">
        <w:r w:rsidDel="00000000" w:rsidR="00000000" w:rsidRPr="00000000">
          <w:rPr>
            <w:rFonts w:ascii="Google Sans" w:cs="Google Sans" w:eastAsia="Google Sans" w:hAnsi="Google Sans"/>
            <w:color w:val="0000ee"/>
            <w:sz w:val="24"/>
            <w:szCs w:val="24"/>
            <w:u w:val="single"/>
            <w:rtl w:val="0"/>
          </w:rPr>
          <w:t xml:space="preserve">https://productschool.com/blog/artificial-intelligence/multi-agent-systems</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Single-Agent vs Multi-Agent AI: When to Scale Your Dev Workflow | Augment Code, accessed June 9, 2026, </w:t>
      </w:r>
      <w:hyperlink r:id="rId18">
        <w:r w:rsidDel="00000000" w:rsidR="00000000" w:rsidRPr="00000000">
          <w:rPr>
            <w:rFonts w:ascii="Google Sans" w:cs="Google Sans" w:eastAsia="Google Sans" w:hAnsi="Google Sans"/>
            <w:color w:val="0000ee"/>
            <w:sz w:val="24"/>
            <w:szCs w:val="24"/>
            <w:u w:val="single"/>
            <w:rtl w:val="0"/>
          </w:rPr>
          <w:t xml:space="preserve">https://www.augmentcode.com/guides/single-agent-vs-multi-agent-ai</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thinking - generateContent API | Google AI for Developers, accessed June 9, 2026, </w:t>
      </w:r>
      <w:hyperlink r:id="rId19">
        <w:r w:rsidDel="00000000" w:rsidR="00000000" w:rsidRPr="00000000">
          <w:rPr>
            <w:rFonts w:ascii="Google Sans" w:cs="Google Sans" w:eastAsia="Google Sans" w:hAnsi="Google Sans"/>
            <w:color w:val="0000ee"/>
            <w:sz w:val="24"/>
            <w:szCs w:val="24"/>
            <w:u w:val="single"/>
            <w:rtl w:val="0"/>
          </w:rPr>
          <w:t xml:space="preserve">https://ai.google.dev/gemini-api/docs/thinking</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LLMs Reason as AI Agents — Model-by-Model Comparison (Claude, GPT, Gemini, Llama, Mistral, Grok, DeepSeek) | FlowHunt, accessed June 9, 2026, </w:t>
      </w:r>
      <w:hyperlink r:id="rId20">
        <w:r w:rsidDel="00000000" w:rsidR="00000000" w:rsidRPr="00000000">
          <w:rPr>
            <w:rFonts w:ascii="Google Sans" w:cs="Google Sans" w:eastAsia="Google Sans" w:hAnsi="Google Sans"/>
            <w:color w:val="0000ee"/>
            <w:sz w:val="24"/>
            <w:szCs w:val="24"/>
            <w:u w:val="single"/>
            <w:rtl w:val="0"/>
          </w:rPr>
          <w:t xml:space="preserve">https://www.flowhunt.io/blog/how-llms-think-as-ai-agents/</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Large Reasoning Models (LRMs) | by Carlos E. Perez | Intuition Machine, accessed June 9, 2026, </w:t>
      </w:r>
      <w:hyperlink r:id="rId21">
        <w:r w:rsidDel="00000000" w:rsidR="00000000" w:rsidRPr="00000000">
          <w:rPr>
            <w:rFonts w:ascii="Google Sans" w:cs="Google Sans" w:eastAsia="Google Sans" w:hAnsi="Google Sans"/>
            <w:color w:val="0000ee"/>
            <w:sz w:val="24"/>
            <w:szCs w:val="24"/>
            <w:u w:val="single"/>
            <w:rtl w:val="0"/>
          </w:rPr>
          <w:t xml:space="preserve">https://medium.com/intuitionmachine/comparison-of-large-reasoning-models-lrms-dbc468d10906</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Systems: When AI Agents Collaborate | by The_Architect | Level Up Coding, accessed June 9, 2026, </w:t>
      </w:r>
      <w:hyperlink r:id="rId22">
        <w:r w:rsidDel="00000000" w:rsidR="00000000" w:rsidRPr="00000000">
          <w:rPr>
            <w:rFonts w:ascii="Google Sans" w:cs="Google Sans" w:eastAsia="Google Sans" w:hAnsi="Google Sans"/>
            <w:color w:val="0000ee"/>
            <w:sz w:val="24"/>
            <w:szCs w:val="24"/>
            <w:u w:val="single"/>
            <w:rtl w:val="0"/>
          </w:rPr>
          <w:t xml:space="preserve">https://levelup.gitconnected.com/multi-agent-systems-when-ai-agents-collaborate-4e825322dd2e</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Orchestration: The Agency Workflow Playbook - Digital Applied, accessed June 9, 2026, </w:t>
      </w:r>
      <w:hyperlink r:id="rId23">
        <w:r w:rsidDel="00000000" w:rsidR="00000000" w:rsidRPr="00000000">
          <w:rPr>
            <w:rFonts w:ascii="Google Sans" w:cs="Google Sans" w:eastAsia="Google Sans" w:hAnsi="Google Sans"/>
            <w:color w:val="0000ee"/>
            <w:sz w:val="24"/>
            <w:szCs w:val="24"/>
            <w:u w:val="single"/>
            <w:rtl w:val="0"/>
          </w:rPr>
          <w:t xml:space="preserve">https://www.digitalapplied.com/blog/multi-agent-orchestration-playbook-agency-workflows</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caching - Claude API Docs, accessed June 9, 2026, </w:t>
      </w:r>
      <w:hyperlink r:id="rId24">
        <w:r w:rsidDel="00000000" w:rsidR="00000000" w:rsidRPr="00000000">
          <w:rPr>
            <w:rFonts w:ascii="Google Sans" w:cs="Google Sans" w:eastAsia="Google Sans" w:hAnsi="Google Sans"/>
            <w:color w:val="0000ee"/>
            <w:sz w:val="24"/>
            <w:szCs w:val="24"/>
            <w:u w:val="single"/>
            <w:rtl w:val="0"/>
          </w:rPr>
          <w:t xml:space="preserve">https://platform.claude.com/docs/en/build-with-claude/prompt-caching</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overview | Gemini Enterprise Agent Platform | Google Cloud Documentation, accessed June 9, 2026, </w:t>
      </w:r>
      <w:hyperlink r:id="rId25">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https://docs.cloud.google.com/gemini-enterprise-agent-platform/models/context-cache/context-cache-overview</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Cut LLM Costs by 59% With Prompt Caching - ProjectDiscovery.io, accessed June 9, 2026, </w:t>
      </w:r>
      <w:hyperlink r:id="rId26">
        <w:r w:rsidDel="00000000" w:rsidR="00000000" w:rsidRPr="00000000">
          <w:rPr>
            <w:rFonts w:ascii="Google Sans" w:cs="Google Sans" w:eastAsia="Google Sans" w:hAnsi="Google Sans"/>
            <w:color w:val="0000ee"/>
            <w:sz w:val="24"/>
            <w:szCs w:val="24"/>
            <w:u w:val="single"/>
            <w:rtl w:val="0"/>
          </w:rPr>
          <w:t xml:space="preserve">https://projectdiscovery.io/blog/how-we-cut-llm-cost-with-prompt-caching</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API Pricing: Official Token Rates for Every Claude Model (2026) - PE Collective, accessed June 9, 2026, </w:t>
      </w:r>
      <w:hyperlink r:id="rId27">
        <w:r w:rsidDel="00000000" w:rsidR="00000000" w:rsidRPr="00000000">
          <w:rPr>
            <w:rFonts w:ascii="Google Sans" w:cs="Google Sans" w:eastAsia="Google Sans" w:hAnsi="Google Sans"/>
            <w:color w:val="0000ee"/>
            <w:sz w:val="24"/>
            <w:szCs w:val="24"/>
            <w:u w:val="single"/>
            <w:rtl w:val="0"/>
          </w:rPr>
          <w:t xml:space="preserve">https://pecollective.com/tools/anthropic-api-pricing/</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multi-agent systems actually better than a single powerful AI agent? - Reddit, accessed June 9, 2026, </w:t>
      </w:r>
      <w:hyperlink r:id="rId28">
        <w:r w:rsidDel="00000000" w:rsidR="00000000" w:rsidRPr="00000000">
          <w:rPr>
            <w:rFonts w:ascii="Google Sans" w:cs="Google Sans" w:eastAsia="Google Sans" w:hAnsi="Google Sans"/>
            <w:color w:val="0000ee"/>
            <w:sz w:val="24"/>
            <w:szCs w:val="24"/>
            <w:u w:val="single"/>
            <w:rtl w:val="0"/>
          </w:rPr>
          <w:t xml:space="preserve">https://www.reddit.com/r/AI_Agents/comments/1s37aj7/are_multiagent_systems_actually_better_than_a/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lowhunt.io/blog/how-llms-think-as-ai-agents/" TargetMode="External"/><Relationship Id="rId22" Type="http://schemas.openxmlformats.org/officeDocument/2006/relationships/hyperlink" Target="https://levelup.gitconnected.com/multi-agent-systems-when-ai-agents-collaborate-4e825322dd2e" TargetMode="External"/><Relationship Id="rId21" Type="http://schemas.openxmlformats.org/officeDocument/2006/relationships/hyperlink" Target="https://medium.com/intuitionmachine/comparison-of-large-reasoning-models-lrms-dbc468d10906" TargetMode="External"/><Relationship Id="rId24" Type="http://schemas.openxmlformats.org/officeDocument/2006/relationships/hyperlink" Target="https://platform.claude.com/docs/en/build-with-claude/prompt-caching" TargetMode="External"/><Relationship Id="rId23" Type="http://schemas.openxmlformats.org/officeDocument/2006/relationships/hyperlink" Target="https://www.digitalapplied.com/blog/multi-agent-orchestration-playbook-agency-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projectdiscovery.io/blog/how-we-cut-llm-cost-with-prompt-caching" TargetMode="External"/><Relationship Id="rId25" Type="http://schemas.openxmlformats.org/officeDocument/2006/relationships/hyperlink" Target="https://docs.cloud.google.com/gemini-enterprise-agent-platform/models/context-cache/context-cache-overview" TargetMode="External"/><Relationship Id="rId28" Type="http://schemas.openxmlformats.org/officeDocument/2006/relationships/hyperlink" Target="https://www.reddit.com/r/AI_Agents/comments/1s37aj7/are_multiagent_systems_actually_better_than_a/" TargetMode="External"/><Relationship Id="rId27" Type="http://schemas.openxmlformats.org/officeDocument/2006/relationships/hyperlink" Target="https://pecollective.com/tools/anthropic-api-pricing/"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hyperlink" Target="https://www.metacto.com/blogs/the-true-cost-of-google-gemini-a-guide-to-api-pricing-and-integration" TargetMode="External"/><Relationship Id="rId14" Type="http://schemas.openxmlformats.org/officeDocument/2006/relationships/hyperlink" Target="https://www.sentisight.ai/claude-3-5-sonnet-vs-gpt-4o-ultimate-comparison/" TargetMode="External"/><Relationship Id="rId17" Type="http://schemas.openxmlformats.org/officeDocument/2006/relationships/hyperlink" Target="https://productschool.com/blog/artificial-intelligence/multi-agent-systems" TargetMode="External"/><Relationship Id="rId16" Type="http://schemas.openxmlformats.org/officeDocument/2006/relationships/hyperlink" Target="https://medium.com/@gezhouz/understanding-llm-response-latency-a-deep-dive-into-input-vs-output-processing-2d83025b8797" TargetMode="External"/><Relationship Id="rId19" Type="http://schemas.openxmlformats.org/officeDocument/2006/relationships/hyperlink" Target="https://ai.google.dev/gemini-api/docs/thinking" TargetMode="External"/><Relationship Id="rId18" Type="http://schemas.openxmlformats.org/officeDocument/2006/relationships/hyperlink" Target="https://www.augmentcode.com/guides/single-agent-vs-multi-agen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