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w:t>
            </w:r>
            <w:proofErr w:type="gramStart"/>
            <w:r>
              <w:rPr>
                <w:rFonts w:ascii="Roboto" w:eastAsia="Roboto" w:hAnsi="Roboto" w:cs="Roboto"/>
                <w:color w:val="666666"/>
              </w:rPr>
              <w:t>is  the</w:t>
            </w:r>
            <w:proofErr w:type="gramEnd"/>
            <w:r>
              <w:rPr>
                <w:rFonts w:ascii="Roboto" w:eastAsia="Roboto" w:hAnsi="Roboto" w:cs="Roboto"/>
                <w:color w:val="666666"/>
              </w:rPr>
              <w:t xml:space="preserv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77777777" w:rsidR="00947DDF" w:rsidRDefault="00947DDF">
                  <w:pPr>
                    <w:widowControl w:val="0"/>
                    <w:spacing w:line="240" w:lineRule="auto"/>
                    <w:rPr>
                      <w:rFonts w:ascii="Roboto" w:eastAsia="Roboto" w:hAnsi="Roboto" w:cs="Roboto"/>
                      <w:color w:val="666666"/>
                      <w:sz w:val="16"/>
                      <w:szCs w:val="16"/>
                    </w:rPr>
                  </w:pP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77777777" w:rsidR="00947DDF" w:rsidRDefault="002975C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77777777" w:rsidR="00947DDF" w:rsidRDefault="002975C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77777777" w:rsidR="00947DDF" w:rsidRDefault="002975C1">
            <w:pPr>
              <w:spacing w:line="240" w:lineRule="auto"/>
              <w:ind w:left="720"/>
              <w:rPr>
                <w:rFonts w:ascii="Roboto" w:eastAsia="Roboto" w:hAnsi="Roboto" w:cs="Roboto"/>
                <w:color w:val="5F6368"/>
              </w:rPr>
            </w:pPr>
            <w:r>
              <w:rPr>
                <w:rFonts w:ascii="Roboto" w:eastAsia="Roboto" w:hAnsi="Roboto" w:cs="Roboto"/>
                <w:i/>
                <w:color w:val="666666"/>
              </w:rPr>
              <w:t>Type your response here</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4F88" w14:textId="77777777" w:rsidR="000F4EC2" w:rsidRDefault="000F4EC2">
      <w:pPr>
        <w:spacing w:line="240" w:lineRule="auto"/>
      </w:pPr>
      <w:r>
        <w:separator/>
      </w:r>
    </w:p>
  </w:endnote>
  <w:endnote w:type="continuationSeparator" w:id="0">
    <w:p w14:paraId="574B16EF" w14:textId="77777777" w:rsidR="000F4EC2" w:rsidRDefault="000F4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EFD6" w14:textId="77777777" w:rsidR="000F4EC2" w:rsidRDefault="000F4EC2">
      <w:pPr>
        <w:spacing w:line="240" w:lineRule="auto"/>
      </w:pPr>
      <w:r>
        <w:separator/>
      </w:r>
    </w:p>
  </w:footnote>
  <w:footnote w:type="continuationSeparator" w:id="0">
    <w:p w14:paraId="4F383414" w14:textId="77777777" w:rsidR="000F4EC2" w:rsidRDefault="000F4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715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0F4EC2"/>
    <w:rsid w:val="002975C1"/>
    <w:rsid w:val="00355F1F"/>
    <w:rsid w:val="00947DDF"/>
    <w:rsid w:val="00A9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George</dc:creator>
  <cp:lastModifiedBy>Chris George A. Njikonye</cp:lastModifiedBy>
  <cp:revision>2</cp:revision>
  <dcterms:created xsi:type="dcterms:W3CDTF">2023-01-27T15:21:00Z</dcterms:created>
  <dcterms:modified xsi:type="dcterms:W3CDTF">2023-01-27T15:21:00Z</dcterms:modified>
</cp:coreProperties>
</file>