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FirstParagraph"/>
      </w:pPr>
      <w:r>
        <w:t xml:space="preserve">Nombre del Juego:</w:t>
      </w:r>
      <w:r>
        <w:t xml:space="preserve"> </w:t>
      </w:r>
      <w:r>
        <w:t xml:space="preserve">“Críticos Intrépidos”</w:t>
      </w:r>
    </w:p>
    <w:p>
      <w:pPr>
        <w:pStyle w:val="BodyText"/>
      </w:pPr>
      <w:r>
        <w:t xml:space="preserve">Descripción</w:t>
      </w:r>
    </w:p>
    <w:p>
      <w:pPr>
        <w:pStyle w:val="BodyText"/>
      </w:pPr>
      <w:r>
        <w:t xml:space="preserve">“Críticos Intrépidos”</w:t>
      </w:r>
      <w:r>
        <w:t xml:space="preserve"> </w:t>
      </w:r>
      <w:r>
        <w:t xml:space="preserve">es un juego educativo diseñado para desarrollar las habilidades de lectura crítica de los estudiantes a través de la interacción y el análisis de textos. Utilizando fragmentos de literatura, artículos o ensayos, los alumnos trabajan en grupos para discernir, cuestionar y argumentar el significado y la intención del autor. Este juego no solo fomenta el pensamiento crítico, sino también el trabajo en equipo y la comunicación efectiva.</w:t>
      </w:r>
    </w:p>
    <w:p>
      <w:pPr>
        <w:pStyle w:val="BodyText"/>
      </w:pPr>
      <w:r>
        <w:t xml:space="preserve">Materiales Necesarios</w:t>
      </w:r>
    </w:p>
    <w:p>
      <w:pPr>
        <w:pStyle w:val="BodyText"/>
      </w:pPr>
      <w:r>
        <w:t xml:space="preserve">Hojas de papel en blanco (una por grupo)</w:t>
      </w:r>
      <w:r>
        <w:t xml:space="preserve"> </w:t>
      </w:r>
      <w:r>
        <w:t xml:space="preserve">Bolígrafo o lápiz (uno por grupo)</w:t>
      </w:r>
      <w:r>
        <w:t xml:space="preserve"> </w:t>
      </w:r>
      <w:r>
        <w:t xml:space="preserve">Reloj o cronómetro (opcional)</w:t>
      </w:r>
      <w:r>
        <w:t xml:space="preserve"> </w:t>
      </w:r>
      <w:r>
        <w:t xml:space="preserve">Fragmentos de texto (pueden ser seleccionados por el profesor)</w:t>
      </w:r>
      <w:r>
        <w:t xml:space="preserve"> </w:t>
      </w:r>
      <w:r>
        <w:t xml:space="preserve">Pizarra o rotafolio (para las presentaciones finales)</w:t>
      </w:r>
    </w:p>
    <w:p>
      <w:pPr>
        <w:pStyle w:val="BodyText"/>
      </w:pPr>
      <w:r>
        <w:t xml:space="preserve">Preparación del Juego</w:t>
      </w:r>
    </w:p>
    <w:p>
      <w:pPr>
        <w:pStyle w:val="BodyText"/>
      </w:pPr>
      <w:r>
        <w:t xml:space="preserve">Seleccionar Fragmentos de Texto: El profesor selecciona varios fragmentos de textos que sean relevantes para el nivel de los estudiantes y que contengan diferentes temas, estilos o intenciones del autor.</w:t>
      </w:r>
    </w:p>
    <w:p>
      <w:pPr>
        <w:pStyle w:val="BodyText"/>
      </w:pPr>
      <w:r>
        <w:t xml:space="preserve">Formar Grupos: Dividir a los estudiantes en grupos de 4 o 5 miembros.</w:t>
      </w:r>
    </w:p>
    <w:p>
      <w:pPr>
        <w:pStyle w:val="BodyText"/>
      </w:pPr>
      <w:r>
        <w:t xml:space="preserve">Entregar Materiales: Proporcionar a cada grupo una hoja de papel y un bolígrafo.</w:t>
      </w:r>
    </w:p>
    <w:p>
      <w:pPr>
        <w:pStyle w:val="BodyText"/>
      </w:pPr>
      <w:r>
        <w:t xml:space="preserve">Explicar el Juego: Informar a los estudiantes sobre las reglas del juego y los objetivos.</w:t>
      </w:r>
    </w:p>
    <w:p>
      <w:pPr>
        <w:pStyle w:val="BodyText"/>
      </w:pPr>
      <w:r>
        <w:t xml:space="preserve">Instrucciones para Jugar</w:t>
      </w:r>
    </w:p>
    <w:p>
      <w:pPr>
        <w:pStyle w:val="BodyText"/>
      </w:pPr>
      <w:r>
        <w:t xml:space="preserve">Distribuir los Textos: Cada grupo recibe un fragmento de texto diferente para analizar.</w:t>
      </w:r>
    </w:p>
    <w:p>
      <w:pPr>
        <w:pStyle w:val="BodyText"/>
      </w:pPr>
      <w:r>
        <w:t xml:space="preserve">Tiempo de Análisis: Dar a los grupos 15-20 minutos para leer y discutir su texto. Deben identificar la idea principal, el propósito del autor, los argumentos utilizados y cualquier elemento literario notable.</w:t>
      </w:r>
    </w:p>
    <w:p>
      <w:pPr>
        <w:pStyle w:val="BodyText"/>
      </w:pPr>
      <w:r>
        <w:t xml:space="preserve">Preparar la Presentación: Una vez que han analizado el texto, los grupos trabajan juntos para preparar una breve presentación (5 minutos) en la que expongan sus hallazgos y argumenten sobre la efectividad del texto.</w:t>
      </w:r>
    </w:p>
    <w:p>
      <w:pPr>
        <w:pStyle w:val="BodyText"/>
      </w:pPr>
      <w:r>
        <w:t xml:space="preserve">Presentaciones: Cada grupo presenta su texto y análisis al resto de la clase. Los demás estudiantes pueden realizar preguntas y ofrecer comentarios.</w:t>
      </w:r>
    </w:p>
    <w:p>
      <w:pPr>
        <w:pStyle w:val="BodyText"/>
      </w:pPr>
      <w:r>
        <w:t xml:space="preserve">Debate Final: Después de todas las presentaciones, se abre un debate en el que los estudiantes pueden discutir las diferentes perspectivas sobre los textos presentados, estimulando la discusión y la crítica.</w:t>
      </w:r>
    </w:p>
    <w:p>
      <w:pPr>
        <w:pStyle w:val="BodyText"/>
      </w:pPr>
      <w:r>
        <w:t xml:space="preserve">Reflexión: Al final del juego, se les pide a los estudiantes que escriban una breve reflexión sobre lo que aprendieron y cómo mejorarían su lectura crítica en futuras actividades.</w:t>
      </w:r>
    </w:p>
    <w:p>
      <w:pPr>
        <w:pStyle w:val="BodyText"/>
      </w:pPr>
      <w:r>
        <w:t xml:space="preserve">Con este juego, los estudiantes no solo desarrollarán habilidades de lectura crítica, sino también habilidades de comunicación y colaboración, esenciales para su futuro académico y profesional.</w:t>
      </w:r>
    </w:p>
    <w:sectPr w:rsidR="00FC693F" w:rsidRPr="0006063C" w:rsidSect="00034616">
      <w:headerReference w:type="first" r:id="rId9"/>
      <w:footerReference w:type="first" r:id="rId10"/>
      <w:footerReference w:type="default" r:id="rId11"/>
      <w:pgSz w:w="12240" w:h="15840"/>
      <w:pgMar w:top="1440" w:right="1800" w:bottom="1440" w:left="180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ind w:right="-737" w:left="-850"/>
    </w:pPr>
    <w:r/>
    <w:r>
      <w:tab/>
      <w:tab/>
    </w:r>
    <w:r>
      <w:rPr>
        <w:b/>
        <w:color w:val="77C7C1"/>
        <w:sz w:val="20"/>
      </w:rPr>
      <w:t>Teachy</w:t>
    </w: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ind w:right="-737" w:left="-850"/>
    </w:pPr>
    <w:r>
      <w:drawing>
        <wp:inline xmlns:a="http://schemas.openxmlformats.org/drawingml/2006/main" xmlns:pic="http://schemas.openxmlformats.org/drawingml/2006/picture">
          <wp:extent cx="274320" cy="548640"/>
          <wp:docPr id="2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masco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548640"/>
                  </a:xfrm>
                  <a:prstGeom prst="rect"/>
                </pic:spPr>
              </pic:pic>
            </a:graphicData>
          </a:graphic>
        </wp:inline>
      </w:drawing>
    </w:r>
    <w:r>
      <w:tab/>
      <w:tab/>
    </w:r>
    <w:r>
      <w:rPr>
        <w:b/>
        <w:color w:val="77C7C1"/>
        <w:sz w:val="20"/>
      </w:rPr>
      <w:t>Teachy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Paragraph"/>
      <w:ind w:right="-850"/>
    </w:pPr>
    <w:r>
      <w:drawing>
        <wp:inline xmlns:a="http://schemas.openxmlformats.org/drawingml/2006/main" xmlns:pic="http://schemas.openxmlformats.org/drawingml/2006/picture">
          <wp:extent cx="4528800" cy="932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" name="header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28800" cy="932400"/>
                  </a:xfrm>
                  <a:prstGeom prst="rect"/>
                </pic:spPr>
              </pic:pic>
            </a:graphicData>
          </a:graphic>
        </wp:inline>
      </w:drawing>
    </w:r>
    <w:r>
      <w:tab/>
    </w:r>
    <w:r>
      <w:rPr>
        <w:color w:val="0082F8"/>
      </w:rPr>
      <w:t>Teachy</w:t>
    </w:r>
  </w:p>
  <w:p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ato" w:hAnsi="Lato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erParagraph">
    <w:name w:val="HeaderParagraph"/>
    <w:basedOn w:val="Header"/>
    <w:pPr>
      <w:ind w:left="-1800" w:right="0"/>
    </w:pPr>
    <w:rPr>
      <w:rFonts w:ascii="Lato" w:hAnsi="Lato"/>
      <w:sz w:val="26"/>
    </w:rPr>
  </w:style>
  <w:style w:type="paragraph" w:customStyle="1" w:styleId="ListParagraph">
    <w:name w:val="ListParagraph"/>
    <w:basedOn w:val="Normal"/>
    <w:rPr>
      <w:rFonts w:ascii="Nunito" w:hAnsi="Nunito"/>
      <w:sz w:val="16"/>
    </w:rPr>
  </w:style>
  <w:style w:customStyle="1" w:styleId="FirstParagraph" w:type="paragraph">
    <w:name w:val="First Paragraph"/>
    <w:basedOn w:val="BodyText"/>
    <w:next w:val="BodyText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