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Quito a, 3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0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 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junio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INFORME DE CONFORMIDAD QUE PRESENTA EL ING. CHRISTIAN RUIZ SOBRE LA </w:t>
      </w:r>
      <w:r>
        <w:rPr>
          <w:rFonts w:hint="default"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>SÉPTIMA</w:t>
      </w:r>
      <w:r>
        <w:rPr>
          <w:rFonts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cs="Arial"/>
          <w:b/>
          <w:sz w:val="20"/>
          <w:szCs w:val="20"/>
        </w:rPr>
        <w:t>ENTREGA PARCIAL DEL CONTRATO 2019-127-HE-1-ASEJ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Arial" w:hAnsi="Arial" w:cs="Arial"/>
          <w:b/>
          <w:sz w:val="20"/>
          <w:szCs w:val="20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de suscripción </w:t>
      </w:r>
      <w:r>
        <w:rPr>
          <w:rFonts w:ascii="Verdana" w:hAnsi="Verdana"/>
          <w:b/>
          <w:color w:val="E46C0A" w:themeColor="accent6" w:themeShade="BF"/>
          <w:sz w:val="18"/>
          <w:szCs w:val="18"/>
        </w:rPr>
        <w:t>29 De Noviembre De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DESARROLLO.-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Departamento de Tecnologías de la Información y Comunicaciones del HE-1, brinda un servicio de Internet corporativo óptimo de calidad al usuario interno y externo,  con la empresa CNT, de acuerdo al siguiente detalle: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JUNIO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RECOMENDACIONES.-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 realicen las actas de entrega-recepción para continuar con los trámites administrativos, a fin de realizar el pago  correspondiente del servicio de Internet por parte del HE-1 a la empresa CNT  EP por el 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JUNIO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 xml:space="preserve">, de acuerdo a los valores que constan en las facturas adjuntas y que se acordaron en el contrato No. </w:t>
      </w:r>
      <w:r>
        <w:rPr>
          <w:rFonts w:ascii="Verdana" w:hAnsi="Verdana"/>
          <w:b/>
          <w:color w:val="000000"/>
          <w:sz w:val="18"/>
          <w:szCs w:val="18"/>
        </w:rPr>
        <w:t xml:space="preserve">2019-127-HE-1-ASEJ, 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color w:val="000000"/>
          <w:sz w:val="18"/>
          <w:szCs w:val="18"/>
        </w:rPr>
        <w:t>CONTRATACIÓN DEL SERVICIO DE INTERNET CORPORATIVO CON 2 CANALES INDEPENDIENTES DE 90 Y 13 MBPS DE  ANCHO DE BANDA CLEAR CHANNEL, 1 ENLACE DE DATOS DEDICADO DE 15MB, 3 ZONAS DE INTERNET FIJO Y  3 SERVICIOS DE INTERNET MÓVIL INALÁMBRICO, PARA EL HE-1</w:t>
      </w:r>
      <w:r>
        <w:rPr>
          <w:rFonts w:ascii="Verdana" w:hAnsi="Verdana"/>
          <w:color w:val="000000"/>
          <w:sz w:val="18"/>
          <w:szCs w:val="18"/>
        </w:rPr>
        <w:t>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tabs>
          <w:tab w:val="left" w:pos="420"/>
        </w:tabs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ab/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ING. CHRISTIAN RUIZ B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ADMINISTRADOR DEL CONTRATO 2019-127-HE-1-ASEJ.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r>
        <w:rPr>
          <w:rFonts w:ascii="Verdana" w:hAnsi="Verdana" w:cs="Tahoma"/>
          <w:sz w:val="18"/>
          <w:szCs w:val="18"/>
        </w:rPr>
        <w:t xml:space="preserve">         </w:t>
      </w:r>
    </w:p>
    <w:p/>
    <w:p/>
    <w:p/>
    <w:p/>
    <w:p/>
    <w:p/>
    <w:p/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25D34"/>
    <w:multiLevelType w:val="multilevel"/>
    <w:tmpl w:val="26025D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13"/>
    <w:rsid w:val="00012911"/>
    <w:rsid w:val="000715B7"/>
    <w:rsid w:val="000901D5"/>
    <w:rsid w:val="000E6E81"/>
    <w:rsid w:val="00151979"/>
    <w:rsid w:val="001D16E3"/>
    <w:rsid w:val="001D692C"/>
    <w:rsid w:val="001E6E02"/>
    <w:rsid w:val="0032366A"/>
    <w:rsid w:val="003A6DC6"/>
    <w:rsid w:val="004F762B"/>
    <w:rsid w:val="00587BD3"/>
    <w:rsid w:val="005C028B"/>
    <w:rsid w:val="0060310D"/>
    <w:rsid w:val="006255F3"/>
    <w:rsid w:val="0064493D"/>
    <w:rsid w:val="006514F4"/>
    <w:rsid w:val="00767CD6"/>
    <w:rsid w:val="008E61CE"/>
    <w:rsid w:val="00A33749"/>
    <w:rsid w:val="00A5307E"/>
    <w:rsid w:val="00EB5113"/>
    <w:rsid w:val="00F61A96"/>
    <w:rsid w:val="1FD614A7"/>
    <w:rsid w:val="2A21268D"/>
    <w:rsid w:val="406214B6"/>
    <w:rsid w:val="7AA2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table" w:styleId="9">
    <w:name w:val="Table Grid"/>
    <w:basedOn w:val="8"/>
    <w:qFormat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6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709</Words>
  <Characters>3903</Characters>
  <Lines>32</Lines>
  <Paragraphs>9</Paragraphs>
  <TotalTime>49</TotalTime>
  <ScaleCrop>false</ScaleCrop>
  <LinksUpToDate>false</LinksUpToDate>
  <CharactersWithSpaces>4603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2020-02-12T13:36:00Z</dcterms:created>
  <dc:creator>Carlos Zapata</dc:creator>
  <cp:lastModifiedBy>CHRISTIAN REINALDO RUIZ</cp:lastModifiedBy>
  <cp:lastPrinted>2020-03-09T16:03:00Z</cp:lastPrinted>
  <dcterms:modified xsi:type="dcterms:W3CDTF">2020-07-07T15:07:13Z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3082-11.2.0.9453</vt:lpwstr>
  </property>
</Properties>
</file>