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 w:firstLineChars="0"/>
        <w:jc w:val="center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drawing>
          <wp:inline distT="114300" distB="114300" distL="114300" distR="114300">
            <wp:extent cx="847725" cy="737235"/>
            <wp:effectExtent l="0" t="0" r="0" b="0"/>
            <wp:docPr id="1" name="image1.png" descr="HOSPITAL DE ESPECIALIDAD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SPITAL DE ESPECIALIDADES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82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COMANDO CONJUNTO DE LAS FF. AA</w:t>
      </w:r>
    </w:p>
    <w:p>
      <w:pPr>
        <w:jc w:val="center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HOSPITAL DE ESPECIALIDADES FUERZAS ARMADAS No. 1 </w:t>
      </w:r>
    </w:p>
    <w:p>
      <w:pPr>
        <w:jc w:val="center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ACTA DE ENTREGA RECEPCIÓN</w:t>
      </w:r>
      <w:r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 TOTAL</w:t>
      </w:r>
    </w:p>
    <w:p>
      <w:pPr>
        <w:jc w:val="center"/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 ,</w:t>
      </w: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1. COMPARECIENTES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Comparecen a la celebración del </w:t>
      </w:r>
      <w:r>
        <w:rPr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ACTA ENTREGA RECEPCIÓN</w:t>
      </w: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TOTAL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del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por una parte la Comisión de Recepción designada por el Señor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GENERAL DE BRIGADA DE EMC MANOLO HERN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Á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NDEZ GUIJARRO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DIRECTOR GENERAL DEL HOSPITAL DE ESPECIALIDADES FUERZAS ARMADAS No 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conformada por las siguientes personas: el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MAYOR DE COM. ROMMEL FIERRO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(ADMINISTRADOR DEL CONTRATO),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ING.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CHRISTIAN RUIZ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(Técnico Designado)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y 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por otra parte la señorita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ERIKA PAOLA PULLAS AGUILAR,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REPRESENTANTE LEGAL </w:t>
      </w:r>
      <w:r>
        <w:rPr>
          <w:rFonts w:hint="default"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de la empresa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REFUNDATION CONSULTING ASESORIA INFORMATICA CIA. LTDA.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, para realizar el Acta Entrega Recepción de los servicios del objeto del contrato bajo los parámetros determinados en el Art. 124 del Reglamento de la LOSNCP.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2. ANTECEDENTES 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Mediante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RESOLUCIÓN NO.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2015-169-HE-1-ASEJ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-001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el Señor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CRNL. DE EM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C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. CARLOS ORTÍZ AGUIRRE, DIRECTOR GENERAL DEL HOSPITAL DE ESPECIALIDADES FUERZAS ARMADAS No 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; designó  como Administrador del </w:t>
      </w:r>
      <w:r>
        <w:rPr>
          <w:rFonts w:hint="default"/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al Sr.l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MAYOR DE COM. DIELO JIMÉNEZ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(ADMINISTRADOR DEL CONTRATO, denominado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CONTRATACIÓN DE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Mediante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RESOLUCIÓN NO.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2015-169-HE-1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-ASEJ-002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el Señor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CRNL. EMC. 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MARCO VINICIO ÁLVAREZ </w:t>
      </w: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LASCANO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DIRECTOR GENERAL DEL HOSPITAL DE ESPECIALIDADES FUERZAS ARMADAS No 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; designó la comisión técnica integrada por las siguientes personas: el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MAYO. DE COM. 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DIELO JIMÉNEZ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(ADMINISTRADOR DEL CONTRATO),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SGOP CARLOS ZAPATA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(TÉCNICO DESIGNADO)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e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ING. CHRISTIAN RUIZ(TÉCNICO DESIGNADO)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para que realicen la verificación y recepción del objeto del </w:t>
      </w:r>
      <w:r>
        <w:rPr>
          <w:rFonts w:hint="default"/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denominado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Mediante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RESOLUCIÓN Nº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2015-169-HE-1-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003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el Señor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GENERAL DE BRIGADA DE EMC MANOLO HERN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Á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NDEZ GUIJARRO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DIRECTOR GENERAL DEL HOSPITAL DE ESPECIALIDADES FUERZAS ARMADAS No 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resuelve nombrar a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MAYO. DE COM. 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ROMMEL FIERRO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(ADMINISTRADOR DEL CONTRATO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,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e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ING. CHRISTIAN RUIZ(TÉCNICO DESIGNADO)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 para que realicen la verificación y recepción del objeto del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denominado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 Oficio No. s/n, de fecha 0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de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septiembre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del 20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suscrita por la empresa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REFUNDATION CONSULTING ASESORIA INFORMATICA CIA. LTDA.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solicita al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GENERAL DE BRIGADA DE EMC MANOLO HERN</w:t>
      </w:r>
      <w:r>
        <w:rPr>
          <w:rFonts w:hint="default"/>
          <w:b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Á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NDEZ GUIJARRO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</w:t>
      </w: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DIRECTOR GENERAL DEL HOSPITAL DE ESPECIALIDADES FUERZAS ARMADAS No 1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la designación de la Comisión Técnica para la recepción del </w:t>
      </w:r>
      <w:r>
        <w:rPr>
          <w:rFonts w:hint="default"/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</w:t>
      </w:r>
      <w:r>
        <w:rPr>
          <w:rFonts w:hint="default"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Según el informe de conformidad emitido el 7 de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octubre 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de 20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se recomienda proceder con el pago respectivo como parte del cumplimiento del contrato antes mencionado.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3. CONDICIONES GENERALES DE EJECUCIÓN Y CUMPLIMIENTO DEL CONTRATO </w:t>
      </w:r>
    </w:p>
    <w:p>
      <w:pPr>
        <w:jc w:val="both"/>
        <w:rPr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El día 7 de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octubre 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del 20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, a las 11:00 en las instalaciones del Hospital de Especialidades Fuerzas Armadas No. 1, ubicado en la Av. Queseras del Medio 521 y Av, Gran Colombia, en unidad de acto la Comisión de Recepción del objeto del </w:t>
      </w:r>
      <w:r>
        <w:rPr>
          <w:rFonts w:hint="default"/>
          <w:b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 proceden a la suscripción del acta de </w:t>
      </w:r>
      <w:r>
        <w:rPr>
          <w:b/>
          <w:bCs/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ENTREGA RECEPCIÓN </w:t>
      </w: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TOTAL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 xml:space="preserve">Una vez que se ha implantado </w:t>
      </w:r>
      <w:r>
        <w:rPr>
          <w:rFonts w:hint="default"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 xml:space="preserve">los servidores y cumplido con todos los requerimientos en el </w:t>
      </w:r>
      <w:r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  <w:t>HE-1 en los centros de datos principales y secundarios, objeto de la presente contratación y en vista de que la empresa ha dado cumplimiento a los términos de referencia y características técnicas; estos se recibieron en el Departamento de Tecnologías de la    Información y Comunicaciones del HE-1, ubicadas en la AV. Queseras del Medio 521 y AV. Gran Colombia de la ciudad de Quito en las siguientes cantidades y características.</w:t>
      </w: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HARDWARE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9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DESCRIPCION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CANTIDAD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UNITARIO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Cuchilla Len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vo HS23, con dos procesadores Inte! Xeon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C. E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-2650v2 2.6GHz, 12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GB memoria RAM, Dos discos 300GB SAS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K, tarjeta para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conexión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fibra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GB 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$19.000,00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$57.000,00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Servidor Le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novo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X3650m5 Pr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cesador Intel Xeon 6C. 12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GB memoria RAM, 8 Discos 900GB SAS 10K Rpm, Fuente Redundante, t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arjeta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para conexión de fibra óptica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$14.634,00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$14.634,00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TOTAL HARDWARE: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$71.634,00</w:t>
            </w:r>
          </w:p>
        </w:tc>
      </w:tr>
    </w:tbl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SOFTWARE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9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DESCRIPCION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CANTIDAD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UNITARIO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VMware vSphere 6 with Operations Management Standard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or 1 processor, soporte directamente del Fabricante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x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por un año 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$2.695,00</w:t>
            </w:r>
          </w:p>
        </w:tc>
        <w:tc>
          <w:tcPr>
            <w:tcW w:w="1421" w:type="dxa"/>
          </w:tcPr>
          <w:p>
            <w:pPr>
              <w:widowControl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$18.865,00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TOTAL SOFTWARE: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n-U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Arial"/>
                <w:color w:val="000000" w:themeColor="text1"/>
                <w:sz w:val="14"/>
                <w:szCs w:val="14"/>
                <w:vertAlign w:val="baseline"/>
                <w:lang w:val="en-US" w:eastAsia="es-ES" w:bidi="ar-SA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$18.865,00</w:t>
            </w:r>
          </w:p>
        </w:tc>
      </w:tr>
    </w:tbl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4"/>
          <w:szCs w:val="14"/>
          <w:lang w:val="es-ES"/>
          <w14:textFill>
            <w14:solidFill>
              <w14:schemeClr w14:val="tx1"/>
            </w14:solidFill>
          </w14:textFill>
        </w:rPr>
        <w:t>MANTENIMIENTO</w:t>
      </w: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9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DESCRIPCION</w:t>
            </w:r>
          </w:p>
        </w:tc>
        <w:tc>
          <w:tcPr>
            <w:tcW w:w="142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CANTIDAD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UNITARIO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center"/>
              <w:rPr>
                <w:rFonts w:hint="default" w:ascii="Arial" w:hAnsi="Arial" w:eastAsia="Arial" w:cs="Arial"/>
                <w:b/>
                <w:bCs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COSTO 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1er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(2016)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699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2do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(2017)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699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3er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(2018)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$2,000,00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$2.000,00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</w:tcPr>
          <w:p>
            <w:pPr>
              <w:widowControl w:val="0"/>
              <w:jc w:val="both"/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>Mantenimiento preventivo durante el 5to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(2020)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1421" w:type="dxa"/>
          </w:tcPr>
          <w:p>
            <w:pPr>
              <w:widowControl w:val="0"/>
              <w:wordWrap w:val="0"/>
              <w:jc w:val="right"/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$2,000,00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$2.000,00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9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TOTAL MANTENIMIENTO: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Arial"/>
                <w:color w:val="000000" w:themeColor="text1"/>
                <w:sz w:val="14"/>
                <w:szCs w:val="14"/>
                <w:vertAlign w:val="baseline"/>
                <w:lang w:val="en-US" w:eastAsia="es-ES" w:bidi="ar-SA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$4.000,00</w:t>
            </w:r>
          </w:p>
        </w:tc>
        <w:tc>
          <w:tcPr>
            <w:tcW w:w="1421" w:type="dxa"/>
            <w:vAlign w:val="top"/>
          </w:tcPr>
          <w:p>
            <w:pPr>
              <w:widowControl w:val="0"/>
              <w:jc w:val="right"/>
              <w:rPr>
                <w:rFonts w:hint="default" w:ascii="Arial" w:hAnsi="Arial" w:eastAsia="Arial" w:cs="Arial"/>
                <w:color w:val="000000" w:themeColor="text1"/>
                <w:sz w:val="14"/>
                <w:szCs w:val="14"/>
                <w:vertAlign w:val="baseline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$4.000,00</w:t>
            </w:r>
          </w:p>
        </w:tc>
      </w:tr>
    </w:tbl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4"/>
          <w:szCs w:val="1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La Comisión Técnica de Recepción del </w:t>
      </w:r>
      <w:r>
        <w:rPr>
          <w:rFonts w:hint="default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 objeto del presente contrato, ha sido entregado por el CONTRATISTA cumple con términos de referencia y características técnicas y la cantidad contemplada en el referido contrato.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4. LIQUIDACIÓN ECONÓMICA</w:t>
      </w:r>
    </w:p>
    <w:p>
      <w:pPr>
        <w:jc w:val="both"/>
        <w:rPr>
          <w:b/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 valor d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e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l contrato que la CONTRATANTE pagará al CONTRATISTA, es el valor 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otal de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USD 94.499,00 (NOVENTA Y CUATRO MIL CUATROCIENTOS NOVENTA Y NUEVE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ÓLARES DE LOS ESTADOS UNIDOS DE AMÉRICA CON 00/100 CENTAVOS) sin incluir IVA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de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onformidad con los términos establecidos en los pliegos del proceso, en razón de que cumple en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odos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us requerimientos de esta casa de salud, valor que se desglosa come se indica a continuación:</w:t>
      </w:r>
    </w:p>
    <w:p>
      <w:pPr>
        <w:jc w:val="both"/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EQUIPO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>: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tbl>
      <w:tblPr>
        <w:tblStyle w:val="30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HARDWARE Y SOFTWARE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$ </w:t>
            </w: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90.499,00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LA ENTREGA, DEL SERVICIO DE 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MANTENIMIENTO</w:t>
      </w:r>
      <w:r>
        <w:rPr>
          <w:rFonts w:hint="default"/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DE FABRICA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/>
          <w:bCs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2016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OBJETO DE LA CONTRATACIÓN, CORRESPONDE A:</w:t>
      </w:r>
    </w:p>
    <w:tbl>
      <w:tblPr>
        <w:tblStyle w:val="31"/>
        <w:tblpPr w:leftFromText="180" w:rightFromText="180" w:vertAnchor="text" w:horzAnchor="page" w:tblpXSpec="center" w:tblpY="196"/>
        <w:tblOverlap w:val="never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 PREVENTIVO, CORRECTIVO Y SOPORTE ANUAL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LA ENTREGA, DEL SERVICIO DE 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MANTENIMIENTO</w:t>
      </w:r>
      <w:r>
        <w:rPr>
          <w:rFonts w:hint="default"/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DE FABRICA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/>
          <w:bCs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2017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OBJETO DE LA CONTRATACIÓN, CORRESPONDE A:</w:t>
      </w:r>
    </w:p>
    <w:tbl>
      <w:tblPr>
        <w:tblStyle w:val="31"/>
        <w:tblpPr w:leftFromText="180" w:rightFromText="180" w:vertAnchor="text" w:horzAnchor="page" w:tblpXSpec="center" w:tblpY="196"/>
        <w:tblOverlap w:val="never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 PREVENTIVO, CORRECTIVO Y SOPORTE ANUAL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LA ENTREGA, DEL SERVICIO DE 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MANTENIMIENTO</w:t>
      </w:r>
      <w:r>
        <w:rPr>
          <w:rFonts w:hint="default"/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DE FABRICA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(</w:t>
      </w:r>
      <w:r>
        <w:rPr>
          <w:rFonts w:hint="default"/>
          <w:b/>
          <w:bCs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2018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OBJETO DE LA CONTRATACIÓN, CORRESPONDE A:</w:t>
      </w:r>
    </w:p>
    <w:tbl>
      <w:tblPr>
        <w:tblStyle w:val="31"/>
        <w:tblpPr w:leftFromText="180" w:rightFromText="180" w:vertAnchor="text" w:horzAnchor="page" w:tblpXSpec="center" w:tblpY="196"/>
        <w:tblOverlap w:val="never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 PREVENTIVO, CORRECTIVO Y SOPORTE ANUAL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$0,00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LA ENTREGA, DEL SERVICIO DE 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MANTENIMIENTO(</w:t>
      </w:r>
      <w:r>
        <w:rPr>
          <w:rFonts w:hint="default"/>
          <w:b/>
          <w:bCs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2019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OBJETO DE LA CONTRATACIÓN, CORRESPONDE A:</w:t>
      </w:r>
    </w:p>
    <w:tbl>
      <w:tblPr>
        <w:tblStyle w:val="31"/>
        <w:tblpPr w:leftFromText="180" w:rightFromText="180" w:vertAnchor="text" w:horzAnchor="page" w:tblpXSpec="center" w:tblpY="196"/>
        <w:tblOverlap w:val="never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 PREVENTIVO, CORRECTIVO Y SOPORTE ANUAL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$ 2</w:t>
            </w: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000,00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LA ENTREGA, DEL SERVICIO DE 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MANTENIMIENTO(</w:t>
      </w:r>
      <w:r>
        <w:rPr>
          <w:rFonts w:hint="default"/>
          <w:b/>
          <w:bCs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2020</w:t>
      </w:r>
      <w:r>
        <w:rPr>
          <w:rFonts w:hint="default"/>
          <w:color w:val="000000" w:themeColor="text1"/>
          <w:sz w:val="16"/>
          <w:szCs w:val="16"/>
          <w:u w:val="single"/>
          <w:lang w:val="es-ES"/>
          <w14:textFill>
            <w14:solidFill>
              <w14:schemeClr w14:val="tx1"/>
            </w14:solidFill>
          </w14:textFill>
        </w:rPr>
        <w:t>)</w:t>
      </w:r>
      <w:r>
        <w:rPr>
          <w:color w:val="000000" w:themeColor="text1"/>
          <w:sz w:val="16"/>
          <w:szCs w:val="16"/>
          <w:u w:val="single"/>
          <w14:textFill>
            <w14:solidFill>
              <w14:schemeClr w14:val="tx1"/>
            </w14:solidFill>
          </w14:textFill>
        </w:rPr>
        <w:t xml:space="preserve"> OBJETO DE LA CONTRATACIÓN, CORRESPONDE A: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tbl>
      <w:tblPr>
        <w:tblStyle w:val="31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8"/>
        <w:gridCol w:w="2257"/>
        <w:gridCol w:w="2257"/>
        <w:gridCol w:w="22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No. DE ENTREGA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DETALLE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PERIODO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4"/>
                <w:szCs w:val="14"/>
                <w14:textFill>
                  <w14:solidFill>
                    <w14:schemeClr w14:val="tx1"/>
                  </w14:solidFill>
                </w14:textFill>
              </w:rPr>
              <w:t>VALOR SIN INCLUIR IVA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Mantenimiento preventivo durante el 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5to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:lang w:val="es-ES"/>
                <w14:textFill>
                  <w14:solidFill>
                    <w14:schemeClr w14:val="tx1"/>
                  </w14:solidFill>
                </w14:textFill>
              </w:rPr>
              <w:t>(2020)</w:t>
            </w:r>
            <w:r>
              <w:rPr>
                <w:rFonts w:hint="default"/>
                <w:color w:val="000000" w:themeColor="text1"/>
                <w:sz w:val="14"/>
                <w:szCs w:val="14"/>
                <w:vertAlign w:val="baseline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 PREVENTIVO, CORRECTIVO Y SOPORTE ANUAL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$ 2</w:t>
            </w:r>
            <w:r>
              <w:rPr>
                <w:rFonts w:hint="default"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000,00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Al no existir multas el valor que la CONTRATANTE deberá pagar por el </w:t>
      </w:r>
      <w:r>
        <w:rPr>
          <w:rFonts w:hint="default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MANTENIMIENTO PREVENTIVO DURANTE EL </w:t>
      </w:r>
      <w:r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5</w:t>
      </w:r>
      <w:r>
        <w:rPr>
          <w:rFonts w:hint="default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TO AÑO DE VIDA ÚTIL DEL EQUIPAMIENTO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 correspondiente al año 20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20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el valor de 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USD.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2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0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00,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DOS MIL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DÓLARES DE LOS ESTADOS UNIDOS DE AMÉRICA CON 00/100 CENTAVOS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),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sin incluir 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 IVA.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tbl>
      <w:tblPr>
        <w:tblStyle w:val="33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 SUSCRIPCIÓN DEL CONTRATO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8 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de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octubre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2015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EL PLAZO TOTAL DE EJECUCIÓN DEL CONTRATO A PARTIR DE LA  SUSCRIPCIÓN  DEL CONTRATO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ES DE: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lef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1870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)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MIL OCHOCIENTOS SETENTA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DÍAS CONTADOS A PARTIR DE LA SUSCRIPCIÓN DEL CONTRATO.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VIGENCIA DEL CONTRATO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5 AÑOS.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EL PLAZO DE ENTREGA DEL SISTEMA DE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LOS COMPONENTES DE HARDWARE Y SOFTWARE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CUARENTA Y CINCO DIAS 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CALENDARIOS A PARTIR DE LA Y SUSCRIPCIÓN DEL CONTRATO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VALOR TOTAL DEL CONTRATO (SIN INCLUIR EL IVA.)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94.499,00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VALOR DEL EQUIPO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Y SOFTWARE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USD 9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.499,00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VALOR-DEL SOPORTE Y MANTENIMIENTO: DURANTE LA VIDA ÚTIL DEL EQUIPO: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DE FÁBRICA DURANTE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1ER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(2016)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DE FÁBRICA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2DO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(2017)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DE FÁBRICA DURANTE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3ER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(2018)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DURANTE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4TO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(2019)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DURANTE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5TO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(2020)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000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VALOR QUE ASUME CONTRATISTA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MULTA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DÍAS DE MORA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VALOR DE MULTAS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0,00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VALOR DEL M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ANTENIMIENTO PREVENTIVO DURANTE 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5TO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AÑO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(2020)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VIDA ÚTIL DEL EQUIPAMIENTO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USD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2,000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,00</w:t>
            </w:r>
          </w:p>
        </w:tc>
      </w:tr>
    </w:tbl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LIQUIDACIÓN DE PLAZOS</w:t>
      </w:r>
    </w:p>
    <w:p>
      <w:pPr>
        <w:numPr>
          <w:ilvl w:val="0"/>
          <w:numId w:val="0"/>
        </w:num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EL plazo total de ejecución 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del contrato incluido soporte es de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/>
          <w:b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1870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/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MIL OCHOCIENTOS SETENTA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días contados a partir de la suscripción del contrato. La vigencia del contrato es de 5 años.</w:t>
      </w:r>
    </w:p>
    <w:p>
      <w:pPr>
        <w:jc w:val="both"/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 valor d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e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l contrato que la CONTRATANTE pagará al CONTRATISTA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 por los componentes de Hardware y Software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 es de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USD 94.499,00 (NOVENTA Y CUATRO MIL CUATROCIENTOS NOVENTA Y NUEVE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ÓLARES DE LOS ESTADOS UNIDOS DE AMÉRICA CON 00/100 CENTAVOS) sin incluir IVA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de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onformidad con los términos establecidos en los pliegos del proceso, en razón de que cumple en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odos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us requerimientos de esta casa de salud, valor que se desglosa come se indica a continuación: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 valor d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e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l contrato que la CONTRATANTE pagará al CONTRATISTA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 por los Mantenimientos del año 4to(2019)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 es de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USD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000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,00 (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DOS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MIL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ÓLARES DE LOS ESTADOS UNIDOS DE AMÉRICA CON 00/100 CENTAVOS) sin incluir IVA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de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onformidad con los términos establecidos en los pliegos del proceso, en razón de que cumple en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odos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us requerimientos de esta casa de salud, valor que se desglosa come se indica a continuación:</w:t>
      </w:r>
    </w:p>
    <w:p>
      <w:pPr>
        <w:jc w:val="both"/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El valor d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e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l contrato que la CONTRATANTE pagará al CONTRATISTA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 xml:space="preserve"> por los Mantenimientos del año 5to(2020)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 es de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USD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2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000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,00 (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DOS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MIL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ÓLARES DE LOS ESTADOS UNIDOS DE AMÉRICA CON 00/100 CENTAVOS) sin incluir IVA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, de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onformidad con los términos establecidos en los pliegos del proceso, en razón de que cumple en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t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odos </w:t>
      </w:r>
      <w:r>
        <w:rPr>
          <w:rFonts w:hint="default"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s</w:t>
      </w:r>
      <w:r>
        <w:rPr>
          <w:rFonts w:hint="default"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us requerimientos de esta casa de salud, valor que se desglosa come se indica a continuación: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La solicitud de entrega y la</w:t>
      </w: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efectiva del objeto de la contratación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se han realizado dentro del plazo contractual, motivo por el cual 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NO EXISTEN MULTAS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 imputables al CONTRATISTA.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tbl>
      <w:tblPr>
        <w:tblStyle w:val="34"/>
        <w:tblW w:w="9029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 SUSCRIPCIÓN DEL CONTRATO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8 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de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octubre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de 2015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PLAZO TOTAL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DÍAS CALENDARIO A PARTIR DE LA SUSCRIPCIÓN DEL CONTRATO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PLAZO PARA LA IMPLANTACIÓN Y ENTREGA DEL 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EQUIPO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 xml:space="preserve"> DÍAS CALENDARIO A PARTIR DE LA SUSCRIPCIÓN DEL CONTRATO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VIGENCIA DEL CONTRATO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5 AÑOS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PLAZO PARA ENTREGA DEL SOPORTE y MANTENIMIENTO PARCIAL (ANUAL)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</w:tabs>
              <w:spacing w:line="240" w:lineRule="auto"/>
              <w:ind w:left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TRES AÑOS(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MANTENIMIENTO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DE FABRICA)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2016 (21-Nov-2016)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2017 (21-Nov-2017)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2018 (21-Nov-2018)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</w:tabs>
              <w:spacing w:line="240" w:lineRule="auto"/>
              <w:ind w:left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DOS AÑOS SOPORTE Y MANTENIMIENTO REALIZADOS POR </w:t>
            </w:r>
            <w:r>
              <w:rPr>
                <w:rFonts w:hint="default"/>
                <w:b/>
                <w:bCs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REFUNDATION CONSULTING ASESORIA INFORMATICA CIA. LTDA.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2019 (21-Nov-2019) </w:t>
            </w:r>
          </w:p>
          <w:p>
            <w:pPr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220"/>
                <w:tab w:val="clear" w:pos="420"/>
              </w:tabs>
              <w:spacing w:line="240" w:lineRule="auto"/>
              <w:ind w:left="420" w:leftChars="0" w:hanging="420" w:firstLineChars="0"/>
              <w:jc w:val="both"/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2020 (20-Nov-2020)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DEL MANTENIMIENTO (20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12"/>
                <w:szCs w:val="12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21-Nov-2016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DEL MANTENIMIENTO (20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12"/>
                <w:szCs w:val="12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18-Nov-2017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DEL MANTENIMIENTO (20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12"/>
                <w:szCs w:val="12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06-Oct-2018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DEL MANTENIMIENTO (20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12"/>
                <w:szCs w:val="12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05-Nov-2019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ascii="Arial" w:hAnsi="Arial" w:eastAsia="Arial" w:cs="Arial"/>
                <w:b/>
                <w:color w:val="000000" w:themeColor="text1"/>
                <w:sz w:val="12"/>
                <w:szCs w:val="12"/>
                <w:lang w:val="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FECHA DEL MANTENIMIENTO (20</w:t>
            </w:r>
            <w:r>
              <w:rPr>
                <w:rFonts w:hint="default"/>
                <w:b/>
                <w:color w:val="000000" w:themeColor="text1"/>
                <w:sz w:val="12"/>
                <w:szCs w:val="12"/>
                <w:lang w:val="es-ES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both"/>
              <w:rPr>
                <w:rFonts w:hint="default" w:ascii="Arial" w:hAnsi="Arial" w:eastAsia="Arial" w:cs="Arial"/>
                <w:b/>
                <w:color w:val="000000" w:themeColor="text1"/>
                <w:sz w:val="12"/>
                <w:szCs w:val="12"/>
                <w:lang w:val="es-ES" w:eastAsia="es-E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12"/>
                <w:szCs w:val="12"/>
                <w14:textFill>
                  <w14:solidFill>
                    <w14:schemeClr w14:val="tx1"/>
                  </w14:solidFill>
                </w14:textFill>
              </w:rPr>
              <w:t>07-Oct-2020</w:t>
            </w:r>
          </w:p>
        </w:tc>
      </w:tr>
    </w:tbl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6. CONSTANCIA DE RECEPCIÓN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La Comisión Técnica del </w:t>
      </w: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CONTRATO No. 2015-169-HE-1-ASEJ ADQUISICIÓN, INSTALACION Y MANTENIMIENTO DE 3 SERVIDORES LENOVO HS23 (CUCHILLAS), 1 SERVIDOR LENOVO X3650M5, 7 VMWARE VSPHERE 6 WITH OPERATIONS MANAGEMENT STANDARD FOR 1 PROCESSOR Y 7 BASIC SUPPORT/SUBSCRIPTION VMWARE VSPHERE 6 WITH OPERATIONS MANAGEMENT STANDARD FOR 1 YEAR PARA EL HE-1.</w:t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; por encontrarse de acuerdo en los términos de referencia y características técnicas, cantidades, garantías técnicas y demás requerimientos Institucionales. </w:t>
      </w: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Para constancia de aceptación y fiel cumplimiento de lo actuado suscriben la presente ACTA en SEIS ORIGINALES del mismo tenor y efecto.</w:t>
      </w: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MAYO  DE COM. ROMMEL FIERRO</w:t>
      </w: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(ADMINISTRADOR DEL CONTRATO)</w:t>
      </w: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ING. CHRISTIAN RUIZ B.</w:t>
      </w: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 xml:space="preserve">(TÉCNICO 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DESIGNADO</w:t>
      </w: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ING. ERIKA PAOLA PULLAS AGUILAR.</w:t>
      </w: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R</w:t>
      </w:r>
      <w:r>
        <w:rPr>
          <w:rFonts w:hint="default"/>
          <w:b/>
          <w:bCs/>
          <w:color w:val="000000" w:themeColor="text1"/>
          <w:sz w:val="16"/>
          <w:szCs w:val="16"/>
          <w:lang w:val="es-ES"/>
          <w14:textFill>
            <w14:solidFill>
              <w14:schemeClr w14:val="tx1"/>
            </w14:solidFill>
          </w14:textFill>
        </w:rPr>
        <w:t>EPRESENTANTE LEGAL</w:t>
      </w: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REFUNDATION CONSULTING ASESORIA INFORMATICA CIA. LTDA.</w:t>
      </w: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9" w:h="16834"/>
      <w:pgMar w:top="1440" w:right="1080" w:bottom="1440" w:left="1080" w:header="0" w:footer="720" w:gutter="0"/>
      <w:pgNumType w:start="1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  <w:sz w:val="12"/>
        <w:szCs w:val="12"/>
      </w:rPr>
    </w:pPr>
  </w:p>
  <w:p>
    <w:pPr>
      <w:rPr>
        <w:b/>
        <w:sz w:val="12"/>
        <w:szCs w:val="12"/>
      </w:rPr>
    </w:pPr>
  </w:p>
  <w:p>
    <w:pPr>
      <w:rPr>
        <w:b/>
        <w:sz w:val="12"/>
        <w:szCs w:val="12"/>
      </w:rPr>
    </w:pPr>
  </w:p>
  <w:p>
    <w:pPr>
      <w:rPr>
        <w:b/>
        <w:sz w:val="12"/>
        <w:szCs w:val="12"/>
      </w:rPr>
    </w:pPr>
  </w:p>
  <w:p>
    <w:pPr>
      <w:rPr>
        <w:b/>
        <w:sz w:val="8"/>
        <w:szCs w:val="8"/>
      </w:rPr>
    </w:pPr>
  </w:p>
  <w:p>
    <w:pPr>
      <w:rPr>
        <w:b/>
        <w:sz w:val="8"/>
        <w:szCs w:val="8"/>
      </w:rPr>
    </w:pPr>
    <w:r>
      <w:rPr>
        <w:b/>
        <w:sz w:val="8"/>
        <w:szCs w:val="8"/>
      </w:rPr>
      <w:t xml:space="preserve">EL ECUADOR HA SIDO </w:t>
    </w:r>
  </w:p>
  <w:p>
    <w:pPr>
      <w:rPr>
        <w:b/>
        <w:sz w:val="8"/>
        <w:szCs w:val="8"/>
      </w:rPr>
    </w:pPr>
    <w:r>
      <w:rPr>
        <w:b/>
        <w:sz w:val="8"/>
        <w:szCs w:val="8"/>
      </w:rPr>
      <w:t>ES Y SERÁ PAÍS AMAZÓNICO</w:t>
    </w:r>
  </w:p>
  <w:p>
    <w:pPr>
      <w:rPr>
        <w:b/>
        <w:sz w:val="8"/>
        <w:szCs w:val="8"/>
      </w:rPr>
    </w:pPr>
    <w:r>
      <w:rPr>
        <w:b/>
        <w:sz w:val="8"/>
        <w:szCs w:val="8"/>
      </w:rPr>
      <w:t xml:space="preserve">ACTA DE ENTREGA RECEPCIÓN </w:t>
    </w:r>
  </w:p>
  <w:p>
    <w:pPr>
      <w:rPr>
        <w:b/>
        <w:sz w:val="8"/>
        <w:szCs w:val="8"/>
      </w:rPr>
    </w:pPr>
    <w:r>
      <w:rPr>
        <w:b/>
        <w:sz w:val="8"/>
        <w:szCs w:val="8"/>
      </w:rPr>
      <w:t>CONTRATO No. 2015-169-HE-1-ASEJ</w:t>
    </w:r>
  </w:p>
  <w:p>
    <w:pPr>
      <w:rPr>
        <w:b/>
        <w:sz w:val="8"/>
        <w:szCs w:val="8"/>
        <w:u w:val="single"/>
      </w:rPr>
    </w:pPr>
    <w:r>
      <w:rPr>
        <w:b/>
        <w:sz w:val="8"/>
        <w:szCs w:val="8"/>
        <w:u w:val="single"/>
      </w:rPr>
      <w:t xml:space="preserve">PÁGINA </w:t>
    </w:r>
    <w:r>
      <w:rPr>
        <w:b/>
        <w:sz w:val="8"/>
        <w:szCs w:val="8"/>
        <w:u w:val="single"/>
      </w:rPr>
      <w:fldChar w:fldCharType="begin"/>
    </w:r>
    <w:r>
      <w:rPr>
        <w:b/>
        <w:sz w:val="8"/>
        <w:szCs w:val="8"/>
        <w:u w:val="single"/>
      </w:rPr>
      <w:instrText xml:space="preserve">PAGE</w:instrText>
    </w:r>
    <w:r>
      <w:rPr>
        <w:b/>
        <w:sz w:val="8"/>
        <w:szCs w:val="8"/>
        <w:u w:val="single"/>
      </w:rPr>
      <w:fldChar w:fldCharType="separate"/>
    </w:r>
    <w:r>
      <w:rPr>
        <w:b/>
        <w:sz w:val="8"/>
        <w:szCs w:val="8"/>
        <w:u w:val="single"/>
      </w:rPr>
      <w:t>15</w:t>
    </w:r>
    <w:r>
      <w:rPr>
        <w:b/>
        <w:sz w:val="8"/>
        <w:szCs w:val="8"/>
        <w:u w:val="single"/>
      </w:rPr>
      <w:fldChar w:fldCharType="end"/>
    </w:r>
  </w:p>
  <w:p>
    <w:pPr>
      <w:rPr>
        <w:b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D984B"/>
    <w:multiLevelType w:val="singleLevel"/>
    <w:tmpl w:val="E11D984B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67E81D39"/>
    <w:multiLevelType w:val="singleLevel"/>
    <w:tmpl w:val="67E81D39"/>
    <w:lvl w:ilvl="0" w:tentative="0">
      <w:start w:val="45"/>
      <w:numFmt w:val="decimal"/>
      <w:suff w:val="space"/>
      <w:lvlText w:val="(%1)"/>
      <w:lvlJc w:val="left"/>
    </w:lvl>
  </w:abstractNum>
  <w:abstractNum w:abstractNumId="2">
    <w:nsid w:val="79C48352"/>
    <w:multiLevelType w:val="singleLevel"/>
    <w:tmpl w:val="79C483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BB"/>
    <w:rsid w:val="00014589"/>
    <w:rsid w:val="00070443"/>
    <w:rsid w:val="000A46A7"/>
    <w:rsid w:val="00161C45"/>
    <w:rsid w:val="001909ED"/>
    <w:rsid w:val="00191669"/>
    <w:rsid w:val="0035471A"/>
    <w:rsid w:val="003C0524"/>
    <w:rsid w:val="00517BC6"/>
    <w:rsid w:val="00522E77"/>
    <w:rsid w:val="005724FC"/>
    <w:rsid w:val="0062497F"/>
    <w:rsid w:val="00635E69"/>
    <w:rsid w:val="007654AD"/>
    <w:rsid w:val="0078295F"/>
    <w:rsid w:val="007C1497"/>
    <w:rsid w:val="007D561B"/>
    <w:rsid w:val="007E1955"/>
    <w:rsid w:val="007E2019"/>
    <w:rsid w:val="00807416"/>
    <w:rsid w:val="00814BB2"/>
    <w:rsid w:val="00836BA7"/>
    <w:rsid w:val="00880522"/>
    <w:rsid w:val="0090631F"/>
    <w:rsid w:val="009427F8"/>
    <w:rsid w:val="009D5C74"/>
    <w:rsid w:val="009E01CF"/>
    <w:rsid w:val="00AD3E25"/>
    <w:rsid w:val="00B222BB"/>
    <w:rsid w:val="00BC0142"/>
    <w:rsid w:val="00D05083"/>
    <w:rsid w:val="00D97CF4"/>
    <w:rsid w:val="00DF5426"/>
    <w:rsid w:val="00E05CBC"/>
    <w:rsid w:val="00E3564B"/>
    <w:rsid w:val="00EC1B21"/>
    <w:rsid w:val="00EE2AF3"/>
    <w:rsid w:val="00F272B7"/>
    <w:rsid w:val="00F936CC"/>
    <w:rsid w:val="00FB5E4C"/>
    <w:rsid w:val="02AA5E0A"/>
    <w:rsid w:val="05D7DCD3"/>
    <w:rsid w:val="0B7B62E1"/>
    <w:rsid w:val="0EBA0945"/>
    <w:rsid w:val="0F186EFA"/>
    <w:rsid w:val="10343742"/>
    <w:rsid w:val="10360002"/>
    <w:rsid w:val="10E449FC"/>
    <w:rsid w:val="14F36B87"/>
    <w:rsid w:val="177139A8"/>
    <w:rsid w:val="193F1B1F"/>
    <w:rsid w:val="1C096D51"/>
    <w:rsid w:val="1C3F3A16"/>
    <w:rsid w:val="1C702DA8"/>
    <w:rsid w:val="1ED65359"/>
    <w:rsid w:val="218C043F"/>
    <w:rsid w:val="2512769F"/>
    <w:rsid w:val="29077A91"/>
    <w:rsid w:val="2F33042F"/>
    <w:rsid w:val="2F6F2BCC"/>
    <w:rsid w:val="305B4706"/>
    <w:rsid w:val="312F2234"/>
    <w:rsid w:val="36784274"/>
    <w:rsid w:val="3B081E97"/>
    <w:rsid w:val="3B6E61FD"/>
    <w:rsid w:val="3CF65355"/>
    <w:rsid w:val="418F1B10"/>
    <w:rsid w:val="427C3E8D"/>
    <w:rsid w:val="46697D51"/>
    <w:rsid w:val="4E592CC0"/>
    <w:rsid w:val="51E62903"/>
    <w:rsid w:val="5A99062C"/>
    <w:rsid w:val="5B6A3749"/>
    <w:rsid w:val="5E532B8F"/>
    <w:rsid w:val="600F1ADB"/>
    <w:rsid w:val="625B5BC4"/>
    <w:rsid w:val="66A7347F"/>
    <w:rsid w:val="6A8E0295"/>
    <w:rsid w:val="6B4920FF"/>
    <w:rsid w:val="6BA7324F"/>
    <w:rsid w:val="6C8D42F9"/>
    <w:rsid w:val="71BB3F7C"/>
    <w:rsid w:val="71F608AD"/>
    <w:rsid w:val="753C65D5"/>
    <w:rsid w:val="771C2470"/>
    <w:rsid w:val="7C0A0F18"/>
    <w:rsid w:val="7CEC1CE6"/>
    <w:rsid w:val="9C9D00E5"/>
    <w:rsid w:val="FE6B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9">
    <w:name w:val="annotation text"/>
    <w:basedOn w:val="1"/>
    <w:link w:val="35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header"/>
    <w:basedOn w:val="1"/>
    <w:link w:val="37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character" w:styleId="15">
    <w:name w:val="annotation reference"/>
    <w:basedOn w:val="14"/>
    <w:semiHidden/>
    <w:unhideWhenUsed/>
    <w:qFormat/>
    <w:uiPriority w:val="99"/>
    <w:rPr>
      <w:sz w:val="16"/>
      <w:szCs w:val="16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18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19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0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1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2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3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24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25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26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27"/>
    <w:basedOn w:val="18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35">
    <w:name w:val="Texto comentario Car"/>
    <w:basedOn w:val="14"/>
    <w:link w:val="9"/>
    <w:semiHidden/>
    <w:qFormat/>
    <w:uiPriority w:val="99"/>
    <w:rPr>
      <w:sz w:val="20"/>
      <w:szCs w:val="20"/>
    </w:rPr>
  </w:style>
  <w:style w:type="character" w:customStyle="1" w:styleId="36">
    <w:name w:val="Texto de globo Car"/>
    <w:basedOn w:val="14"/>
    <w:link w:val="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37">
    <w:name w:val="Encabezado Car"/>
    <w:basedOn w:val="14"/>
    <w:link w:val="10"/>
    <w:qFormat/>
    <w:uiPriority w:val="99"/>
  </w:style>
  <w:style w:type="character" w:customStyle="1" w:styleId="38">
    <w:name w:val="Pie de página Car"/>
    <w:basedOn w:val="14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13266</Words>
  <Characters>72966</Characters>
  <Lines>608</Lines>
  <Paragraphs>172</Paragraphs>
  <TotalTime>1</TotalTime>
  <ScaleCrop>false</ScaleCrop>
  <LinksUpToDate>false</LinksUpToDate>
  <CharactersWithSpaces>86060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2019-09-02T11:58:00Z</dcterms:created>
  <dc:creator>Christian Ruiz</dc:creator>
  <cp:lastModifiedBy>CHRISTIAN REINALDO RUIZ</cp:lastModifiedBy>
  <cp:lastPrinted>2020-10-16T09:19:00Z</cp:lastPrinted>
  <dcterms:modified xsi:type="dcterms:W3CDTF">2020-12-08T02:40:00Z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3082-11.2.0.9747</vt:lpwstr>
  </property>
</Properties>
</file>