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10224" w:type="dxa"/>
        <w:jc w:val="center"/>
        <w:tblLayout w:type="fixed"/>
        <w:tblLook w:val="04A0" w:firstRow="1" w:lastRow="0" w:firstColumn="1" w:lastColumn="0" w:noHBand="0" w:noVBand="1"/>
      </w:tblPr>
      <w:tblGrid>
        <w:gridCol w:w="2830"/>
        <w:gridCol w:w="7394"/>
      </w:tblGrid>
      <w:tr w:rsidR="002C1B55" w:rsidRPr="00483ED3" w14:paraId="4D1E4C00" w14:textId="77777777" w:rsidTr="002C1B55">
        <w:trPr>
          <w:trHeight w:val="863"/>
          <w:jc w:val="center"/>
        </w:trPr>
        <w:tc>
          <w:tcPr>
            <w:tcW w:w="2830" w:type="dxa"/>
            <w:shd w:val="clear" w:color="auto" w:fill="F2F6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CC01FC" w14:textId="7ABD6B24" w:rsidR="002C1B55" w:rsidRPr="00483ED3" w:rsidRDefault="002C1B55" w:rsidP="00960D43">
            <w:pPr>
              <w:rPr>
                <w:rFonts w:ascii="標楷體" w:eastAsia="標楷體" w:hAnsi="標楷體"/>
                <w:lang w:eastAsia="zh-TW"/>
              </w:rPr>
            </w:pPr>
            <w:r w:rsidRPr="00483ED3">
              <w:rPr>
                <w:rFonts w:ascii="標楷體" w:eastAsia="標楷體" w:hAnsi="標楷體"/>
                <w:b/>
                <w:color w:val="1F4E79"/>
                <w:sz w:val="19"/>
                <w:lang w:eastAsia="zh-TW"/>
              </w:rPr>
              <w:t>ETF 名稱</w:t>
            </w:r>
            <w:r w:rsidRPr="00483ED3">
              <w:rPr>
                <w:rFonts w:ascii="標楷體" w:eastAsia="標楷體" w:hAnsi="標楷體" w:hint="eastAsia"/>
                <w:b/>
                <w:color w:val="1F4E79"/>
                <w:sz w:val="19"/>
                <w:lang w:eastAsia="zh-TW"/>
              </w:rPr>
              <w:t>(20字內</w:t>
            </w:r>
            <w:r>
              <w:rPr>
                <w:rFonts w:ascii="標楷體" w:eastAsia="標楷體" w:hAnsi="標楷體" w:hint="eastAsia"/>
                <w:b/>
                <w:color w:val="1F4E79"/>
                <w:sz w:val="19"/>
                <w:lang w:eastAsia="zh-TW"/>
              </w:rPr>
              <w:t>，限使用中文或英文</w:t>
            </w:r>
            <w:r w:rsidRPr="00483ED3">
              <w:rPr>
                <w:rFonts w:ascii="標楷體" w:eastAsia="標楷體" w:hAnsi="標楷體" w:hint="eastAsia"/>
                <w:b/>
                <w:color w:val="1F4E79"/>
                <w:sz w:val="19"/>
                <w:lang w:eastAsia="zh-TW"/>
              </w:rPr>
              <w:t>)</w:t>
            </w:r>
          </w:p>
        </w:tc>
        <w:tc>
          <w:tcPr>
            <w:tcW w:w="739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74EFC0" w14:textId="0B47D9B1" w:rsidR="002C1B55" w:rsidRPr="00483ED3" w:rsidRDefault="002C1B55" w:rsidP="00960D43">
            <w:pPr>
              <w:rPr>
                <w:rFonts w:ascii="標楷體" w:eastAsia="標楷體" w:hAnsi="標楷體"/>
                <w:lang w:eastAsia="zh-TW"/>
              </w:rPr>
            </w:pPr>
            <w:r>
              <w:rPr>
                <w:rFonts w:ascii="標楷體" w:eastAsia="標楷體" w:hAnsi="標楷體" w:hint="eastAsia"/>
                <w:sz w:val="21"/>
                <w:lang w:eastAsia="zh-TW"/>
              </w:rPr>
              <w:t xml:space="preserve">主動籌碼營收動能優選</w:t>
            </w:r>
          </w:p>
        </w:tc>
      </w:tr>
      <w:tr w:rsidR="002C1B55" w:rsidRPr="00483ED3" w14:paraId="053B1821" w14:textId="77777777" w:rsidTr="002C1B55">
        <w:trPr>
          <w:jc w:val="center"/>
        </w:trPr>
        <w:tc>
          <w:tcPr>
            <w:tcW w:w="2830" w:type="dxa"/>
            <w:shd w:val="clear" w:color="auto" w:fill="F2F6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567F22" w14:textId="4B78E713" w:rsidR="002C1B55" w:rsidRPr="00483ED3" w:rsidRDefault="002C1B55" w:rsidP="00960D43">
            <w:pPr>
              <w:rPr>
                <w:rFonts w:ascii="標楷體" w:eastAsia="標楷體" w:hAnsi="標楷體"/>
                <w:lang w:eastAsia="zh-TW"/>
              </w:rPr>
            </w:pPr>
            <w:r w:rsidRPr="00483ED3">
              <w:rPr>
                <w:rFonts w:ascii="標楷體" w:eastAsia="標楷體" w:hAnsi="標楷體"/>
                <w:b/>
                <w:color w:val="1F4E79"/>
                <w:sz w:val="19"/>
                <w:lang w:eastAsia="zh-TW"/>
              </w:rPr>
              <w:t>ETF 投資主題（50字內）</w:t>
            </w:r>
          </w:p>
        </w:tc>
        <w:tc>
          <w:tcPr>
            <w:tcW w:w="739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57FABD" w14:textId="5E771A3D" w:rsidR="002C1B55" w:rsidRPr="00483ED3" w:rsidRDefault="002C1B55" w:rsidP="00960D43">
            <w:pPr>
              <w:rPr>
                <w:rFonts w:ascii="標楷體" w:eastAsia="標楷體" w:hAnsi="標楷體"/>
                <w:lang w:eastAsia="zh-TW"/>
              </w:rPr>
            </w:pPr>
            <w:r>
              <w:rPr>
                <w:rFonts w:ascii="標楷體" w:eastAsia="標楷體" w:hAnsi="標楷體" w:hint="eastAsia"/>
                <w:sz w:val="21"/>
                <w:lang w:eastAsia="zh-TW"/>
              </w:rPr>
              <w:t xml:space="preserve">以投信買超與月營收創新高雙訊號，精選法人認同且基本面成長之台股</w:t>
            </w:r>
          </w:p>
        </w:tc>
      </w:tr>
      <w:tr w:rsidR="002C1B55" w:rsidRPr="00483ED3" w14:paraId="20E1C357" w14:textId="77777777" w:rsidTr="002C1B55">
        <w:trPr>
          <w:jc w:val="center"/>
        </w:trPr>
        <w:tc>
          <w:tcPr>
            <w:tcW w:w="2830" w:type="dxa"/>
            <w:shd w:val="clear" w:color="auto" w:fill="F2F6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195A04" w14:textId="25865961" w:rsidR="002C1B55" w:rsidRPr="00483ED3" w:rsidRDefault="002C1B55" w:rsidP="00960D43">
            <w:pPr>
              <w:rPr>
                <w:rFonts w:ascii="標楷體" w:eastAsia="標楷體" w:hAnsi="標楷體"/>
              </w:rPr>
            </w:pPr>
            <w:r w:rsidRPr="00483ED3">
              <w:rPr>
                <w:rFonts w:ascii="標楷體" w:eastAsia="標楷體" w:hAnsi="標楷體"/>
                <w:b/>
                <w:color w:val="1F4E79"/>
                <w:sz w:val="19"/>
              </w:rPr>
              <w:t>ETF 投資理念（100～300字）</w:t>
            </w:r>
          </w:p>
        </w:tc>
        <w:tc>
          <w:tcPr>
            <w:tcW w:w="739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9F35DA" w14:textId="1A36862E" w:rsidR="002C1B55" w:rsidRPr="00483ED3" w:rsidRDefault="002C1B55" w:rsidP="00960D43">
            <w:pPr>
              <w:rPr>
                <w:rFonts w:ascii="標楷體" w:eastAsia="標楷體" w:hAnsi="標楷體"/>
                <w:lang w:eastAsia="zh-TW"/>
              </w:rPr>
            </w:pPr>
            <w:r>
              <w:rPr>
                <w:rFonts w:ascii="標楷體" w:eastAsia="標楷體" w:hAnsi="標楷體" w:hint="eastAsia"/>
                <w:sz w:val="21"/>
                <w:lang w:eastAsia="zh-TW"/>
              </w:rPr>
              <w:t xml:space="preserve">本ETF結合籌碼面與基本面兩項台股特有資訊。投信專注台股研究，其持續買超反映法人認同；上市櫃公司每月公布營收，可即時呈現基本面變化。AI Agent每日盤後讀取法人買賣超，並於每月營收公布後重新篩選，挑出投信近期買超、營收年增逾兩成且三個月平均營收創一年新高之個股，集中持有前十大核心部位，其餘分散配置，共持有22檔。初賽後半段若排名領先，轉以台積電及大型權值股為核心、仍依投信買超選股，降低波動以守住成果。下單前檢查現金、個股上限與主動ETF持股差異，並保留資料來源與決策紀錄，追求風險可控下的扣費後報酬。</w:t>
            </w:r>
          </w:p>
        </w:tc>
      </w:tr>
    </w:tbl>
    <w:p w14:paraId="5145DE34" w14:textId="77777777" w:rsidR="00534563" w:rsidRDefault="00534563">
      <w:pPr>
        <w:rPr>
          <w:lang w:eastAsia="zh-TW"/>
        </w:rPr>
      </w:pPr>
    </w:p>
    <w:sectPr w:rsidR="00534563">
      <w:headerReference w:type="default" r:id="rId6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8DDE84" w14:textId="77777777" w:rsidR="00F61EE6" w:rsidRDefault="00F61EE6" w:rsidP="002C1B55">
      <w:pPr>
        <w:spacing w:after="0" w:line="240" w:lineRule="auto"/>
      </w:pPr>
      <w:r>
        <w:separator/>
      </w:r>
    </w:p>
  </w:endnote>
  <w:endnote w:type="continuationSeparator" w:id="0">
    <w:p w14:paraId="6B12B57A" w14:textId="77777777" w:rsidR="00F61EE6" w:rsidRDefault="00F61EE6" w:rsidP="002C1B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233354" w14:textId="77777777" w:rsidR="00F61EE6" w:rsidRDefault="00F61EE6" w:rsidP="002C1B55">
      <w:pPr>
        <w:spacing w:after="0" w:line="240" w:lineRule="auto"/>
      </w:pPr>
      <w:r>
        <w:separator/>
      </w:r>
    </w:p>
  </w:footnote>
  <w:footnote w:type="continuationSeparator" w:id="0">
    <w:p w14:paraId="44829D75" w14:textId="77777777" w:rsidR="00F61EE6" w:rsidRDefault="00F61EE6" w:rsidP="002C1B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BB255" w14:textId="2F882E2D" w:rsidR="002C1B55" w:rsidRPr="002C1B55" w:rsidRDefault="00180810" w:rsidP="002C1B55">
    <w:pPr>
      <w:pStyle w:val="af"/>
      <w:jc w:val="center"/>
      <w:rPr>
        <w:rFonts w:ascii="標楷體" w:eastAsia="標楷體" w:hAnsi="標楷體"/>
        <w:sz w:val="24"/>
        <w:szCs w:val="24"/>
      </w:rPr>
    </w:pPr>
    <w:r>
      <w:rPr>
        <w:rFonts w:ascii="標楷體" w:eastAsia="標楷體" w:hAnsi="標楷體" w:hint="eastAsia"/>
        <w:sz w:val="24"/>
        <w:szCs w:val="24"/>
        <w:lang w:eastAsia="zh-TW"/>
      </w:rPr>
      <w:t>參賽隊伍</w:t>
    </w:r>
    <w:r w:rsidR="002C1B55" w:rsidRPr="002C1B55">
      <w:rPr>
        <w:rFonts w:ascii="標楷體" w:eastAsia="標楷體" w:hAnsi="標楷體" w:hint="eastAsia"/>
        <w:sz w:val="24"/>
        <w:szCs w:val="24"/>
        <w:lang w:eastAsia="zh-TW"/>
      </w:rPr>
      <w:t>請以此格式繳交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B55"/>
    <w:rsid w:val="00180810"/>
    <w:rsid w:val="002C1B55"/>
    <w:rsid w:val="003A13CE"/>
    <w:rsid w:val="00534563"/>
    <w:rsid w:val="006E4707"/>
    <w:rsid w:val="00AC49E2"/>
    <w:rsid w:val="00EE45D1"/>
    <w:rsid w:val="00F61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270632"/>
  <w15:chartTrackingRefBased/>
  <w15:docId w15:val="{733981A2-44FA-4E7E-8A68-B5AF44F73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1B55"/>
    <w:pPr>
      <w:spacing w:after="200" w:line="276" w:lineRule="auto"/>
    </w:pPr>
    <w:rPr>
      <w:rFonts w:ascii="微軟正黑體" w:eastAsia="微軟正黑體" w:hAnsi="微軟正黑體"/>
      <w:kern w:val="0"/>
      <w:sz w:val="21"/>
      <w:szCs w:val="22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C1B55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8"/>
      <w:szCs w:val="48"/>
      <w:lang w:eastAsia="zh-TW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1B55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:lang w:eastAsia="zh-TW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1B55"/>
    <w:pPr>
      <w:keepNext/>
      <w:keepLines/>
      <w:widowControl w:val="0"/>
      <w:spacing w:before="160" w:after="40" w:line="278" w:lineRule="auto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 w:val="32"/>
      <w:szCs w:val="32"/>
      <w:lang w:eastAsia="zh-TW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1B55"/>
    <w:pPr>
      <w:keepNext/>
      <w:keepLines/>
      <w:widowControl w:val="0"/>
      <w:spacing w:before="160" w:after="40" w:line="278" w:lineRule="auto"/>
      <w:outlineLvl w:val="3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8"/>
      <w:lang w:eastAsia="zh-TW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1B55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:sz w:val="24"/>
      <w:szCs w:val="24"/>
      <w:lang w:eastAsia="zh-TW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1B55"/>
    <w:pPr>
      <w:keepNext/>
      <w:keepLines/>
      <w:widowControl w:val="0"/>
      <w:spacing w:before="40" w:after="0" w:line="278" w:lineRule="auto"/>
      <w:outlineLvl w:val="5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zh-TW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1B55"/>
    <w:pPr>
      <w:keepNext/>
      <w:keepLines/>
      <w:widowControl w:val="0"/>
      <w:spacing w:before="40" w:after="0" w:line="278" w:lineRule="auto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zh-TW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1B55"/>
    <w:pPr>
      <w:keepNext/>
      <w:keepLines/>
      <w:widowControl w:val="0"/>
      <w:spacing w:before="40" w:after="0" w:line="278" w:lineRule="auto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zh-TW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1B55"/>
    <w:pPr>
      <w:keepNext/>
      <w:keepLines/>
      <w:widowControl w:val="0"/>
      <w:spacing w:before="40" w:after="0" w:line="278" w:lineRule="auto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zh-TW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C1B55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C1B5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C1B55"/>
    <w:rPr>
      <w:rFonts w:eastAsiaTheme="majorEastAsia" w:cstheme="majorBidi"/>
      <w:color w:val="2E74B5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C1B5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C1B55"/>
    <w:rPr>
      <w:rFonts w:eastAsiaTheme="majorEastAsia" w:cstheme="majorBidi"/>
      <w:color w:val="2E74B5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C1B5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C1B5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C1B5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C1B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1B55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TW"/>
      <w14:ligatures w14:val="standardContextual"/>
    </w:rPr>
  </w:style>
  <w:style w:type="character" w:customStyle="1" w:styleId="a4">
    <w:name w:val="標題 字元"/>
    <w:basedOn w:val="a0"/>
    <w:link w:val="a3"/>
    <w:uiPriority w:val="10"/>
    <w:rsid w:val="002C1B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1B55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zh-TW"/>
      <w14:ligatures w14:val="standardContextual"/>
    </w:rPr>
  </w:style>
  <w:style w:type="character" w:customStyle="1" w:styleId="a6">
    <w:name w:val="副標題 字元"/>
    <w:basedOn w:val="a0"/>
    <w:link w:val="a5"/>
    <w:uiPriority w:val="11"/>
    <w:rsid w:val="002C1B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C1B55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/>
      <w:i/>
      <w:iCs/>
      <w:color w:val="404040" w:themeColor="text1" w:themeTint="BF"/>
      <w:kern w:val="2"/>
      <w:sz w:val="24"/>
      <w:szCs w:val="24"/>
      <w:lang w:eastAsia="zh-TW"/>
      <w14:ligatures w14:val="standardContextual"/>
    </w:rPr>
  </w:style>
  <w:style w:type="character" w:customStyle="1" w:styleId="a8">
    <w:name w:val="引文 字元"/>
    <w:basedOn w:val="a0"/>
    <w:link w:val="a7"/>
    <w:uiPriority w:val="29"/>
    <w:rsid w:val="002C1B5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C1B55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/>
      <w:kern w:val="2"/>
      <w:sz w:val="24"/>
      <w:szCs w:val="24"/>
      <w:lang w:eastAsia="zh-TW"/>
      <w14:ligatures w14:val="standardContextual"/>
    </w:rPr>
  </w:style>
  <w:style w:type="character" w:styleId="aa">
    <w:name w:val="Intense Emphasis"/>
    <w:basedOn w:val="a0"/>
    <w:uiPriority w:val="21"/>
    <w:qFormat/>
    <w:rsid w:val="002C1B55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C1B55"/>
    <w:pPr>
      <w:widowControl w:val="0"/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/>
      <w:i/>
      <w:iCs/>
      <w:color w:val="2E74B5" w:themeColor="accent1" w:themeShade="BF"/>
      <w:kern w:val="2"/>
      <w:sz w:val="24"/>
      <w:szCs w:val="24"/>
      <w:lang w:eastAsia="zh-TW"/>
      <w14:ligatures w14:val="standardContextual"/>
    </w:rPr>
  </w:style>
  <w:style w:type="character" w:customStyle="1" w:styleId="ac">
    <w:name w:val="鮮明引文 字元"/>
    <w:basedOn w:val="a0"/>
    <w:link w:val="ab"/>
    <w:uiPriority w:val="30"/>
    <w:rsid w:val="002C1B55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2C1B55"/>
    <w:rPr>
      <w:b/>
      <w:bCs/>
      <w:smallCaps/>
      <w:color w:val="2E74B5" w:themeColor="accent1" w:themeShade="BF"/>
      <w:spacing w:val="5"/>
    </w:rPr>
  </w:style>
  <w:style w:type="table" w:styleId="ae">
    <w:name w:val="Table Grid"/>
    <w:basedOn w:val="a1"/>
    <w:uiPriority w:val="59"/>
    <w:rsid w:val="002C1B55"/>
    <w:pPr>
      <w:spacing w:after="0" w:line="240" w:lineRule="auto"/>
    </w:pPr>
    <w:rPr>
      <w:kern w:val="0"/>
      <w:sz w:val="22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2C1B5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2C1B55"/>
    <w:rPr>
      <w:rFonts w:ascii="微軟正黑體" w:eastAsia="微軟正黑體" w:hAnsi="微軟正黑體"/>
      <w:kern w:val="0"/>
      <w:sz w:val="20"/>
      <w:szCs w:val="20"/>
      <w:lang w:eastAsia="en-US"/>
      <w14:ligatures w14:val="none"/>
    </w:rPr>
  </w:style>
  <w:style w:type="paragraph" w:styleId="af1">
    <w:name w:val="footer"/>
    <w:basedOn w:val="a"/>
    <w:link w:val="af2"/>
    <w:uiPriority w:val="99"/>
    <w:unhideWhenUsed/>
    <w:rsid w:val="002C1B5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2C1B55"/>
    <w:rPr>
      <w:rFonts w:ascii="微軟正黑體" w:eastAsia="微軟正黑體" w:hAnsi="微軟正黑體"/>
      <w:kern w:val="0"/>
      <w:sz w:val="20"/>
      <w:szCs w:val="20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潘皓天17786</dc:creator>
  <cp:keywords/>
  <dc:description/>
  <cp:lastModifiedBy>潘皓天17786</cp:lastModifiedBy>
  <cp:revision>2</cp:revision>
  <dcterms:created xsi:type="dcterms:W3CDTF">2026-09-14T01:41:00Z</dcterms:created>
  <dcterms:modified xsi:type="dcterms:W3CDTF">2026-09-14T01:41:00Z</dcterms:modified>
</cp:coreProperties>
</file>