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40"/>
        <w:jc w:val="center"/>
      </w:pPr>
      <w:r>
        <w:rPr>
          <w:rFonts w:ascii="Arial" w:cs="Arial" w:eastAsia="Arial" w:hAnsi="Arial"/>
          <w:b/>
          <w:bCs/>
          <w:color w:val="1A3A5C"/>
          <w:sz w:val="44"/>
          <w:szCs w:val="44"/>
        </w:rPr>
        <w:t xml:space="preserve">EGERTON UNIVERSITY</w:t>
      </w:r>
    </w:p>
    <w:p>
      <w:pPr>
        <w:spacing w:before="0" w:after="240"/>
        <w:jc w:val="center"/>
      </w:pPr>
      <w:r>
        <w:rPr>
          <w:rFonts w:ascii="Arial" w:cs="Arial" w:eastAsia="Arial" w:hAnsi="Arial"/>
          <w:color w:val="1F6AA5"/>
          <w:sz w:val="24"/>
          <w:szCs w:val="24"/>
        </w:rPr>
        <w:t xml:space="preserve">Faculty of Science  |  Department of Computer Science</w:t>
      </w:r>
    </w:p>
    <w:p>
      <w:pPr>
        <w:pBdr>
          <w:bottom w:val="single" w:color="1A3A5C" w:sz="8" w:space="4"/>
        </w:pBdr>
        <w:spacing w:before="0" w:after="240"/>
      </w:pPr>
      <w:r>
        <w:t xml:space="preserve"/>
      </w:r>
    </w:p>
    <w:p>
      <w:pPr>
        <w:spacing w:before="0" w:after="100"/>
        <w:jc w:val="center"/>
      </w:pPr>
      <w:r>
        <w:rPr>
          <w:rFonts w:ascii="Arial" w:cs="Arial" w:eastAsia="Arial" w:hAnsi="Arial"/>
          <w:b/>
          <w:bCs/>
          <w:color w:val="555555"/>
          <w:sz w:val="28"/>
          <w:szCs w:val="28"/>
        </w:rPr>
        <w:t xml:space="preserve">SYSTEM DESIGN SPECIFICATION (SDS)</w:t>
      </w:r>
    </w:p>
    <w:p>
      <w:pPr>
        <w:spacing w:before="160" w:after="0"/>
      </w:pPr>
      <w:r>
        <w:t xml:space="preserve"/>
      </w:r>
    </w:p>
    <w:p>
      <w:pPr>
        <w:spacing w:before="0" w:after="80"/>
        <w:jc w:val="center"/>
      </w:pPr>
      <w:r>
        <w:rPr>
          <w:rFonts w:ascii="Arial" w:cs="Arial" w:eastAsia="Arial" w:hAnsi="Arial"/>
          <w:b/>
          <w:bCs/>
          <w:color w:val="1A3A5C"/>
          <w:sz w:val="32"/>
          <w:szCs w:val="32"/>
        </w:rPr>
        <w:t xml:space="preserve">DESIGN AND IMPLEMENTATION OF A</w:t>
      </w:r>
    </w:p>
    <w:p>
      <w:pPr>
        <w:spacing w:before="0" w:after="80"/>
        <w:jc w:val="center"/>
      </w:pPr>
      <w:r>
        <w:rPr>
          <w:rFonts w:ascii="Arial" w:cs="Arial" w:eastAsia="Arial" w:hAnsi="Arial"/>
          <w:b/>
          <w:bCs/>
          <w:color w:val="1A3A5C"/>
          <w:sz w:val="32"/>
          <w:szCs w:val="32"/>
        </w:rPr>
        <w:t xml:space="preserve">BLOCKCHAIN-BASED LAND REGISTRY SYSTEM FOR KENYA</w:t>
      </w:r>
    </w:p>
    <w:p>
      <w:pPr>
        <w:spacing w:before="400" w:after="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1F6AA5" w:sz="4"/>
              <w:left w:val="single" w:color="1F6AA5" w:sz="4"/>
              <w:bottom w:val="single" w:color="1F6AA5" w:sz="4"/>
              <w:right w:val="single" w:color="1F6AA5" w:sz="4"/>
            </w:tcBorders>
            <w:shd w:fill="D6E8F5" w:val="clear"/>
            <w:tcMar>
              <w:top w:type="dxa" w:w="200"/>
              <w:left w:type="dxa" w:w="400"/>
              <w:bottom w:type="dxa" w:w="200"/>
              <w:right w:type="dxa" w:w="400"/>
            </w:tcMar>
          </w:tcPr>
          <w:p>
            <w:pPr>
              <w:spacing w:before="80" w:after="80"/>
            </w:pPr>
            <w:r>
              <w:rPr>
                <w:rFonts w:ascii="Arial" w:cs="Arial" w:eastAsia="Arial" w:hAnsi="Arial"/>
                <w:b/>
                <w:bCs/>
                <w:sz w:val="22"/>
                <w:szCs w:val="22"/>
              </w:rPr>
              <w:t xml:space="preserve">Document Type: </w:t>
            </w:r>
            <w:r>
              <w:rPr>
                <w:rFonts w:ascii="Arial" w:cs="Arial" w:eastAsia="Arial" w:hAnsi="Arial"/>
                <w:sz w:val="22"/>
                <w:szCs w:val="22"/>
              </w:rPr>
              <w:t xml:space="preserve">System Design Specification (SDS)</w:t>
            </w:r>
          </w:p>
          <w:p>
            <w:pPr>
              <w:spacing w:before="80" w:after="80"/>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before="80" w:after="80"/>
            </w:pPr>
            <w:r>
              <w:rPr>
                <w:rFonts w:ascii="Arial" w:cs="Arial" w:eastAsia="Arial" w:hAnsi="Arial"/>
                <w:b/>
                <w:bCs/>
                <w:sz w:val="22"/>
                <w:szCs w:val="22"/>
              </w:rPr>
              <w:t xml:space="preserve">Prepared by: </w:t>
            </w:r>
            <w:r>
              <w:rPr>
                <w:rFonts w:ascii="Arial" w:cs="Arial" w:eastAsia="Arial" w:hAnsi="Arial"/>
                <w:sz w:val="22"/>
                <w:szCs w:val="22"/>
              </w:rPr>
              <w:t xml:space="preserve">Christopher Anunda Ragira</w:t>
            </w:r>
          </w:p>
          <w:p>
            <w:pPr>
              <w:spacing w:before="80" w:after="80"/>
            </w:pPr>
            <w:r>
              <w:rPr>
                <w:rFonts w:ascii="Arial" w:cs="Arial" w:eastAsia="Arial" w:hAnsi="Arial"/>
                <w:b/>
                <w:bCs/>
                <w:sz w:val="22"/>
                <w:szCs w:val="22"/>
              </w:rPr>
              <w:t xml:space="preserve">Registration No: </w:t>
            </w:r>
            <w:r>
              <w:rPr>
                <w:rFonts w:ascii="Arial" w:cs="Arial" w:eastAsia="Arial" w:hAnsi="Arial"/>
                <w:sz w:val="22"/>
                <w:szCs w:val="22"/>
              </w:rPr>
              <w:t xml:space="preserve">SP13/06831/20</w:t>
            </w:r>
          </w:p>
          <w:p>
            <w:pPr>
              <w:spacing w:before="80" w:after="80"/>
            </w:pPr>
            <w:r>
              <w:rPr>
                <w:rFonts w:ascii="Arial" w:cs="Arial" w:eastAsia="Arial" w:hAnsi="Arial"/>
                <w:b/>
                <w:bCs/>
                <w:sz w:val="22"/>
                <w:szCs w:val="22"/>
              </w:rPr>
              <w:t xml:space="preserve">Supervisor: </w:t>
            </w:r>
            <w:r>
              <w:rPr>
                <w:rFonts w:ascii="Arial" w:cs="Arial" w:eastAsia="Arial" w:hAnsi="Arial"/>
                <w:sz w:val="22"/>
                <w:szCs w:val="22"/>
              </w:rPr>
              <w:t xml:space="preserve">Dr. Zachary Bosire</w:t>
            </w:r>
          </w:p>
          <w:p>
            <w:pPr>
              <w:spacing w:before="80" w:after="80"/>
            </w:pPr>
            <w:r>
              <w:rPr>
                <w:rFonts w:ascii="Arial" w:cs="Arial" w:eastAsia="Arial" w:hAnsi="Arial"/>
                <w:b/>
                <w:bCs/>
                <w:sz w:val="22"/>
                <w:szCs w:val="22"/>
              </w:rPr>
              <w:t xml:space="preserve">Institution: </w:t>
            </w:r>
            <w:r>
              <w:rPr>
                <w:rFonts w:ascii="Arial" w:cs="Arial" w:eastAsia="Arial" w:hAnsi="Arial"/>
                <w:sz w:val="22"/>
                <w:szCs w:val="22"/>
              </w:rPr>
              <w:t xml:space="preserve">Egerton University, Kenya</w:t>
            </w:r>
          </w:p>
          <w:p>
            <w:pPr>
              <w:spacing w:before="80" w:after="80"/>
            </w:pPr>
            <w:r>
              <w:rPr>
                <w:rFonts w:ascii="Arial" w:cs="Arial" w:eastAsia="Arial" w:hAnsi="Arial"/>
                <w:b/>
                <w:bCs/>
                <w:sz w:val="22"/>
                <w:szCs w:val="22"/>
              </w:rPr>
              <w:t xml:space="preserve">Date: </w:t>
            </w:r>
            <w:r>
              <w:rPr>
                <w:rFonts w:ascii="Arial" w:cs="Arial" w:eastAsia="Arial" w:hAnsi="Arial"/>
                <w:sz w:val="22"/>
                <w:szCs w:val="22"/>
              </w:rPr>
              <w:t xml:space="preserve">March 2025</w:t>
            </w:r>
          </w:p>
        </w:tc>
      </w:tr>
    </w:tbl>
    <w:p>
      <w:r>
        <w:br w:type="page"/>
      </w:r>
    </w:p>
    <w:p>
      <w:pPr>
        <w:pStyle w:val="Heading1"/>
      </w:pPr>
      <w:r>
        <w:rPr>
          <w:rFonts w:ascii="Arial" w:cs="Arial" w:eastAsia="Arial" w:hAnsi="Arial"/>
          <w:b/>
          <w:bCs/>
        </w:rPr>
        <w:t xml:space="preserve">Revision History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4026"/>
      </w:tblGrid>
      <w:tr>
        <w:trPr>
          <w:tblHeader/>
        </w:trPr>
        <w:tc>
          <w:tcPr>
            <w:tcW w:type="dxa" w:w="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Author</w:t>
            </w:r>
          </w:p>
        </w:tc>
        <w:tc>
          <w:tcPr>
            <w:tcW w:type="dxa" w:w="4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Change Description</w:t>
            </w:r>
          </w:p>
        </w:tc>
      </w:tr>
      <w:tr>
        <w:tc>
          <w:tcPr>
            <w:tcW w:type="dxa" w:w="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1.0</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March 2025</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Christopher Anunda Ragira</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Initial SDS document — all sections drafted</w:t>
            </w:r>
          </w:p>
        </w:tc>
      </w:tr>
      <w:tr>
        <w:tc>
          <w:tcPr>
            <w:tcW w:type="dxa" w:w="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1.1</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TBD</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Christopher Anunda Ragira</w:t>
            </w:r>
          </w:p>
        </w:tc>
        <w:tc>
          <w:tcPr>
            <w:tcW w:type="dxa" w:w="4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Revisions following supervisor feedback</w:t>
            </w:r>
          </w:p>
        </w:tc>
      </w:tr>
      <w:tr>
        <w:tc>
          <w:tcPr>
            <w:tcW w:type="dxa" w:w="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2.0</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TBD</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Christopher Anunda Ragira</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Final version approved for submission</w:t>
            </w:r>
          </w:p>
        </w:tc>
      </w:tr>
    </w:tbl>
    <w:p>
      <w:pPr>
        <w:pBdr>
          <w:bottom w:val="single" w:color="1F6AA5" w:sz="6" w:space="4"/>
        </w:pBdr>
        <w:spacing w:before="200" w:after="160"/>
      </w:pPr>
      <w:r>
        <w:t xml:space="preserve"/>
      </w:r>
    </w:p>
    <w:p>
      <w:pPr>
        <w:pStyle w:val="Heading1"/>
      </w:pPr>
      <w:r>
        <w:rPr>
          <w:rFonts w:ascii="Arial" w:cs="Arial" w:eastAsia="Arial" w:hAnsi="Arial"/>
          <w:b/>
          <w:bCs/>
        </w:rPr>
        <w:t xml:space="preserve">1.  Introduction</w:t>
      </w:r>
    </w:p>
    <w:p>
      <w:pPr>
        <w:pStyle w:val="Heading2"/>
      </w:pPr>
      <w:r>
        <w:rPr>
          <w:rFonts w:ascii="Arial" w:cs="Arial" w:eastAsia="Arial" w:hAnsi="Arial"/>
          <w:b/>
          <w:bCs/>
        </w:rPr>
        <w:t xml:space="preserve">1.1  Purpose</w:t>
      </w:r>
    </w:p>
    <w:p>
      <w:pPr>
        <w:spacing w:before="60" w:after="100"/>
        <w:jc w:val="both"/>
      </w:pPr>
      <w:r>
        <w:rPr>
          <w:rFonts w:ascii="Arial" w:cs="Arial" w:eastAsia="Arial" w:hAnsi="Arial"/>
          <w:b w:val="false"/>
          <w:bCs w:val="false"/>
          <w:i w:val="false"/>
          <w:iCs w:val="false"/>
          <w:color w:val="111111"/>
          <w:sz w:val="22"/>
          <w:szCs w:val="22"/>
        </w:rPr>
        <w:t xml:space="preserve">This System Design Specification (SDS) document provides a comprehensive technical blueprint for the Blockchain-Based Land Registry System (BBLRS) for Kenya. It translates the requirements defined in the Software Requirements Specification (SRS v1.0) into detailed architectural, component, data, interface, and deployment designs that guide the implementation phase.</w:t>
      </w:r>
    </w:p>
    <w:p>
      <w:pPr>
        <w:spacing w:before="60" w:after="100"/>
        <w:jc w:val="both"/>
      </w:pPr>
      <w:r>
        <w:rPr>
          <w:rFonts w:ascii="Arial" w:cs="Arial" w:eastAsia="Arial" w:hAnsi="Arial"/>
          <w:b w:val="false"/>
          <w:bCs w:val="false"/>
          <w:i w:val="false"/>
          <w:iCs w:val="false"/>
          <w:color w:val="111111"/>
          <w:sz w:val="22"/>
          <w:szCs w:val="22"/>
        </w:rPr>
        <w:t xml:space="preserve">The intended audience includes the developer (Christopher Anunda Ragira), the academic supervisor (Dr. Zachary Bosire), and any future developers or evaluators who need to understand the internal structure and design decisions of the system.</w:t>
      </w:r>
    </w:p>
    <w:p>
      <w:pPr>
        <w:pStyle w:val="Heading2"/>
      </w:pPr>
      <w:r>
        <w:rPr>
          <w:rFonts w:ascii="Arial" w:cs="Arial" w:eastAsia="Arial" w:hAnsi="Arial"/>
          <w:b/>
          <w:bCs/>
        </w:rPr>
        <w:t xml:space="preserve">1.2  Scope</w:t>
      </w:r>
    </w:p>
    <w:p>
      <w:pPr>
        <w:spacing w:before="60" w:after="100"/>
        <w:jc w:val="both"/>
      </w:pPr>
      <w:r>
        <w:rPr>
          <w:rFonts w:ascii="Arial" w:cs="Arial" w:eastAsia="Arial" w:hAnsi="Arial"/>
          <w:b w:val="false"/>
          <w:bCs w:val="false"/>
          <w:i w:val="false"/>
          <w:iCs w:val="false"/>
          <w:color w:val="111111"/>
          <w:sz w:val="22"/>
          <w:szCs w:val="22"/>
        </w:rPr>
        <w:t xml:space="preserve">The SDS covers the complete technical design of the BBLRS, including the blockchain network topology, smart contract (chaincode) design, database schema, REST API design, frontend component architecture, security design, deployment configuration, and integration interfaces. The document is scoped to the prototype implementation using Hyperledger Fabric 2.5, Node.js, React.js, MySQL, and IPFS.</w:t>
      </w:r>
    </w:p>
    <w:p>
      <w:pPr>
        <w:pStyle w:val="Heading2"/>
      </w:pPr>
      <w:r>
        <w:rPr>
          <w:rFonts w:ascii="Arial" w:cs="Arial" w:eastAsia="Arial" w:hAnsi="Arial"/>
          <w:b/>
          <w:bCs/>
        </w:rPr>
        <w:t xml:space="preserve">1.3  Design Principles</w:t>
      </w:r>
    </w:p>
    <w:p>
      <w:pPr>
        <w:pStyle w:val="ListParagraph"/>
        <w:numPr>
          <w:ilvl w:val="0"/>
          <w:numId w:val="2"/>
        </w:numPr>
        <w:spacing w:before="40" w:after="40"/>
      </w:pPr>
      <w:r>
        <w:rPr>
          <w:rFonts w:ascii="Arial" w:cs="Arial" w:eastAsia="Arial" w:hAnsi="Arial"/>
          <w:sz w:val="22"/>
          <w:szCs w:val="22"/>
        </w:rPr>
        <w:t xml:space="preserve">Immutability First: All land records are written to an append-only blockchain ledger. No record is ever deleted or overwritten.</w:t>
      </w:r>
    </w:p>
    <w:p>
      <w:pPr>
        <w:pStyle w:val="ListParagraph"/>
        <w:numPr>
          <w:ilvl w:val="0"/>
          <w:numId w:val="2"/>
        </w:numPr>
        <w:spacing w:before="40" w:after="40"/>
      </w:pPr>
      <w:r>
        <w:rPr>
          <w:rFonts w:ascii="Arial" w:cs="Arial" w:eastAsia="Arial" w:hAnsi="Arial"/>
          <w:sz w:val="22"/>
          <w:szCs w:val="22"/>
        </w:rPr>
        <w:t xml:space="preserve">Security by Design: Authentication, authorization, encryption, and input validation are embedded at every layer — not added as afterthoughts.</w:t>
      </w:r>
    </w:p>
    <w:p>
      <w:pPr>
        <w:pStyle w:val="ListParagraph"/>
        <w:numPr>
          <w:ilvl w:val="0"/>
          <w:numId w:val="2"/>
        </w:numPr>
        <w:spacing w:before="40" w:after="40"/>
      </w:pPr>
      <w:r>
        <w:rPr>
          <w:rFonts w:ascii="Arial" w:cs="Arial" w:eastAsia="Arial" w:hAnsi="Arial"/>
          <w:sz w:val="22"/>
          <w:szCs w:val="22"/>
        </w:rPr>
        <w:t xml:space="preserve">Separation of Concerns: The system follows a strict three-tier architecture separating presentation, business logic, and data storage.</w:t>
      </w:r>
    </w:p>
    <w:p>
      <w:pPr>
        <w:pStyle w:val="ListParagraph"/>
        <w:numPr>
          <w:ilvl w:val="0"/>
          <w:numId w:val="2"/>
        </w:numPr>
        <w:spacing w:before="40" w:after="40"/>
      </w:pPr>
      <w:r>
        <w:rPr>
          <w:rFonts w:ascii="Arial" w:cs="Arial" w:eastAsia="Arial" w:hAnsi="Arial"/>
          <w:sz w:val="22"/>
          <w:szCs w:val="22"/>
        </w:rPr>
        <w:t xml:space="preserve">Modularity: Each smart contract, API module, and UI component is independently deployable and testable.</w:t>
      </w:r>
    </w:p>
    <w:p>
      <w:pPr>
        <w:pStyle w:val="ListParagraph"/>
        <w:numPr>
          <w:ilvl w:val="0"/>
          <w:numId w:val="2"/>
        </w:numPr>
        <w:spacing w:before="40" w:after="40"/>
      </w:pPr>
      <w:r>
        <w:rPr>
          <w:rFonts w:ascii="Arial" w:cs="Arial" w:eastAsia="Arial" w:hAnsi="Arial"/>
          <w:sz w:val="22"/>
          <w:szCs w:val="22"/>
        </w:rPr>
        <w:t xml:space="preserve">Transparency: All on-chain transactions are auditable by authorized stakeholders; the ledger is the single source of truth for land records.</w:t>
      </w:r>
    </w:p>
    <w:p>
      <w:pPr>
        <w:pStyle w:val="ListParagraph"/>
        <w:numPr>
          <w:ilvl w:val="0"/>
          <w:numId w:val="2"/>
        </w:numPr>
        <w:spacing w:before="40" w:after="40"/>
      </w:pPr>
      <w:r>
        <w:rPr>
          <w:rFonts w:ascii="Arial" w:cs="Arial" w:eastAsia="Arial" w:hAnsi="Arial"/>
          <w:sz w:val="22"/>
          <w:szCs w:val="22"/>
        </w:rPr>
        <w:t xml:space="preserve">Accessibility: The UI is responsive, supports low-bandwidth conditions, and adheres to WCAG 2.1 Level AA.</w:t>
      </w:r>
    </w:p>
    <w:p>
      <w:pPr>
        <w:pStyle w:val="Heading2"/>
      </w:pPr>
      <w:r>
        <w:rPr>
          <w:rFonts w:ascii="Arial" w:cs="Arial" w:eastAsia="Arial" w:hAnsi="Arial"/>
          <w:b/>
          <w:bCs/>
        </w:rPr>
        <w:t xml:space="preserve">1.4  Relationship to Other Documents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Document</w:t>
            </w:r>
          </w:p>
        </w:tc>
        <w:tc>
          <w:tcPr>
            <w:tcW w:type="dxa" w:w="6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Relationship</w:t>
            </w:r>
          </w:p>
        </w:tc>
      </w:tr>
      <w:tr>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Project Proposal</w:t>
            </w:r>
          </w:p>
        </w:tc>
        <w:tc>
          <w:tcPr>
            <w:tcW w:type="dxa" w:w="6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Defines the problem, justification, and high-level objectives that this SDS addresses technically</w:t>
            </w:r>
          </w:p>
        </w:tc>
      </w:tr>
      <w:tr>
        <w:tc>
          <w:tcPr>
            <w:tcW w:type="dxa" w:w="3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Software Requirements Specification (SRS v1.0)</w:t>
            </w:r>
          </w:p>
        </w:tc>
        <w:tc>
          <w:tcPr>
            <w:tcW w:type="dxa" w:w="6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Defines the functional and non-functional requirements that this SDS translates into design</w:t>
            </w:r>
          </w:p>
        </w:tc>
      </w:tr>
      <w:tr>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Test Plan (future)</w:t>
            </w:r>
          </w:p>
        </w:tc>
        <w:tc>
          <w:tcPr>
            <w:tcW w:type="dxa" w:w="6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Will reference this SDS to define test cases against the designed interfaces and components</w:t>
            </w:r>
          </w:p>
        </w:tc>
      </w:tr>
      <w:tr>
        <w:tc>
          <w:tcPr>
            <w:tcW w:type="dxa" w:w="3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 Manual (future)</w:t>
            </w:r>
          </w:p>
        </w:tc>
        <w:tc>
          <w:tcPr>
            <w:tcW w:type="dxa" w:w="6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Will describe the end-user view of the system designed in this document</w:t>
            </w:r>
          </w:p>
        </w:tc>
      </w:tr>
    </w:tbl>
    <w:p>
      <w:pPr>
        <w:pBdr>
          <w:bottom w:val="single" w:color="1F6AA5" w:sz="6" w:space="4"/>
        </w:pBdr>
        <w:spacing w:before="200" w:after="160"/>
      </w:pPr>
      <w:r>
        <w:t xml:space="preserve"/>
      </w:r>
    </w:p>
    <w:p>
      <w:pPr>
        <w:pStyle w:val="Heading1"/>
      </w:pPr>
      <w:r>
        <w:rPr>
          <w:rFonts w:ascii="Arial" w:cs="Arial" w:eastAsia="Arial" w:hAnsi="Arial"/>
          <w:b/>
          <w:bCs/>
        </w:rPr>
        <w:t xml:space="preserve">2.  System Architecture</w:t>
      </w:r>
    </w:p>
    <w:p>
      <w:pPr>
        <w:pStyle w:val="Heading2"/>
      </w:pPr>
      <w:r>
        <w:rPr>
          <w:rFonts w:ascii="Arial" w:cs="Arial" w:eastAsia="Arial" w:hAnsi="Arial"/>
          <w:b/>
          <w:bCs/>
        </w:rPr>
        <w:t xml:space="preserve">2.1  Architectural Overview</w:t>
      </w:r>
    </w:p>
    <w:p>
      <w:pPr>
        <w:spacing w:before="60" w:after="100"/>
        <w:jc w:val="both"/>
      </w:pPr>
      <w:r>
        <w:rPr>
          <w:rFonts w:ascii="Arial" w:cs="Arial" w:eastAsia="Arial" w:hAnsi="Arial"/>
          <w:b w:val="false"/>
          <w:bCs w:val="false"/>
          <w:i w:val="false"/>
          <w:iCs w:val="false"/>
          <w:color w:val="111111"/>
          <w:sz w:val="22"/>
          <w:szCs w:val="22"/>
        </w:rPr>
        <w:t xml:space="preserve">The BBLRS employs a three-tier client-server architecture augmented by a permissioned blockchain network. The architecture decouples the user interface, business logic, and data storage while ensuring that all land record mutations are routed through the Hyperledger Fabric ledger, making them cryptographically verifiable and tamper-proof.</w:t>
      </w:r>
    </w:p>
    <w:p>
      <w:pPr>
        <w:pStyle w:val="Heading2"/>
      </w:pPr>
      <w:r>
        <w:rPr>
          <w:rFonts w:ascii="Arial" w:cs="Arial" w:eastAsia="Arial" w:hAnsi="Arial"/>
          <w:b/>
          <w:bCs/>
        </w:rPr>
        <w:t xml:space="preserve">2.2  Architectural Layers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rPr>
          <w:tblHeader/>
        </w:trPr>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Components</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 Stack</w:t>
            </w:r>
          </w:p>
        </w:tc>
        <w:tc>
          <w:tcPr>
            <w:tcW w:type="dxa" w:w="3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Presentation</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Web Client (SPA)</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React.js 18, Bootstrap 5, Axios</w:t>
            </w:r>
          </w:p>
        </w:tc>
        <w:tc>
          <w:tcPr>
            <w:tcW w:type="dxa" w:w="3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Renders UI, handles user events, sends HTTP requests to the API layer</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Application</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REST API Server</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Node.js 18, Express.js 4, Fabric SDK, Multer, JWT, bcrypt</w:t>
            </w:r>
          </w:p>
        </w:tc>
        <w:tc>
          <w:tcPr>
            <w:tcW w:type="dxa" w:w="3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Authentication, RBAC enforcement, business logic, IPFS interaction, Fabric transaction submission</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Blockchain</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 Fabric Network</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Fabric 2.5, Docker, Chaincode (JS/Go), Fabric CA</w:t>
            </w:r>
          </w:p>
        </w:tc>
        <w:tc>
          <w:tcPr>
            <w:tcW w:type="dxa" w:w="3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Immutable ledger, smart contract execution, cryptographic signing, peer consensus</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Storage</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Relational DB + File Store</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MySQL 8 / SQLite 3, IPFS (local node)</w:t>
            </w:r>
          </w:p>
        </w:tc>
        <w:tc>
          <w:tcPr>
            <w:tcW w:type="dxa" w:w="3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 session data, supporting document blobs, off-chain file CID anchoring</w:t>
            </w:r>
          </w:p>
        </w:tc>
      </w:tr>
    </w:tbl>
    <w:p>
      <w:pPr>
        <w:pStyle w:val="Heading2"/>
      </w:pPr>
      <w:r>
        <w:rPr>
          <w:rFonts w:ascii="Arial" w:cs="Arial" w:eastAsia="Arial" w:hAnsi="Arial"/>
          <w:b/>
          <w:bCs/>
        </w:rPr>
        <w:t xml:space="preserve">2.3  Component Interaction Diagram (Textual)</w:t>
      </w:r>
    </w:p>
    <w:p>
      <w:pPr>
        <w:spacing w:before="60" w:after="100"/>
        <w:jc w:val="both"/>
      </w:pPr>
      <w:r>
        <w:rPr>
          <w:rFonts w:ascii="Arial" w:cs="Arial" w:eastAsia="Arial" w:hAnsi="Arial"/>
          <w:b w:val="false"/>
          <w:bCs w:val="false"/>
          <w:i w:val="false"/>
          <w:iCs w:val="false"/>
          <w:color w:val="111111"/>
          <w:sz w:val="22"/>
          <w:szCs w:val="22"/>
        </w:rPr>
        <w:t xml:space="preserve">The following describes the flow of a typical ownership transfer request through the system layers: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4526"/>
      </w:tblGrid>
      <w:tr>
        <w:trPr>
          <w:tblHeader/>
        </w:trPr>
        <w:tc>
          <w:tcPr>
            <w:tcW w:type="dxa" w:w="5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From</w:t>
            </w:r>
          </w:p>
        </w:tc>
        <w:tc>
          <w:tcPr>
            <w:tcW w:type="dxa" w:w="22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w:t>
            </w:r>
          </w:p>
        </w:tc>
        <w:tc>
          <w:tcPr>
            <w:tcW w:type="dxa" w:w="45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Protocol / Method</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Browser (Landowner)</w:t>
            </w:r>
          </w:p>
        </w:tc>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React SPA</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 interaction (button click)</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2</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SPA</w:t>
            </w:r>
          </w:p>
        </w:tc>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Express REST API</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HTTPS POST /api/v1/transfers (JSON payload + JWT)</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3</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Express API</w:t>
            </w:r>
          </w:p>
        </w:tc>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JWT Middleware</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Internal — validates token, extracts user role</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Express API</w:t>
            </w:r>
          </w:p>
        </w:tc>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MySQL</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SQL SELECT — verify parcel ownership and encumbrance status</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5</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Express API</w:t>
            </w:r>
          </w:p>
        </w:tc>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 Fabric Peer</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Fabric SDK — invoke OwnershipContract.initiateTransfer()</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6</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Fabric Peer</w:t>
            </w:r>
          </w:p>
        </w:tc>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Orderer</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gRPC — broadcast endorsed transaction for ordering</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Orderer</w:t>
            </w:r>
          </w:p>
        </w:tc>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All Peers</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gRPC — deliver block containing committed transaction</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8</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Express API</w:t>
            </w:r>
          </w:p>
        </w:tc>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SPA</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HTTPS 201 Created — transaction ID and status returned</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9</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React SPA</w:t>
            </w:r>
          </w:p>
        </w:tc>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Browser</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UI update — confirmation message displayed to user</w:t>
            </w:r>
          </w:p>
        </w:tc>
      </w:tr>
    </w:tbl>
    <w:p>
      <w:pPr>
        <w:pStyle w:val="Heading2"/>
      </w:pPr>
      <w:r>
        <w:rPr>
          <w:rFonts w:ascii="Arial" w:cs="Arial" w:eastAsia="Arial" w:hAnsi="Arial"/>
          <w:b/>
          <w:bCs/>
        </w:rPr>
        <w:t xml:space="preserve">2.4  Deployment Architecture</w:t>
      </w:r>
    </w:p>
    <w:p>
      <w:pPr>
        <w:spacing w:before="60" w:after="100"/>
        <w:jc w:val="both"/>
      </w:pPr>
      <w:r>
        <w:rPr>
          <w:rFonts w:ascii="Arial" w:cs="Arial" w:eastAsia="Arial" w:hAnsi="Arial"/>
          <w:b w:val="false"/>
          <w:bCs w:val="false"/>
          <w:i w:val="false"/>
          <w:iCs w:val="false"/>
          <w:color w:val="111111"/>
          <w:sz w:val="22"/>
          <w:szCs w:val="22"/>
        </w:rPr>
        <w:t xml:space="preserve">For the prototype, all components run on a single developer machine using Docker Compose. Each component is containerized and communicates over a Docker bridge network named land-registry-net.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826"/>
      </w:tblGrid>
      <w:tr>
        <w:trPr>
          <w:tblHeader/>
        </w:trPr>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Container Name</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Image / Base</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Port(s)</w:t>
            </w:r>
          </w:p>
        </w:tc>
        <w:tc>
          <w:tcPr>
            <w:tcW w:type="dxa" w:w="28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peer0.org1.example.com</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hyperledger/fabric-peer:2.5</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7051, 9444</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Org1 endorsing peer and anchor peer</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peer0.org2.example.com</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hyperledger/fabric-peer:2.5</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9051, 9445</w:t>
            </w:r>
          </w:p>
        </w:tc>
        <w:tc>
          <w:tcPr>
            <w:tcW w:type="dxa" w:w="28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Org2 endorsing peer</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orderer.example.com</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hyperledger/fabric-orderer:2.5</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7050, 9443</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Solo orderer (Raft for production)</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ca.org1.example.com</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hyperledger/fabric-ca:1.5</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7054</w:t>
            </w:r>
          </w:p>
        </w:tc>
        <w:tc>
          <w:tcPr>
            <w:tcW w:type="dxa" w:w="28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Certificate Authority for Org1</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ca.org2.example.com</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hyperledger/fabric-ca:1.5</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8054</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Certificate Authority for Org2</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couchdb0</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couchdb:3.3</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5984</w:t>
            </w:r>
          </w:p>
        </w:tc>
        <w:tc>
          <w:tcPr>
            <w:tcW w:type="dxa" w:w="28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State database for Org1 peer (rich queries)</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couchdb1</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couchdb:3.3</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7984</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State database for Org2 peer</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api-server</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node:18-alpine (custom)</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3000</w:t>
            </w:r>
          </w:p>
        </w:tc>
        <w:tc>
          <w:tcPr>
            <w:tcW w:type="dxa" w:w="28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Express.js REST API</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web-client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nginx:alpine (custom)</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80, 443</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Serves React SPA static build</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mysql</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mysql:8.0</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3306</w:t>
            </w:r>
          </w:p>
        </w:tc>
        <w:tc>
          <w:tcPr>
            <w:tcW w:type="dxa" w:w="28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Relational database for user auth</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ipfs-node</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ipfs/kubo:latest</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5001, 8080</w:t>
            </w:r>
          </w:p>
        </w:tc>
        <w:tc>
          <w:tcPr>
            <w:tcW w:type="dxa" w:w="28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Local IPFS node for document storage</w:t>
            </w:r>
          </w:p>
        </w:tc>
      </w:tr>
    </w:tbl>
    <w:p>
      <w:pPr>
        <w:pBdr>
          <w:bottom w:val="single" w:color="1F6AA5" w:sz="6" w:space="4"/>
        </w:pBdr>
        <w:spacing w:before="200" w:after="160"/>
      </w:pPr>
      <w:r>
        <w:t xml:space="preserve"/>
      </w:r>
    </w:p>
    <w:p>
      <w:pPr>
        <w:pStyle w:val="Heading1"/>
      </w:pPr>
      <w:r>
        <w:rPr>
          <w:rFonts w:ascii="Arial" w:cs="Arial" w:eastAsia="Arial" w:hAnsi="Arial"/>
          <w:b/>
          <w:bCs/>
        </w:rPr>
        <w:t xml:space="preserve">3.  Blockchain Network Design</w:t>
      </w:r>
    </w:p>
    <w:p>
      <w:pPr>
        <w:pStyle w:val="Heading2"/>
      </w:pPr>
      <w:r>
        <w:rPr>
          <w:rFonts w:ascii="Arial" w:cs="Arial" w:eastAsia="Arial" w:hAnsi="Arial"/>
          <w:b/>
          <w:bCs/>
        </w:rPr>
        <w:t xml:space="preserve">3.1  Network Topology</w:t>
      </w:r>
    </w:p>
    <w:p>
      <w:pPr>
        <w:spacing w:before="60" w:after="100"/>
        <w:jc w:val="both"/>
      </w:pPr>
      <w:r>
        <w:rPr>
          <w:rFonts w:ascii="Arial" w:cs="Arial" w:eastAsia="Arial" w:hAnsi="Arial"/>
          <w:b w:val="false"/>
          <w:bCs w:val="false"/>
          <w:i w:val="false"/>
          <w:iCs w:val="false"/>
          <w:color w:val="111111"/>
          <w:sz w:val="22"/>
          <w:szCs w:val="22"/>
        </w:rPr>
        <w:t xml:space="preserve">The BBLRS uses a Hyperledger Fabric permissioned blockchain with two organizations sharing a single application channel. This models the real-world scenario where the Ministry of Lands (Org1) and a County Government (Org2) jointly maintain the land registry with independent peer nodes.</w:t>
      </w:r>
    </w:p>
    <w:p>
      <w:pPr>
        <w:pStyle w:val="Heading2"/>
      </w:pPr>
      <w:r>
        <w:rPr>
          <w:rFonts w:ascii="Arial" w:cs="Arial" w:eastAsia="Arial" w:hAnsi="Arial"/>
          <w:b/>
          <w:bCs/>
        </w:rPr>
        <w:t xml:space="preserve">3.2  Organizations and MSP Configuration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1400"/>
        <w:gridCol w:w="1626"/>
      </w:tblGrid>
      <w:tr>
        <w:trPr>
          <w:tblHeader/>
        </w:trPr>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Organization</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MSP ID</w:t>
            </w:r>
          </w:p>
        </w:tc>
        <w:tc>
          <w:tcPr>
            <w:tcW w:type="dxa" w:w="2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Peers</w:t>
            </w:r>
          </w:p>
        </w:tc>
        <w:tc>
          <w:tcPr>
            <w:tcW w:type="dxa" w:w="16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Ministry of Lands (Org1)</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Org1MSP</w:t>
            </w:r>
          </w:p>
        </w:tc>
        <w:tc>
          <w:tcPr>
            <w:tcW w:type="dxa" w:w="2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Primary registry authority — creates and approves land records</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peer0.org1 (anchor)</w:t>
            </w:r>
          </w:p>
        </w:tc>
        <w:tc>
          <w:tcPr>
            <w:tcW w:type="dxa" w:w="1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ca.org1.example.com</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County Government (Org2)</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Org2MSP</w:t>
            </w:r>
          </w:p>
        </w:tc>
        <w:tc>
          <w:tcPr>
            <w:tcW w:type="dxa" w:w="2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Secondary validator — endorses transactions for regional oversight</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peer0.org2</w:t>
            </w:r>
          </w:p>
        </w:tc>
        <w:tc>
          <w:tcPr>
            <w:tcW w:type="dxa" w:w="1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ca.org2.example.com</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Orderer Org</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OrdererMSP</w:t>
            </w:r>
          </w:p>
        </w:tc>
        <w:tc>
          <w:tcPr>
            <w:tcW w:type="dxa" w:w="2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Orders transactions into blocks for ledger consistency</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N/A (orderer only)</w:t>
            </w:r>
          </w:p>
        </w:tc>
        <w:tc>
          <w:tcPr>
            <w:tcW w:type="dxa" w:w="1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Embedded in orderer</w:t>
            </w:r>
          </w:p>
        </w:tc>
      </w:tr>
    </w:tbl>
    <w:p>
      <w:pPr>
        <w:pStyle w:val="Heading2"/>
      </w:pPr>
      <w:r>
        <w:rPr>
          <w:rFonts w:ascii="Arial" w:cs="Arial" w:eastAsia="Arial" w:hAnsi="Arial"/>
          <w:b/>
          <w:bCs/>
        </w:rPr>
        <w:t xml:space="preserve">3.3  Channel Configuration</w:t>
      </w:r>
    </w:p>
    <w:p>
      <w:pPr>
        <w:pStyle w:val="ListParagraph"/>
        <w:numPr>
          <w:ilvl w:val="0"/>
          <w:numId w:val="2"/>
        </w:numPr>
        <w:spacing w:before="40" w:after="40"/>
      </w:pPr>
      <w:r>
        <w:rPr>
          <w:rFonts w:ascii="Arial" w:cs="Arial" w:eastAsia="Arial" w:hAnsi="Arial"/>
          <w:sz w:val="22"/>
          <w:szCs w:val="22"/>
        </w:rPr>
        <w:t xml:space="preserve">Channel Name: land-registry-channel</w:t>
      </w:r>
    </w:p>
    <w:p>
      <w:pPr>
        <w:pStyle w:val="ListParagraph"/>
        <w:numPr>
          <w:ilvl w:val="0"/>
          <w:numId w:val="2"/>
        </w:numPr>
        <w:spacing w:before="40" w:after="40"/>
      </w:pPr>
      <w:r>
        <w:rPr>
          <w:rFonts w:ascii="Arial" w:cs="Arial" w:eastAsia="Arial" w:hAnsi="Arial"/>
          <w:sz w:val="22"/>
          <w:szCs w:val="22"/>
        </w:rPr>
        <w:t xml:space="preserve">Members: Org1MSP, Org2MSP</w:t>
      </w:r>
    </w:p>
    <w:p>
      <w:pPr>
        <w:pStyle w:val="ListParagraph"/>
        <w:numPr>
          <w:ilvl w:val="0"/>
          <w:numId w:val="2"/>
        </w:numPr>
        <w:spacing w:before="40" w:after="40"/>
      </w:pPr>
      <w:r>
        <w:rPr>
          <w:rFonts w:ascii="Arial" w:cs="Arial" w:eastAsia="Arial" w:hAnsi="Arial"/>
          <w:sz w:val="22"/>
          <w:szCs w:val="22"/>
        </w:rPr>
        <w:t xml:space="preserve">Endorsement Policy: AND('Org1MSP.peer', 'Org2MSP.peer') — both organizations must endorse every transaction, ensuring no single party can unilaterally alter records</w:t>
      </w:r>
    </w:p>
    <w:p>
      <w:pPr>
        <w:pStyle w:val="ListParagraph"/>
        <w:numPr>
          <w:ilvl w:val="0"/>
          <w:numId w:val="2"/>
        </w:numPr>
        <w:spacing w:before="40" w:after="40"/>
      </w:pPr>
      <w:r>
        <w:rPr>
          <w:rFonts w:ascii="Arial" w:cs="Arial" w:eastAsia="Arial" w:hAnsi="Arial"/>
          <w:sz w:val="22"/>
          <w:szCs w:val="22"/>
        </w:rPr>
        <w:t xml:space="preserve">Block Cutting Parameters: BatchTimeout = 2s; MaxMessageCount = 10; AbsoluteMaxBytes = 99MB; PreferredMaxBytes = 512KB</w:t>
      </w:r>
    </w:p>
    <w:p>
      <w:pPr>
        <w:pStyle w:val="ListParagraph"/>
        <w:numPr>
          <w:ilvl w:val="0"/>
          <w:numId w:val="2"/>
        </w:numPr>
        <w:spacing w:before="40" w:after="40"/>
      </w:pPr>
      <w:r>
        <w:rPr>
          <w:rFonts w:ascii="Arial" w:cs="Arial" w:eastAsia="Arial" w:hAnsi="Arial"/>
          <w:sz w:val="22"/>
          <w:szCs w:val="22"/>
        </w:rPr>
        <w:t xml:space="preserve">Consensus: Solo orderer for prototype; Raft consensus recommended for production deployment</w:t>
      </w:r>
    </w:p>
    <w:p>
      <w:pPr>
        <w:pStyle w:val="Heading2"/>
      </w:pPr>
      <w:r>
        <w:rPr>
          <w:rFonts w:ascii="Arial" w:cs="Arial" w:eastAsia="Arial" w:hAnsi="Arial"/>
          <w:b/>
          <w:bCs/>
        </w:rPr>
        <w:t xml:space="preserve">3.4  Ledger State Database</w:t>
      </w:r>
    </w:p>
    <w:p>
      <w:pPr>
        <w:spacing w:before="60" w:after="100"/>
        <w:jc w:val="both"/>
      </w:pPr>
      <w:r>
        <w:rPr>
          <w:rFonts w:ascii="Arial" w:cs="Arial" w:eastAsia="Arial" w:hAnsi="Arial"/>
          <w:b w:val="false"/>
          <w:bCs w:val="false"/>
          <w:i w:val="false"/>
          <w:iCs w:val="false"/>
          <w:color w:val="111111"/>
          <w:sz w:val="22"/>
          <w:szCs w:val="22"/>
        </w:rPr>
        <w:t xml:space="preserve">CouchDB 3.3 is used as the world state database instead of the default LevelDB. This enables rich JSON queries against land parcel state, supporting use cases such as 'find all parcels owned by nationalID X' or 'list all encumbered parcels in Nakuru County' without iterating the entire ledger.</w:t>
      </w:r>
    </w:p>
    <w:p>
      <w:pPr>
        <w:pStyle w:val="Heading2"/>
      </w:pPr>
      <w:r>
        <w:rPr>
          <w:rFonts w:ascii="Arial" w:cs="Arial" w:eastAsia="Arial" w:hAnsi="Arial"/>
          <w:b/>
          <w:bCs/>
        </w:rPr>
        <w:t xml:space="preserve">3.5  Identity and Certificate Management</w:t>
      </w:r>
    </w:p>
    <w:p>
      <w:pPr>
        <w:pStyle w:val="ListParagraph"/>
        <w:numPr>
          <w:ilvl w:val="0"/>
          <w:numId w:val="2"/>
        </w:numPr>
        <w:spacing w:before="40" w:after="40"/>
      </w:pPr>
      <w:r>
        <w:rPr>
          <w:rFonts w:ascii="Arial" w:cs="Arial" w:eastAsia="Arial" w:hAnsi="Arial"/>
          <w:sz w:val="22"/>
          <w:szCs w:val="22"/>
        </w:rPr>
        <w:t xml:space="preserve">All participants (admins, peers, orderers, end-users) receive X.509 certificates issued by their organization's Fabric CA.</w:t>
      </w:r>
    </w:p>
    <w:p>
      <w:pPr>
        <w:pStyle w:val="ListParagraph"/>
        <w:numPr>
          <w:ilvl w:val="0"/>
          <w:numId w:val="2"/>
        </w:numPr>
        <w:spacing w:before="40" w:after="40"/>
      </w:pPr>
      <w:r>
        <w:rPr>
          <w:rFonts w:ascii="Arial" w:cs="Arial" w:eastAsia="Arial" w:hAnsi="Arial"/>
          <w:sz w:val="22"/>
          <w:szCs w:val="22"/>
        </w:rPr>
        <w:t xml:space="preserve">End-user certificates are enrolled at registration time via the API server using the fabric-ca-client SDK.</w:t>
      </w:r>
    </w:p>
    <w:p>
      <w:pPr>
        <w:pStyle w:val="ListParagraph"/>
        <w:numPr>
          <w:ilvl w:val="0"/>
          <w:numId w:val="2"/>
        </w:numPr>
        <w:spacing w:before="40" w:after="40"/>
      </w:pPr>
      <w:r>
        <w:rPr>
          <w:rFonts w:ascii="Arial" w:cs="Arial" w:eastAsia="Arial" w:hAnsi="Arial"/>
          <w:sz w:val="22"/>
          <w:szCs w:val="22"/>
        </w:rPr>
        <w:t xml:space="preserve">Each transaction is signed with the submitting user's private key; the signature is verified by endorsing peers before execution.</w:t>
      </w:r>
    </w:p>
    <w:p>
      <w:pPr>
        <w:pStyle w:val="ListParagraph"/>
        <w:numPr>
          <w:ilvl w:val="0"/>
          <w:numId w:val="2"/>
        </w:numPr>
        <w:spacing w:before="40" w:after="40"/>
      </w:pPr>
      <w:r>
        <w:rPr>
          <w:rFonts w:ascii="Arial" w:cs="Arial" w:eastAsia="Arial" w:hAnsi="Arial"/>
          <w:sz w:val="22"/>
          <w:szCs w:val="22"/>
        </w:rPr>
        <w:t xml:space="preserve">Certificate Revocation Lists (CRLs) are maintained by each CA; revoked certificates are rejected by the network.</w:t>
      </w:r>
    </w:p>
    <w:p>
      <w:pPr>
        <w:pStyle w:val="ListParagraph"/>
        <w:numPr>
          <w:ilvl w:val="0"/>
          <w:numId w:val="2"/>
        </w:numPr>
        <w:spacing w:before="40" w:after="40"/>
      </w:pPr>
      <w:r>
        <w:rPr>
          <w:rFonts w:ascii="Arial" w:cs="Arial" w:eastAsia="Arial" w:hAnsi="Arial"/>
          <w:sz w:val="22"/>
          <w:szCs w:val="22"/>
        </w:rPr>
        <w:t xml:space="preserve">Admin certificates for Org1 and Org2 are generated at network bootstrap and stored securely in the crypto-config directory.</w:t>
      </w:r>
    </w:p>
    <w:p>
      <w:pPr>
        <w:pBdr>
          <w:bottom w:val="single" w:color="1F6AA5" w:sz="6" w:space="4"/>
        </w:pBdr>
        <w:spacing w:before="200" w:after="160"/>
      </w:pPr>
      <w:r>
        <w:t xml:space="preserve"/>
      </w:r>
    </w:p>
    <w:p>
      <w:pPr>
        <w:pStyle w:val="Heading1"/>
      </w:pPr>
      <w:r>
        <w:rPr>
          <w:rFonts w:ascii="Arial" w:cs="Arial" w:eastAsia="Arial" w:hAnsi="Arial"/>
          <w:b/>
          <w:bCs/>
        </w:rPr>
        <w:t xml:space="preserve">4.  Smart Contract (Chaincode) Design</w:t>
      </w:r>
    </w:p>
    <w:p>
      <w:pPr>
        <w:pStyle w:val="Heading2"/>
      </w:pPr>
      <w:r>
        <w:rPr>
          <w:rFonts w:ascii="Arial" w:cs="Arial" w:eastAsia="Arial" w:hAnsi="Arial"/>
          <w:b/>
          <w:bCs/>
        </w:rPr>
        <w:t xml:space="preserve">4.1  Chaincode Overview</w:t>
      </w:r>
    </w:p>
    <w:p>
      <w:pPr>
        <w:spacing w:before="60" w:after="100"/>
        <w:jc w:val="both"/>
      </w:pPr>
      <w:r>
        <w:rPr>
          <w:rFonts w:ascii="Arial" w:cs="Arial" w:eastAsia="Arial" w:hAnsi="Arial"/>
          <w:b w:val="false"/>
          <w:bCs w:val="false"/>
          <w:i w:val="false"/>
          <w:iCs w:val="false"/>
          <w:color w:val="111111"/>
          <w:sz w:val="22"/>
          <w:szCs w:val="22"/>
        </w:rPr>
        <w:t xml:space="preserve">Four chaincode contracts are deployed on the land-registry-channel, each responsible for a distinct domain of functionality. All contracts are written in JavaScript (Node.js) using the fabric-contract-api package and are packaged together as a single chaincode deployment unit.</w:t>
      </w:r>
    </w:p>
    <w:p>
      <w:pPr>
        <w:pStyle w:val="Heading2"/>
      </w:pPr>
      <w:r>
        <w:rPr>
          <w:rFonts w:ascii="Arial" w:cs="Arial" w:eastAsia="Arial" w:hAnsi="Arial"/>
          <w:b/>
          <w:bCs/>
        </w:rPr>
        <w:t xml:space="preserve">4.2  LandParcelContract</w:t>
      </w:r>
    </w:p>
    <w:p>
      <w:pPr>
        <w:pStyle w:val="Heading3"/>
      </w:pPr>
      <w:r>
        <w:rPr>
          <w:rFonts w:ascii="Arial" w:cs="Arial" w:eastAsia="Arial" w:hAnsi="Arial"/>
          <w:b/>
          <w:bCs/>
        </w:rPr>
        <w:t xml:space="preserve">4.2.1  Responsibility</w:t>
      </w:r>
    </w:p>
    <w:p>
      <w:pPr>
        <w:spacing w:before="60" w:after="100"/>
        <w:jc w:val="both"/>
      </w:pPr>
      <w:r>
        <w:rPr>
          <w:rFonts w:ascii="Arial" w:cs="Arial" w:eastAsia="Arial" w:hAnsi="Arial"/>
          <w:b w:val="false"/>
          <w:bCs w:val="false"/>
          <w:i w:val="false"/>
          <w:iCs w:val="false"/>
          <w:color w:val="111111"/>
          <w:sz w:val="22"/>
          <w:szCs w:val="22"/>
        </w:rPr>
        <w:t xml:space="preserve">Manages the full lifecycle of land parcels from initial registration through status updates. This contract is the authoritative source for current parcel state on the ledger.</w:t>
      </w:r>
    </w:p>
    <w:p>
      <w:pPr>
        <w:pStyle w:val="Heading3"/>
      </w:pPr>
      <w:r>
        <w:rPr>
          <w:rFonts w:ascii="Arial" w:cs="Arial" w:eastAsia="Arial" w:hAnsi="Arial"/>
          <w:b/>
          <w:bCs/>
        </w:rPr>
        <w:t xml:space="preserve">4.2.2  Data Model (Asset State)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LandParcel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parcelID       : string   // UUID — primary key, immutable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titleNumber    : string   // Official government title number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county         : string   // Kenyan county name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subCounty      : string</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ward           : string</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areaHectares   : number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gpsCoordinates : { lat: number, lng: number, polygon: string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landUseType    : string   // RESIDENTIAL | AGRICULTURAL | COMMERCIAL | INDUSTRIAL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registrationDate : string // ISO 8601</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currentOwnerID : string   // References User.nationalID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status         : string   // ACTIVE | DISPUTED | ENCUMBERED | INACTIVE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ipfsDocHash    : string   // CID of title deed on IPFS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registrarID    : string   // National ID of registering officer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docType        : 'LAND_PARCEL'  // Facilitates CouchDB index queries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3"/>
      </w:pPr>
      <w:r>
        <w:rPr>
          <w:rFonts w:ascii="Arial" w:cs="Arial" w:eastAsia="Arial" w:hAnsi="Arial"/>
          <w:b/>
          <w:bCs/>
        </w:rPr>
        <w:t xml:space="preserve">4.2.3  Functions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626"/>
      </w:tblGrid>
      <w:tr>
        <w:trPr>
          <w:tblHeader/>
        </w:trPr>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Function</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Parameters</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36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createParcel()</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parcelData (JSON)</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Validates uniqueness of titleNumber, creates parcel asset on ledger, emits CreateParcelEvent</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getParcel()</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parcelID</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Retrieves current state of a parcel by its UUID</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queryParcelsByOwner()</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ownerNationalID</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3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Rich CouchDB query returning all parcels for a given owner</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queryParcelsByCounty()</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county, landUseType?</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all active parcels in a county, optionally filtered by use type</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updateParcelStatus()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parcelID, newStatus</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Updates parcel status (e.g., marks as DISPUTED); creates audit event</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attachDocument()</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parcelID, ipfsHash, docType</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Anchors an IPFS document CID to the parcel record on-chain</w:t>
            </w:r>
          </w:p>
        </w:tc>
      </w:tr>
    </w:tbl>
    <w:p>
      <w:pPr>
        <w:pStyle w:val="Heading2"/>
      </w:pPr>
      <w:r>
        <w:rPr>
          <w:rFonts w:ascii="Arial" w:cs="Arial" w:eastAsia="Arial" w:hAnsi="Arial"/>
          <w:b/>
          <w:bCs/>
        </w:rPr>
        <w:t xml:space="preserve">4.3  OwnershipContract</w:t>
      </w:r>
    </w:p>
    <w:p>
      <w:pPr>
        <w:pStyle w:val="Heading3"/>
      </w:pPr>
      <w:r>
        <w:rPr>
          <w:rFonts w:ascii="Arial" w:cs="Arial" w:eastAsia="Arial" w:hAnsi="Arial"/>
          <w:b/>
          <w:bCs/>
        </w:rPr>
        <w:t xml:space="preserve">4.3.1  Responsibility</w:t>
      </w:r>
    </w:p>
    <w:p>
      <w:pPr>
        <w:spacing w:before="60" w:after="100"/>
        <w:jc w:val="both"/>
      </w:pPr>
      <w:r>
        <w:rPr>
          <w:rFonts w:ascii="Arial" w:cs="Arial" w:eastAsia="Arial" w:hAnsi="Arial"/>
          <w:b w:val="false"/>
          <w:bCs w:val="false"/>
          <w:i w:val="false"/>
          <w:iCs w:val="false"/>
          <w:color w:val="111111"/>
          <w:sz w:val="22"/>
          <w:szCs w:val="22"/>
        </w:rPr>
        <w:t xml:space="preserve">Manages ownership transfer workflows including initiation, approval, and recording of completed transfers. Maintains the complete immutable chain of title for every parcel.</w:t>
      </w:r>
    </w:p>
    <w:p>
      <w:pPr>
        <w:pStyle w:val="Heading3"/>
      </w:pPr>
      <w:r>
        <w:rPr>
          <w:rFonts w:ascii="Arial" w:cs="Arial" w:eastAsia="Arial" w:hAnsi="Arial"/>
          <w:b/>
          <w:bCs/>
        </w:rPr>
        <w:t xml:space="preserve">4.3.2  Data Model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OwnershipRecord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transferID      : string   // UUID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parcelID        : string   // FK to LandParcel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previousOwnerID : string   // National ID of seller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newOwnerID      : string   // National ID of buyer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transferDate    : string   // ISO 8601</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salePriceKES    : number   // In Kenyan Shillings (integer)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transferType    : string   // SALE | GIFT | INHERITANCE | COURT_ORDER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registrarID     : string   // Approving officer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status          : string   // PENDING | APPROVED | REJECTED | CANCELLED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txTimestamp     : string   // Fabric transaction timestamp</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docType         : 'OWNERSHIP_RECORD'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3"/>
      </w:pPr>
      <w:r>
        <w:rPr>
          <w:rFonts w:ascii="Arial" w:cs="Arial" w:eastAsia="Arial" w:hAnsi="Arial"/>
          <w:b/>
          <w:bCs/>
        </w:rPr>
        <w:t xml:space="preserve">4.3.3  Functions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426"/>
      </w:tblGrid>
      <w:tr>
        <w:trPr>
          <w:tblHeader/>
        </w:trPr>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Function</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Parameters</w:t>
            </w:r>
          </w:p>
        </w:tc>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34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initiateTransfer()</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parcelID, newOwnerID, salePrice, type</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OWNER / LEGAL</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Validates caller is current owner and parcel has no active encumbrances; creates PENDING transfer record</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approveTransfer()</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transferID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Updates transfer status to APPROVED; atomically updates LandParcel.currentOwnerID; emits OwnershipTransferEvent</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rejectTransfer()</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transferID, reason</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Updates transfer status to REJECTED with reason; no parcel state change</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cancelTransfer()</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transferID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OWNER</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Allows owner to cancel a pending transfer before registrar action</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getOwnershipHistory()</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parcelID</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Returns all OwnershipRecords for a parcel in chronological order</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verifyCurrentOwner()</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parcelID, claimedOwnerID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boolean — confirms if a given national ID is current owner</w:t>
            </w:r>
          </w:p>
        </w:tc>
      </w:tr>
    </w:tbl>
    <w:p>
      <w:pPr>
        <w:pStyle w:val="Heading2"/>
      </w:pPr>
      <w:r>
        <w:rPr>
          <w:rFonts w:ascii="Arial" w:cs="Arial" w:eastAsia="Arial" w:hAnsi="Arial"/>
          <w:b/>
          <w:bCs/>
        </w:rPr>
        <w:t xml:space="preserve">4.4  EncumbranceContract</w:t>
      </w:r>
    </w:p>
    <w:p>
      <w:pPr>
        <w:pStyle w:val="Heading3"/>
      </w:pPr>
      <w:r>
        <w:rPr>
          <w:rFonts w:ascii="Arial" w:cs="Arial" w:eastAsia="Arial" w:hAnsi="Arial"/>
          <w:b/>
          <w:bCs/>
        </w:rPr>
        <w:t xml:space="preserve">4.4.1  Responsibility</w:t>
      </w:r>
    </w:p>
    <w:p>
      <w:pPr>
        <w:spacing w:before="60" w:after="100"/>
        <w:jc w:val="both"/>
      </w:pPr>
      <w:r>
        <w:rPr>
          <w:rFonts w:ascii="Arial" w:cs="Arial" w:eastAsia="Arial" w:hAnsi="Arial"/>
          <w:b w:val="false"/>
          <w:bCs w:val="false"/>
          <w:i w:val="false"/>
          <w:iCs w:val="false"/>
          <w:color w:val="111111"/>
          <w:sz w:val="22"/>
          <w:szCs w:val="22"/>
        </w:rPr>
        <w:t xml:space="preserve">Records and manages financial claims against land parcels including mortgages, liens, caveats, and easements. An active encumbrance prevents ownership transfers.</w:t>
      </w:r>
    </w:p>
    <w:p>
      <w:pPr>
        <w:pStyle w:val="Heading3"/>
      </w:pPr>
      <w:r>
        <w:rPr>
          <w:rFonts w:ascii="Arial" w:cs="Arial" w:eastAsia="Arial" w:hAnsi="Arial"/>
          <w:b/>
          <w:bCs/>
        </w:rPr>
        <w:t xml:space="preserve">4.4.2  Data Model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Encumbrance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encumbranceID   : string   // UUID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parcelID        : string   // FK to LandParcel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encumbranceType : string   // MORTGAGE | LIEN | CAVEAT | EASEMENT</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creditorID      : string   // National ID or institution code of creditor</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creditorName    : string</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amountKES       : number   // 0 for non-monetary encumbrances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registrationDate : string</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expiryDate      : string   // null if open-ended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dischargeDate   : string   // null if still active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status          : string   // ACTIVE | DISCHARGED | EXPIRED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registrarID     : string</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docType         : 'ENCUMBRANCE'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3"/>
      </w:pPr>
      <w:r>
        <w:rPr>
          <w:rFonts w:ascii="Arial" w:cs="Arial" w:eastAsia="Arial" w:hAnsi="Arial"/>
          <w:b/>
          <w:bCs/>
        </w:rPr>
        <w:t xml:space="preserve">4.4.3  Functions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Function</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Parameters</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3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registerEncumbrance()</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parcelID, encumbranceData</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 / FINANCIAL</w:t>
            </w:r>
          </w:p>
        </w:tc>
        <w:tc>
          <w:tcPr>
            <w:tcW w:type="dxa" w:w="3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Creates encumbrance record; updates LandParcel.status to ENCUMBERED if mortgage/lien</w:t>
            </w:r>
          </w:p>
        </w:tc>
      </w:tr>
      <w:tr>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dischargeEncumbrance()</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encumbranceID, dischargeDate</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 / FINANCIAL</w:t>
            </w:r>
          </w:p>
        </w:tc>
        <w:tc>
          <w:tcPr>
            <w:tcW w:type="dxa" w:w="3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Sets status to DISCHARGED; if no remaining active encumbrances, resets LandParcel.status to ACTIVE</w:t>
            </w:r>
          </w:p>
        </w:tc>
      </w:tr>
      <w:tr>
        <w:tc>
          <w:tcPr>
            <w:tcW w:type="dxa" w:w="2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getEncumbrances()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parcelID</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Returns all encumbrances (active and historical) for a parcel</w:t>
            </w:r>
          </w:p>
        </w:tc>
      </w:tr>
      <w:tr>
        <w:tc>
          <w:tcPr>
            <w:tcW w:type="dxa" w:w="2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getActiveEncumbrances()</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parcelID</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only ACTIVE encumbrances — used by OwnershipContract before approving transfers</w:t>
            </w:r>
          </w:p>
        </w:tc>
      </w:tr>
    </w:tbl>
    <w:p>
      <w:pPr>
        <w:pStyle w:val="Heading2"/>
      </w:pPr>
      <w:r>
        <w:rPr>
          <w:rFonts w:ascii="Arial" w:cs="Arial" w:eastAsia="Arial" w:hAnsi="Arial"/>
          <w:b/>
          <w:bCs/>
        </w:rPr>
        <w:t xml:space="preserve">4.5  AuditContract</w:t>
      </w:r>
    </w:p>
    <w:p>
      <w:pPr>
        <w:spacing w:before="60" w:after="100"/>
        <w:jc w:val="both"/>
      </w:pPr>
      <w:r>
        <w:rPr>
          <w:rFonts w:ascii="Arial" w:cs="Arial" w:eastAsia="Arial" w:hAnsi="Arial"/>
          <w:b w:val="false"/>
          <w:bCs w:val="false"/>
          <w:i w:val="false"/>
          <w:iCs w:val="false"/>
          <w:color w:val="111111"/>
          <w:sz w:val="22"/>
          <w:szCs w:val="22"/>
        </w:rPr>
        <w:t xml:space="preserve">Every state-changing operation in the other three contracts calls AuditContract.logEvent() as an internal transaction. This creates an independent, tamper-proof event log on the ledger.</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Function</w:t>
            </w:r>
          </w:p>
        </w:tc>
        <w:tc>
          <w:tcPr>
            <w:tcW w:type="dxa" w:w="2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Parameters</w:t>
            </w:r>
          </w:p>
        </w:tc>
        <w:tc>
          <w:tcPr>
            <w:tcW w:type="dxa" w:w="4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logEvent()</w:t>
            </w:r>
          </w:p>
        </w:tc>
        <w:tc>
          <w:tcPr>
            <w:tcW w:type="dxa" w:w="2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eventType, actorID, targetEntity, targetID, details</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Creates immutable audit event with Fabric timestamp, block number, and transaction ID</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getAuditTrail()</w:t>
            </w:r>
          </w:p>
        </w:tc>
        <w:tc>
          <w:tcPr>
            <w:tcW w:type="dxa" w:w="2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targetEntity, targetID</w:t>
            </w:r>
          </w:p>
        </w:tc>
        <w:tc>
          <w:tcPr>
            <w:tcW w:type="dxa" w:w="4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all audit events for a specific entity (e.g., a parcel or user)</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getEventsByActor()</w:t>
            </w:r>
          </w:p>
        </w:tc>
        <w:tc>
          <w:tcPr>
            <w:tcW w:type="dxa" w:w="2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actorID, fromDate, toDate</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Returns all actions performed by a specific user in a date range</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getEventsByType()</w:t>
            </w:r>
          </w:p>
        </w:tc>
        <w:tc>
          <w:tcPr>
            <w:tcW w:type="dxa" w:w="2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eventType, fromDate, toDate</w:t>
            </w:r>
          </w:p>
        </w:tc>
        <w:tc>
          <w:tcPr>
            <w:tcW w:type="dxa" w:w="4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all events of a given type for system-wide reporting</w:t>
            </w:r>
          </w:p>
        </w:tc>
      </w:tr>
    </w:tbl>
    <w:p>
      <w:pPr>
        <w:pBdr>
          <w:bottom w:val="single" w:color="1F6AA5" w:sz="6" w:space="4"/>
        </w:pBdr>
        <w:spacing w:before="200" w:after="160"/>
      </w:pPr>
      <w:r>
        <w:t xml:space="preserve"/>
      </w:r>
    </w:p>
    <w:p>
      <w:pPr>
        <w:pStyle w:val="Heading1"/>
      </w:pPr>
      <w:r>
        <w:rPr>
          <w:rFonts w:ascii="Arial" w:cs="Arial" w:eastAsia="Arial" w:hAnsi="Arial"/>
          <w:b/>
          <w:bCs/>
        </w:rPr>
        <w:t xml:space="preserve">5.  Database Design (Off-Chain — MySQL/SQLite)</w:t>
      </w:r>
    </w:p>
    <w:p>
      <w:pPr>
        <w:pStyle w:val="Heading2"/>
      </w:pPr>
      <w:r>
        <w:rPr>
          <w:rFonts w:ascii="Arial" w:cs="Arial" w:eastAsia="Arial" w:hAnsi="Arial"/>
          <w:b/>
          <w:bCs/>
        </w:rPr>
        <w:t xml:space="preserve">5.1  Purpose</w:t>
      </w:r>
    </w:p>
    <w:p>
      <w:pPr>
        <w:spacing w:before="60" w:after="100"/>
        <w:jc w:val="both"/>
      </w:pPr>
      <w:r>
        <w:rPr>
          <w:rFonts w:ascii="Arial" w:cs="Arial" w:eastAsia="Arial" w:hAnsi="Arial"/>
          <w:b w:val="false"/>
          <w:bCs w:val="false"/>
          <w:i w:val="false"/>
          <w:iCs w:val="false"/>
          <w:color w:val="111111"/>
          <w:sz w:val="22"/>
          <w:szCs w:val="22"/>
        </w:rPr>
        <w:t xml:space="preserve">The off-chain relational database stores data that does not belong on the blockchain — specifically user identity, authentication credentials, session tokens, and system configuration. All land record data is authoritative only on the blockchain; the database never duplicates land records.</w:t>
      </w:r>
    </w:p>
    <w:p>
      <w:pPr>
        <w:pStyle w:val="Heading2"/>
      </w:pPr>
      <w:r>
        <w:rPr>
          <w:rFonts w:ascii="Arial" w:cs="Arial" w:eastAsia="Arial" w:hAnsi="Arial"/>
          <w:b/>
          <w:bCs/>
        </w:rPr>
        <w:t xml:space="preserve">5.2  Entity-Relationship Summary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rPr>
          <w:tblHeader/>
        </w:trPr>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Primary Key</w:t>
            </w:r>
          </w:p>
        </w:tc>
        <w:tc>
          <w:tcPr>
            <w:tcW w:type="dxa" w:w="2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22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Foreign Keys</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user_id (UUID)</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Core user identity and credentials</w:t>
            </w:r>
          </w:p>
        </w:tc>
        <w:tc>
          <w:tcPr>
            <w:tcW w:type="dxa" w:w="2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None</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user_roles</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role_id (INT)</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Role definitions and permission sets</w:t>
            </w:r>
          </w:p>
        </w:tc>
        <w:tc>
          <w:tcPr>
            <w:tcW w:type="dxa" w:w="2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None</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user_role_assignments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assignment_id</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Many-to-many user-role mapping</w:t>
            </w:r>
          </w:p>
        </w:tc>
        <w:tc>
          <w:tcPr>
            <w:tcW w:type="dxa" w:w="2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user_id, role_id</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sessions</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session_id (UUID)</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Active JWT session tracking</w:t>
            </w:r>
          </w:p>
        </w:tc>
        <w:tc>
          <w:tcPr>
            <w:tcW w:type="dxa" w:w="2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user_id</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mfa_tokens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token_id (UUID)</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OTP tokens for MFA verification</w:t>
            </w:r>
          </w:p>
        </w:tc>
        <w:tc>
          <w:tcPr>
            <w:tcW w:type="dxa" w:w="2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user_id</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login_attempts</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attempt_id</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Login attempt tracking for brute-force detection</w:t>
            </w:r>
          </w:p>
        </w:tc>
        <w:tc>
          <w:tcPr>
            <w:tcW w:type="dxa" w:w="2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user_id</w:t>
            </w:r>
          </w:p>
        </w:tc>
      </w:tr>
      <w:tr>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notifications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notification_id</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Email/SMS notification queue</w:t>
            </w:r>
          </w:p>
        </w:tc>
        <w:tc>
          <w:tcPr>
            <w:tcW w:type="dxa" w:w="2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user_id</w:t>
            </w:r>
          </w:p>
        </w:tc>
      </w:tr>
      <w:tr>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system_config</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config_key</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Key-value application configuration</w:t>
            </w:r>
          </w:p>
        </w:tc>
        <w:tc>
          <w:tcPr>
            <w:tcW w:type="dxa" w:w="2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None</w:t>
            </w:r>
          </w:p>
        </w:tc>
      </w:tr>
    </w:tbl>
    <w:p>
      <w:pPr>
        <w:pStyle w:val="Heading2"/>
      </w:pPr>
      <w:r>
        <w:rPr>
          <w:rFonts w:ascii="Arial" w:cs="Arial" w:eastAsia="Arial" w:hAnsi="Arial"/>
          <w:b/>
          <w:bCs/>
        </w:rPr>
        <w:t xml:space="preserve">5.3  Table Schemas</w:t>
      </w:r>
    </w:p>
    <w:p>
      <w:pPr>
        <w:pStyle w:val="Heading3"/>
      </w:pPr>
      <w:r>
        <w:rPr>
          <w:rFonts w:ascii="Arial" w:cs="Arial" w:eastAsia="Arial" w:hAnsi="Arial"/>
          <w:b/>
          <w:bCs/>
        </w:rPr>
        <w:t xml:space="preserve">5.3.1  users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CREATE TABLE users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user_id          VARCHAR(36)  PRIMARY KEY DEFAULT (UUID()),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national_id      VARCHAR(20)  NOT NULL UNIQUE,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full_name        VARCHAR(150) NOT NULL,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email            VARCHAR(100) NOT NULL UNIQUE,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phone_number     VARCHAR(20)  NOT NULL,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password_hash    VARCHAR(255) NOT NULL,  -- bcrypt, cost=12</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fabric_cert      TEXT,                   -- enrolled X.509 PEM</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is_active        BOOLEAN     DEFAULT TRUE,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failed_logins    TINYINT     DEFAULT 0,</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locked_until     DATETIME    NULL,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created_at       DATETIME    DEFAULT NOW(),</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updated_at       DATETIME    DEFAULT NOW() ON UPDATE NOW(),</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national_id_enc  VARBINARY(512) NULL      -- AES-256 encrypted copy</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3"/>
      </w:pPr>
      <w:r>
        <w:rPr>
          <w:rFonts w:ascii="Arial" w:cs="Arial" w:eastAsia="Arial" w:hAnsi="Arial"/>
          <w:b/>
          <w:bCs/>
        </w:rPr>
        <w:t xml:space="preserve">5.3.2  user_roles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CREATE TABLE user_roles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role_id    INT AUTO_INCREMENT PRIMARY KEY,</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role_name  ENUM('PUBLIC','LANDOWNER','REGISTRAR','LEGAL','FINANCIAL','ADMIN') UNIQUE,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description VARCHAR(255)</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3"/>
      </w:pPr>
      <w:r>
        <w:rPr>
          <w:rFonts w:ascii="Arial" w:cs="Arial" w:eastAsia="Arial" w:hAnsi="Arial"/>
          <w:b/>
          <w:bCs/>
        </w:rPr>
        <w:t xml:space="preserve">5.3.3  sessions</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CREATE TABLE sessions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session_id   VARCHAR(36) PRIMARY KEY,</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user_id      VARCHAR(36) NOT NULL REFERENCES users(user_id),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jwt_jti      VARCHAR(36) UNIQUE NOT NULL, -- JWT ID claim</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issued_at    DATETIME   NOT NULL,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expires_at   DATETIME   NOT NULL,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ip_address   VARCHAR(45),</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user_agent   VARCHAR(512),</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revoked      BOOLEAN    DEFAULT FALSE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Style w:val="Heading2"/>
      </w:pPr>
      <w:r>
        <w:rPr>
          <w:rFonts w:ascii="Arial" w:cs="Arial" w:eastAsia="Arial" w:hAnsi="Arial"/>
          <w:b/>
          <w:bCs/>
        </w:rPr>
        <w:t xml:space="preserve">5.4  Indexes</w:t>
      </w:r>
    </w:p>
    <w:p>
      <w:pPr>
        <w:pStyle w:val="ListParagraph"/>
        <w:numPr>
          <w:ilvl w:val="0"/>
          <w:numId w:val="2"/>
        </w:numPr>
        <w:spacing w:before="40" w:after="40"/>
      </w:pPr>
      <w:r>
        <w:rPr>
          <w:rFonts w:ascii="Arial" w:cs="Arial" w:eastAsia="Arial" w:hAnsi="Arial"/>
          <w:sz w:val="22"/>
          <w:szCs w:val="22"/>
        </w:rPr>
        <w:t xml:space="preserve">users: INDEX idx_email ON users(email); INDEX idx_national_id ON users(national_id)</w:t>
      </w:r>
    </w:p>
    <w:p>
      <w:pPr>
        <w:pStyle w:val="ListParagraph"/>
        <w:numPr>
          <w:ilvl w:val="0"/>
          <w:numId w:val="2"/>
        </w:numPr>
        <w:spacing w:before="40" w:after="40"/>
      </w:pPr>
      <w:r>
        <w:rPr>
          <w:rFonts w:ascii="Arial" w:cs="Arial" w:eastAsia="Arial" w:hAnsi="Arial"/>
          <w:sz w:val="22"/>
          <w:szCs w:val="22"/>
        </w:rPr>
        <w:t xml:space="preserve">sessions: INDEX idx_jti ON sessions(jwt_jti); INDEX idx_user_sessions ON sessions(user_id, expires_at)</w:t>
      </w:r>
    </w:p>
    <w:p>
      <w:pPr>
        <w:pStyle w:val="ListParagraph"/>
        <w:numPr>
          <w:ilvl w:val="0"/>
          <w:numId w:val="2"/>
        </w:numPr>
        <w:spacing w:before="40" w:after="40"/>
      </w:pPr>
      <w:r>
        <w:rPr>
          <w:rFonts w:ascii="Arial" w:cs="Arial" w:eastAsia="Arial" w:hAnsi="Arial"/>
          <w:sz w:val="22"/>
          <w:szCs w:val="22"/>
        </w:rPr>
        <w:t xml:space="preserve">login_attempts: INDEX idx_user_time ON login_attempts(user_id, attempted_at)</w:t>
      </w:r>
    </w:p>
    <w:p>
      <w:pPr>
        <w:pStyle w:val="ListParagraph"/>
        <w:numPr>
          <w:ilvl w:val="0"/>
          <w:numId w:val="2"/>
        </w:numPr>
        <w:spacing w:before="40" w:after="40"/>
      </w:pPr>
      <w:r>
        <w:rPr>
          <w:rFonts w:ascii="Arial" w:cs="Arial" w:eastAsia="Arial" w:hAnsi="Arial"/>
          <w:sz w:val="22"/>
          <w:szCs w:val="22"/>
        </w:rPr>
        <w:t xml:space="preserve">notifications: INDEX idx_pending ON notifications(user_id, status, scheduled_at)</w:t>
      </w:r>
    </w:p>
    <w:p>
      <w:pPr>
        <w:pBdr>
          <w:bottom w:val="single" w:color="1F6AA5" w:sz="6" w:space="4"/>
        </w:pBdr>
        <w:spacing w:before="200" w:after="160"/>
      </w:pPr>
      <w:r>
        <w:t xml:space="preserve"/>
      </w:r>
    </w:p>
    <w:p>
      <w:pPr>
        <w:pStyle w:val="Heading1"/>
      </w:pPr>
      <w:r>
        <w:rPr>
          <w:rFonts w:ascii="Arial" w:cs="Arial" w:eastAsia="Arial" w:hAnsi="Arial"/>
          <w:b/>
          <w:bCs/>
        </w:rPr>
        <w:t xml:space="preserve">6.  REST API Design</w:t>
      </w:r>
    </w:p>
    <w:p>
      <w:pPr>
        <w:pStyle w:val="Heading2"/>
      </w:pPr>
      <w:r>
        <w:rPr>
          <w:rFonts w:ascii="Arial" w:cs="Arial" w:eastAsia="Arial" w:hAnsi="Arial"/>
          <w:b/>
          <w:bCs/>
        </w:rPr>
        <w:t xml:space="preserve">6.1  API Conventions</w:t>
      </w:r>
    </w:p>
    <w:p>
      <w:pPr>
        <w:pStyle w:val="ListParagraph"/>
        <w:numPr>
          <w:ilvl w:val="0"/>
          <w:numId w:val="2"/>
        </w:numPr>
        <w:spacing w:before="40" w:after="40"/>
      </w:pPr>
      <w:r>
        <w:rPr>
          <w:rFonts w:ascii="Arial" w:cs="Arial" w:eastAsia="Arial" w:hAnsi="Arial"/>
          <w:sz w:val="22"/>
          <w:szCs w:val="22"/>
        </w:rPr>
        <w:t xml:space="preserve">Base URL: https://bblrs.local/api/v1</w:t>
      </w:r>
    </w:p>
    <w:p>
      <w:pPr>
        <w:pStyle w:val="ListParagraph"/>
        <w:numPr>
          <w:ilvl w:val="0"/>
          <w:numId w:val="2"/>
        </w:numPr>
        <w:spacing w:before="40" w:after="40"/>
      </w:pPr>
      <w:r>
        <w:rPr>
          <w:rFonts w:ascii="Arial" w:cs="Arial" w:eastAsia="Arial" w:hAnsi="Arial"/>
          <w:sz w:val="22"/>
          <w:szCs w:val="22"/>
        </w:rPr>
        <w:t xml:space="preserve">Authentication: Bearer token (JWT) in Authorization header for all protected endpoints</w:t>
      </w:r>
    </w:p>
    <w:p>
      <w:pPr>
        <w:pStyle w:val="ListParagraph"/>
        <w:numPr>
          <w:ilvl w:val="0"/>
          <w:numId w:val="2"/>
        </w:numPr>
        <w:spacing w:before="40" w:after="40"/>
      </w:pPr>
      <w:r>
        <w:rPr>
          <w:rFonts w:ascii="Arial" w:cs="Arial" w:eastAsia="Arial" w:hAnsi="Arial"/>
          <w:sz w:val="22"/>
          <w:szCs w:val="22"/>
        </w:rPr>
        <w:t xml:space="preserve">Content-Type: application/json for all requests and responses</w:t>
      </w:r>
    </w:p>
    <w:p>
      <w:pPr>
        <w:pStyle w:val="ListParagraph"/>
        <w:numPr>
          <w:ilvl w:val="0"/>
          <w:numId w:val="2"/>
        </w:numPr>
        <w:spacing w:before="40" w:after="40"/>
      </w:pPr>
      <w:r>
        <w:rPr>
          <w:rFonts w:ascii="Arial" w:cs="Arial" w:eastAsia="Arial" w:hAnsi="Arial"/>
          <w:sz w:val="22"/>
          <w:szCs w:val="22"/>
        </w:rPr>
        <w:t xml:space="preserve">Versioning: URL path versioning (/api/v1/); future versions use /api/v2/</w:t>
      </w:r>
    </w:p>
    <w:p>
      <w:pPr>
        <w:pStyle w:val="ListParagraph"/>
        <w:numPr>
          <w:ilvl w:val="0"/>
          <w:numId w:val="2"/>
        </w:numPr>
        <w:spacing w:before="40" w:after="40"/>
      </w:pPr>
      <w:r>
        <w:rPr>
          <w:rFonts w:ascii="Arial" w:cs="Arial" w:eastAsia="Arial" w:hAnsi="Arial"/>
          <w:sz w:val="22"/>
          <w:szCs w:val="22"/>
        </w:rPr>
        <w:t xml:space="preserve">Error Format: { "status": 4xx|5xx, "code": "ERROR_CODE", "message": "Human-readable message", "details": {} }</w:t>
      </w:r>
    </w:p>
    <w:p>
      <w:pPr>
        <w:pStyle w:val="ListParagraph"/>
        <w:numPr>
          <w:ilvl w:val="0"/>
          <w:numId w:val="2"/>
        </w:numPr>
        <w:spacing w:before="40" w:after="40"/>
      </w:pPr>
      <w:r>
        <w:rPr>
          <w:rFonts w:ascii="Arial" w:cs="Arial" w:eastAsia="Arial" w:hAnsi="Arial"/>
          <w:sz w:val="22"/>
          <w:szCs w:val="22"/>
        </w:rPr>
        <w:t xml:space="preserve">Pagination: GET list endpoints support ?page=1&amp;limit=20 query parameters</w:t>
      </w:r>
    </w:p>
    <w:p>
      <w:pPr>
        <w:pStyle w:val="ListParagraph"/>
        <w:numPr>
          <w:ilvl w:val="0"/>
          <w:numId w:val="2"/>
        </w:numPr>
        <w:spacing w:before="40" w:after="40"/>
      </w:pPr>
      <w:r>
        <w:rPr>
          <w:rFonts w:ascii="Arial" w:cs="Arial" w:eastAsia="Arial" w:hAnsi="Arial"/>
          <w:sz w:val="22"/>
          <w:szCs w:val="22"/>
        </w:rPr>
        <w:t xml:space="preserve">HTTP Methods: GET (read), POST (create), PUT (full update), PATCH (partial update), DELETE (soft delete only)</w:t>
      </w:r>
    </w:p>
    <w:p>
      <w:pPr>
        <w:pStyle w:val="Heading2"/>
      </w:pPr>
      <w:r>
        <w:rPr>
          <w:rFonts w:ascii="Arial" w:cs="Arial" w:eastAsia="Arial" w:hAnsi="Arial"/>
          <w:b/>
          <w:bCs/>
        </w:rPr>
        <w:t xml:space="preserve">6.2  Authentication Endpoints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300"/>
        <w:gridCol w:w="5026"/>
      </w:tblGrid>
      <w:tr>
        <w:trPr>
          <w:tblHeader/>
        </w:trPr>
        <w:tc>
          <w:tcPr>
            <w:tcW w:type="dxa" w:w="7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3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5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/auth/register</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5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 a new user account; enrolls Fabric identity</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/auth/login</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5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Authenticate user; returns JWT access token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/auth/mfa/verify</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5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Verify OTP for MFA-required roles; returns full-access JWT</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/auth/logout</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5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Revokes the current JWT session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/auth/refresh</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5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Issues a new JWT using a valid refresh token</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/auth/profile</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5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the authenticated user's profile details</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/auth/profile</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5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Updates user profile (name, phone, password)</w:t>
            </w:r>
          </w:p>
        </w:tc>
      </w:tr>
    </w:tbl>
    <w:p>
      <w:pPr>
        <w:pStyle w:val="Heading2"/>
      </w:pPr>
      <w:r>
        <w:rPr>
          <w:rFonts w:ascii="Arial" w:cs="Arial" w:eastAsia="Arial" w:hAnsi="Arial"/>
          <w:b/>
          <w:bCs/>
        </w:rPr>
        <w:t xml:space="preserve">6.3  Land Parcel Endpoints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4526"/>
      </w:tblGrid>
      <w:tr>
        <w:trPr>
          <w:tblHeader/>
        </w:trPr>
        <w:tc>
          <w:tcPr>
            <w:tcW w:type="dxa" w:w="7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45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/parcels</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 a new land parcel on the blockchain</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/parcels/:parcelID</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full details of a single parcel</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/parcels/search?titleNumber=&amp;county=</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Search parcels by title number, county, or owner national ID</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/parcels/owner/:nationalID</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all parcels owned by a given national ID</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/parcels/:parcelID/status</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Update parcel status (DISPUTED, INACTIVE, etc.)</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/parcels/:parcelID/documents</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Upload and anchor a document to a parcel</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/parcels/:parcelID/documents</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4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List all documents attached to a parcel</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/parcels/:parcelID/history</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4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full ownership history of a parcel</w:t>
            </w:r>
          </w:p>
        </w:tc>
      </w:tr>
    </w:tbl>
    <w:p>
      <w:pPr>
        <w:pStyle w:val="Heading2"/>
      </w:pPr>
      <w:r>
        <w:rPr>
          <w:rFonts w:ascii="Arial" w:cs="Arial" w:eastAsia="Arial" w:hAnsi="Arial"/>
          <w:b/>
          <w:bCs/>
        </w:rPr>
        <w:t xml:space="preserve">6.4  Ownership Transfer Endpoints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600"/>
        <w:gridCol w:w="4326"/>
      </w:tblGrid>
      <w:tr>
        <w:trPr>
          <w:tblHeader/>
        </w:trPr>
        <w:tc>
          <w:tcPr>
            <w:tcW w:type="dxa" w:w="7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43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/transfers</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OWNER / LEGAL</w:t>
            </w:r>
          </w:p>
        </w:tc>
        <w:tc>
          <w:tcPr>
            <w:tcW w:type="dxa" w:w="43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Initiate an ownership transfer request</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/transfers/:transferID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43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details of a specific transfer request</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/transfers/pending</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3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List all pending transfer requests awaiting approval</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/transfers/:transferID/approve</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3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Approve and execute an ownership transfer</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/transfers/:transferID/reject</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43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Reject a transfer with a stated reason</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DELETE</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/transfers/:transferID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OWNER</w:t>
            </w:r>
          </w:p>
        </w:tc>
        <w:tc>
          <w:tcPr>
            <w:tcW w:type="dxa" w:w="43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Cancel a pending transfer request</w:t>
            </w:r>
          </w:p>
        </w:tc>
      </w:tr>
    </w:tbl>
    <w:p>
      <w:pPr>
        <w:pStyle w:val="Heading2"/>
      </w:pPr>
      <w:r>
        <w:rPr>
          <w:rFonts w:ascii="Arial" w:cs="Arial" w:eastAsia="Arial" w:hAnsi="Arial"/>
          <w:b/>
          <w:bCs/>
        </w:rPr>
        <w:t xml:space="preserve">6.5  Encumbrance Endpoints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4126"/>
      </w:tblGrid>
      <w:tr>
        <w:trPr>
          <w:tblHeader/>
        </w:trPr>
        <w:tc>
          <w:tcPr>
            <w:tcW w:type="dxa" w:w="7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41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/encumbrances</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 / FINANCIAL</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 a new encumbrance against a parcel</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/encumbrances/:parcelID</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41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all encumbrances (active and historical) for a parcel</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/encumbrances/:parcelID/active</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 only active encumbrances for a parcel</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/encumbrances/:encumbranceID/discharge</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 / FINANCIAL</w:t>
            </w:r>
          </w:p>
        </w:tc>
        <w:tc>
          <w:tcPr>
            <w:tcW w:type="dxa" w:w="41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Discharge (remove) an active encumbrance</w:t>
            </w:r>
          </w:p>
        </w:tc>
      </w:tr>
    </w:tbl>
    <w:p>
      <w:pPr>
        <w:pStyle w:val="Heading2"/>
      </w:pPr>
      <w:r>
        <w:rPr>
          <w:rFonts w:ascii="Arial" w:cs="Arial" w:eastAsia="Arial" w:hAnsi="Arial"/>
          <w:b/>
          <w:bCs/>
        </w:rPr>
        <w:t xml:space="preserve">6.6  Administration Endpoints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4126"/>
      </w:tblGrid>
      <w:tr>
        <w:trPr>
          <w:tblHeader/>
        </w:trPr>
        <w:tc>
          <w:tcPr>
            <w:tcW w:type="dxa" w:w="7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41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/admin/users</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List all users with pagination and role filter</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/admin/users/:userID</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41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 full user profile including role assignments</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POST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/admin/users/:userID/roles</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Assign a role to a user</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DELETE</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/admin/users/:userID/roles/:roleID</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41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Revoke a role from a user</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PATCH</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/admin/users/:userID/deactivate</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Soft-deactivate a user account</w:t>
            </w:r>
          </w:p>
        </w:tc>
      </w:tr>
      <w:tr>
        <w:tc>
          <w:tcPr>
            <w:tcW w:type="dxa" w:w="7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/admin/audit</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 / REGISTRAR</w:t>
            </w:r>
          </w:p>
        </w:tc>
        <w:tc>
          <w:tcPr>
            <w:tcW w:type="dxa" w:w="41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Query audit log with date range and event type filters</w:t>
            </w:r>
          </w:p>
        </w:tc>
      </w:tr>
      <w:tr>
        <w:tc>
          <w:tcPr>
            <w:tcW w:type="dxa" w:w="7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GET</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/admin/reports/transactions</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 / REGISTRAR</w:t>
            </w:r>
          </w:p>
        </w:tc>
        <w:tc>
          <w:tcPr>
            <w:tcW w:type="dxa" w:w="41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Generate transaction summary report (CSV or JSON)</w:t>
            </w:r>
          </w:p>
        </w:tc>
      </w:tr>
    </w:tbl>
    <w:p>
      <w:pPr>
        <w:pStyle w:val="Heading2"/>
      </w:pPr>
      <w:r>
        <w:rPr>
          <w:rFonts w:ascii="Arial" w:cs="Arial" w:eastAsia="Arial" w:hAnsi="Arial"/>
          <w:b/>
          <w:bCs/>
        </w:rPr>
        <w:t xml:space="preserve">6.7  Sample API Response — GET /parcels/:parcelID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"status": 200,</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"data":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"parcelID": "a1b2c3d4-e5f6-7890-abcd-ef1234567890",</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"titleNumber": "KE/NKR/2024/0042",</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"county": "Nakuru",</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"subCounty": "Nakuru East",</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"areaHectares": 0.25,</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"landUseType": "RESIDENTIAL",</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"currentOwner": { "nationalID": "12345678", "fullName": "John Kamau"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"status": "ACTIVE",</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"registrationDate": "2024-03-15T09:00:00Z",</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"activeEncumbrances":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"ipfsDocHash": "QmXyz123...AbC",</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"blockchainTxID": "a9f3c2...8e7d"</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  }</w:t>
      </w:r>
    </w:p>
    <w:p>
      <w:pPr>
        <w:pBdr>
          <w:left w:val="single" w:color="1F6AA5" w:sz="12" w:space="8"/>
        </w:pBdr>
        <w:shd w:fill="EEF3F8" w:val="clear"/>
        <w:spacing w:before="40" w:after="40"/>
        <w:ind w:left="400"/>
      </w:pPr>
      <w:r>
        <w:rPr>
          <w:rFonts w:ascii="Courier New" w:cs="Courier New" w:eastAsia="Courier New" w:hAnsi="Courier New"/>
          <w:color w:val="1A3A5C"/>
          <w:sz w:val="18"/>
          <w:szCs w:val="18"/>
        </w:rPr>
        <w:t xml:space="preserve">}</w:t>
      </w:r>
    </w:p>
    <w:p>
      <w:pPr>
        <w:pBdr>
          <w:bottom w:val="single" w:color="1F6AA5" w:sz="6" w:space="4"/>
        </w:pBdr>
        <w:spacing w:before="200" w:after="160"/>
      </w:pPr>
      <w:r>
        <w:t xml:space="preserve"/>
      </w:r>
    </w:p>
    <w:p>
      <w:pPr>
        <w:pStyle w:val="Heading1"/>
      </w:pPr>
      <w:r>
        <w:rPr>
          <w:rFonts w:ascii="Arial" w:cs="Arial" w:eastAsia="Arial" w:hAnsi="Arial"/>
          <w:b/>
          <w:bCs/>
        </w:rPr>
        <w:t xml:space="preserve">7.  Frontend Component Design</w:t>
      </w:r>
    </w:p>
    <w:p>
      <w:pPr>
        <w:pStyle w:val="Heading2"/>
      </w:pPr>
      <w:r>
        <w:rPr>
          <w:rFonts w:ascii="Arial" w:cs="Arial" w:eastAsia="Arial" w:hAnsi="Arial"/>
          <w:b/>
          <w:bCs/>
        </w:rPr>
        <w:t xml:space="preserve">7.1  Application Structure</w:t>
      </w:r>
    </w:p>
    <w:p>
      <w:pPr>
        <w:pStyle w:val="ListParagraph"/>
        <w:numPr>
          <w:ilvl w:val="0"/>
          <w:numId w:val="2"/>
        </w:numPr>
        <w:spacing w:before="40" w:after="40"/>
      </w:pPr>
      <w:r>
        <w:rPr>
          <w:rFonts w:ascii="Arial" w:cs="Arial" w:eastAsia="Arial" w:hAnsi="Arial"/>
          <w:sz w:val="22"/>
          <w:szCs w:val="22"/>
        </w:rPr>
        <w:t xml:space="preserve">Framework: React.js 18 with React Router 6 for client-side navigation</w:t>
      </w:r>
    </w:p>
    <w:p>
      <w:pPr>
        <w:pStyle w:val="ListParagraph"/>
        <w:numPr>
          <w:ilvl w:val="0"/>
          <w:numId w:val="2"/>
        </w:numPr>
        <w:spacing w:before="40" w:after="40"/>
      </w:pPr>
      <w:r>
        <w:rPr>
          <w:rFonts w:ascii="Arial" w:cs="Arial" w:eastAsia="Arial" w:hAnsi="Arial"/>
          <w:sz w:val="22"/>
          <w:szCs w:val="22"/>
        </w:rPr>
        <w:t xml:space="preserve">State Management: React Context API + useReducer for global auth state; local useState for component-level state</w:t>
      </w:r>
    </w:p>
    <w:p>
      <w:pPr>
        <w:pStyle w:val="ListParagraph"/>
        <w:numPr>
          <w:ilvl w:val="0"/>
          <w:numId w:val="2"/>
        </w:numPr>
        <w:spacing w:before="40" w:after="40"/>
      </w:pPr>
      <w:r>
        <w:rPr>
          <w:rFonts w:ascii="Arial" w:cs="Arial" w:eastAsia="Arial" w:hAnsi="Arial"/>
          <w:sz w:val="22"/>
          <w:szCs w:val="22"/>
        </w:rPr>
        <w:t xml:space="preserve">HTTP Client: Axios with interceptors for automatic JWT injection and 401 redirect</w:t>
      </w:r>
    </w:p>
    <w:p>
      <w:pPr>
        <w:pStyle w:val="ListParagraph"/>
        <w:numPr>
          <w:ilvl w:val="0"/>
          <w:numId w:val="2"/>
        </w:numPr>
        <w:spacing w:before="40" w:after="40"/>
      </w:pPr>
      <w:r>
        <w:rPr>
          <w:rFonts w:ascii="Arial" w:cs="Arial" w:eastAsia="Arial" w:hAnsi="Arial"/>
          <w:sz w:val="22"/>
          <w:szCs w:val="22"/>
        </w:rPr>
        <w:t xml:space="preserve">Styling: Bootstrap 5 + custom CSS variables; mobile-first responsive grid</w:t>
      </w:r>
    </w:p>
    <w:p>
      <w:pPr>
        <w:pStyle w:val="ListParagraph"/>
        <w:numPr>
          <w:ilvl w:val="0"/>
          <w:numId w:val="2"/>
        </w:numPr>
        <w:spacing w:before="40" w:after="40"/>
      </w:pPr>
      <w:r>
        <w:rPr>
          <w:rFonts w:ascii="Arial" w:cs="Arial" w:eastAsia="Arial" w:hAnsi="Arial"/>
          <w:sz w:val="22"/>
          <w:szCs w:val="22"/>
        </w:rPr>
        <w:t xml:space="preserve">Build Tool: Vite (fast HMR for development); production build served as static files via Nginx</w:t>
      </w:r>
    </w:p>
    <w:p>
      <w:pPr>
        <w:pStyle w:val="Heading2"/>
      </w:pPr>
      <w:r>
        <w:rPr>
          <w:rFonts w:ascii="Arial" w:cs="Arial" w:eastAsia="Arial" w:hAnsi="Arial"/>
          <w:b/>
          <w:bCs/>
        </w:rPr>
        <w:t xml:space="preserve">7.2  Page and Component Map</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226"/>
      </w:tblGrid>
      <w:tr>
        <w:trPr>
          <w:tblHeader/>
        </w:trPr>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Page / Component</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32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LandingPage</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Hero section with search bar for quick parcel lookup</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SearchResults</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/search</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Paginated list of parcels matching search criteria</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ParcelDetailView</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/parcels/:id</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Full parcel card with owner info, encumbrances, history timeline, and document links</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LoginPage</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/login</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Email + password form; triggers MFA flow for privileged roles</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RegisterPage</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Multi-step registration form with national ID and role selection</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LandownerDashboard</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/dashboard</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LANDOWNER+</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Grid of owned parcels, pending transfers, notification inbox</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TransferInitiateForm</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/transfers/new</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OWNER / LEGAL</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Form to initiate an ownership transfer with buyer details</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RegistrarQueue</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/registrar/queue</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Work queue of pending approvals with approve/reject actions</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ParcelRegistrationForm</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/registrar/parcels/new</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Multi-section form to register a new land parcel</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EncumbranceManager</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/registrar/encumbrances</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 / FINANCIAL</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Register and discharge encumbrances; view active claims</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AuditLogViewer</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/admin/audit</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ADMIN / REGISTRAR</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Filterable, paginated table of all system audit events</w:t>
            </w:r>
          </w:p>
        </w:tc>
      </w:tr>
      <w:tr>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UserManagement</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/admin/users</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32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User list with role assignment controls and account actions</w:t>
            </w:r>
          </w:p>
        </w:tc>
      </w:tr>
      <w:tr>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DocumentVerifier</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/verify</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Authenticated</w:t>
            </w:r>
          </w:p>
        </w:tc>
        <w:tc>
          <w:tcPr>
            <w:tcW w:type="dxa" w:w="32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Upload a file to verify its hash against the on-chain IPFS CID</w:t>
            </w:r>
          </w:p>
        </w:tc>
      </w:tr>
    </w:tbl>
    <w:p>
      <w:pPr>
        <w:pStyle w:val="Heading2"/>
      </w:pPr>
      <w:r>
        <w:rPr>
          <w:rFonts w:ascii="Arial" w:cs="Arial" w:eastAsia="Arial" w:hAnsi="Arial"/>
          <w:b/>
          <w:bCs/>
        </w:rPr>
        <w:t xml:space="preserve">7.3  Reusable UI Components</w:t>
      </w:r>
    </w:p>
    <w:p>
      <w:pPr>
        <w:pStyle w:val="ListParagraph"/>
        <w:numPr>
          <w:ilvl w:val="0"/>
          <w:numId w:val="2"/>
        </w:numPr>
        <w:spacing w:before="40" w:after="40"/>
      </w:pPr>
      <w:r>
        <w:rPr>
          <w:rFonts w:ascii="Arial" w:cs="Arial" w:eastAsia="Arial" w:hAnsi="Arial"/>
          <w:sz w:val="22"/>
          <w:szCs w:val="22"/>
        </w:rPr>
        <w:t xml:space="preserve">ParcelCard: Summary card displaying parcel ID, title number, county, area, owner name, status badge, and action buttons</w:t>
      </w:r>
    </w:p>
    <w:p>
      <w:pPr>
        <w:pStyle w:val="ListParagraph"/>
        <w:numPr>
          <w:ilvl w:val="0"/>
          <w:numId w:val="2"/>
        </w:numPr>
        <w:spacing w:before="40" w:after="40"/>
      </w:pPr>
      <w:r>
        <w:rPr>
          <w:rFonts w:ascii="Arial" w:cs="Arial" w:eastAsia="Arial" w:hAnsi="Arial"/>
          <w:sz w:val="22"/>
          <w:szCs w:val="22"/>
        </w:rPr>
        <w:t xml:space="preserve">OwnershipTimeline: Vertical timeline component rendering the chain of ownership with dates and transaction IDs</w:t>
      </w:r>
    </w:p>
    <w:p>
      <w:pPr>
        <w:pStyle w:val="ListParagraph"/>
        <w:numPr>
          <w:ilvl w:val="0"/>
          <w:numId w:val="2"/>
        </w:numPr>
        <w:spacing w:before="40" w:after="40"/>
      </w:pPr>
      <w:r>
        <w:rPr>
          <w:rFonts w:ascii="Arial" w:cs="Arial" w:eastAsia="Arial" w:hAnsi="Arial"/>
          <w:sz w:val="22"/>
          <w:szCs w:val="22"/>
        </w:rPr>
        <w:t xml:space="preserve">EncumbranceBadge: Coloured badge (red = ACTIVE, grey = DISCHARGED) with tooltip showing creditor and amount</w:t>
      </w:r>
    </w:p>
    <w:p>
      <w:pPr>
        <w:pStyle w:val="ListParagraph"/>
        <w:numPr>
          <w:ilvl w:val="0"/>
          <w:numId w:val="2"/>
        </w:numPr>
        <w:spacing w:before="40" w:after="40"/>
      </w:pPr>
      <w:r>
        <w:rPr>
          <w:rFonts w:ascii="Arial" w:cs="Arial" w:eastAsia="Arial" w:hAnsi="Arial"/>
          <w:sz w:val="22"/>
          <w:szCs w:val="22"/>
        </w:rPr>
        <w:t xml:space="preserve">TransactionStatus: Step-progress indicator (Initiated &gt; Pending &gt; Approved/Rejected) for transfer workflows</w:t>
      </w:r>
    </w:p>
    <w:p>
      <w:pPr>
        <w:pStyle w:val="ListParagraph"/>
        <w:numPr>
          <w:ilvl w:val="0"/>
          <w:numId w:val="2"/>
        </w:numPr>
        <w:spacing w:before="40" w:after="40"/>
      </w:pPr>
      <w:r>
        <w:rPr>
          <w:rFonts w:ascii="Arial" w:cs="Arial" w:eastAsia="Arial" w:hAnsi="Arial"/>
          <w:sz w:val="22"/>
          <w:szCs w:val="22"/>
        </w:rPr>
        <w:t xml:space="preserve">AlertBanner: Dismissible notification banner for success, error, warning, and info states</w:t>
      </w:r>
    </w:p>
    <w:p>
      <w:pPr>
        <w:pStyle w:val="ListParagraph"/>
        <w:numPr>
          <w:ilvl w:val="0"/>
          <w:numId w:val="2"/>
        </w:numPr>
        <w:spacing w:before="40" w:after="40"/>
      </w:pPr>
      <w:r>
        <w:rPr>
          <w:rFonts w:ascii="Arial" w:cs="Arial" w:eastAsia="Arial" w:hAnsi="Arial"/>
          <w:sz w:val="22"/>
          <w:szCs w:val="22"/>
        </w:rPr>
        <w:t xml:space="preserve">ProtectedRoute: HOC wrapper that checks JWT validity and user role before rendering a protected page</w:t>
      </w:r>
    </w:p>
    <w:p>
      <w:pPr>
        <w:pStyle w:val="ListParagraph"/>
        <w:numPr>
          <w:ilvl w:val="0"/>
          <w:numId w:val="2"/>
        </w:numPr>
        <w:spacing w:before="40" w:after="40"/>
      </w:pPr>
      <w:r>
        <w:rPr>
          <w:rFonts w:ascii="Arial" w:cs="Arial" w:eastAsia="Arial" w:hAnsi="Arial"/>
          <w:sz w:val="22"/>
          <w:szCs w:val="22"/>
        </w:rPr>
        <w:t xml:space="preserve">IPFSDocViewer: Modal/drawer that fetches and displays a document from IPFS by CID</w:t>
      </w:r>
    </w:p>
    <w:p>
      <w:pPr>
        <w:pBdr>
          <w:bottom w:val="single" w:color="1F6AA5" w:sz="6" w:space="4"/>
        </w:pBdr>
        <w:spacing w:before="200" w:after="160"/>
      </w:pPr>
      <w:r>
        <w:t xml:space="preserve"/>
      </w:r>
    </w:p>
    <w:p>
      <w:pPr>
        <w:pStyle w:val="Heading1"/>
      </w:pPr>
      <w:r>
        <w:rPr>
          <w:rFonts w:ascii="Arial" w:cs="Arial" w:eastAsia="Arial" w:hAnsi="Arial"/>
          <w:b/>
          <w:bCs/>
        </w:rPr>
        <w:t xml:space="preserve">8.  Security Design</w:t>
      </w:r>
    </w:p>
    <w:p>
      <w:pPr>
        <w:pStyle w:val="Heading2"/>
      </w:pPr>
      <w:r>
        <w:rPr>
          <w:rFonts w:ascii="Arial" w:cs="Arial" w:eastAsia="Arial" w:hAnsi="Arial"/>
          <w:b/>
          <w:bCs/>
        </w:rPr>
        <w:t xml:space="preserve">8.1  Authentication Flow</w:t>
      </w:r>
    </w:p>
    <w:p>
      <w:pPr>
        <w:spacing w:before="60" w:after="100"/>
        <w:jc w:val="both"/>
      </w:pPr>
      <w:r>
        <w:rPr>
          <w:rFonts w:ascii="Arial" w:cs="Arial" w:eastAsia="Arial" w:hAnsi="Arial"/>
          <w:b w:val="false"/>
          <w:bCs w:val="false"/>
          <w:i w:val="false"/>
          <w:iCs w:val="false"/>
          <w:color w:val="111111"/>
          <w:sz w:val="22"/>
          <w:szCs w:val="22"/>
        </w:rPr>
        <w:t xml:space="preserve">The system uses a two-token JWT strategy. Upon successful login, the API returns a short-lived access token (8-hour expiry) and a long-lived refresh token (7-day expiry, stored as an HttpOnly cookie). The access token is stored in memory (React state) and never in localStorage, preventing XSS token theft.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55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Security Control</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 submits email + password</w:t>
            </w:r>
          </w:p>
        </w:tc>
        <w:tc>
          <w:tcPr>
            <w:tcW w:type="dxa" w:w="5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HTTPS; CSRF token validated</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2</w:t>
            </w:r>
          </w:p>
        </w:tc>
        <w:tc>
          <w:tcPr>
            <w:tcW w:type="dxa" w:w="3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Server verifies bcrypt hash (cost=12)</w:t>
            </w:r>
          </w:p>
        </w:tc>
        <w:tc>
          <w:tcPr>
            <w:tcW w:type="dxa" w:w="5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Constant-time comparison; no timing attack</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3</w:t>
            </w:r>
          </w:p>
        </w:tc>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Account lockout check (5 failures = 30min lock)</w:t>
            </w:r>
          </w:p>
        </w:tc>
        <w:tc>
          <w:tcPr>
            <w:tcW w:type="dxa" w:w="5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Brute-force mitigation</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w:t>
            </w:r>
          </w:p>
        </w:tc>
        <w:tc>
          <w:tcPr>
            <w:tcW w:type="dxa" w:w="3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For REGISTRAR/ADMIN: TOTP OTP generated and sent via email</w:t>
            </w:r>
          </w:p>
        </w:tc>
        <w:tc>
          <w:tcPr>
            <w:tcW w:type="dxa" w:w="5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MFA — second factor required</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5</w:t>
            </w:r>
          </w:p>
        </w:tc>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Access JWT issued (8h) + Refresh JWT issued (7d)</w:t>
            </w:r>
          </w:p>
        </w:tc>
        <w:tc>
          <w:tcPr>
            <w:tcW w:type="dxa" w:w="5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JWT signed with RS256; JTI stored in sessions table</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6</w:t>
            </w:r>
          </w:p>
        </w:tc>
        <w:tc>
          <w:tcPr>
            <w:tcW w:type="dxa" w:w="3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Subsequent requests: Bearer token validated by JWT middleware</w:t>
            </w:r>
          </w:p>
        </w:tc>
        <w:tc>
          <w:tcPr>
            <w:tcW w:type="dxa" w:w="55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Signature verification + expiry check + JTI revocation check</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w:t>
            </w:r>
          </w:p>
        </w:tc>
        <w:tc>
          <w:tcPr>
            <w:tcW w:type="dxa" w:w="3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Token refresh: Refresh token validated; new access token issued</w:t>
            </w:r>
          </w:p>
        </w:tc>
        <w:tc>
          <w:tcPr>
            <w:tcW w:type="dxa" w:w="55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Refresh token rotated on each use; old token invalidated</w:t>
            </w:r>
          </w:p>
        </w:tc>
      </w:tr>
    </w:tbl>
    <w:p>
      <w:pPr>
        <w:pStyle w:val="Heading2"/>
      </w:pPr>
      <w:r>
        <w:rPr>
          <w:rFonts w:ascii="Arial" w:cs="Arial" w:eastAsia="Arial" w:hAnsi="Arial"/>
          <w:b/>
          <w:bCs/>
        </w:rPr>
        <w:t xml:space="preserve">8.2  Authorization (RBAC) Design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400"/>
        <w:gridCol w:w="1300"/>
        <w:gridCol w:w="1300"/>
        <w:gridCol w:w="1026"/>
      </w:tblGrid>
      <w:tr>
        <w:trPr>
          <w:tblHeader/>
        </w:trPr>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c>
          <w:tcPr>
            <w:tcW w:type="dxa" w:w="13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Parcel Read</w:t>
            </w:r>
          </w:p>
        </w:tc>
        <w:tc>
          <w:tcPr>
            <w:tcW w:type="dxa" w:w="13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Parcel Create</w:t>
            </w:r>
          </w:p>
        </w:tc>
        <w:tc>
          <w:tcPr>
            <w:tcW w:type="dxa" w:w="1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Transfer Approve</w:t>
            </w:r>
          </w:p>
        </w:tc>
        <w:tc>
          <w:tcPr>
            <w:tcW w:type="dxa" w:w="13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Encumbrance</w:t>
            </w:r>
          </w:p>
        </w:tc>
        <w:tc>
          <w:tcPr>
            <w:tcW w:type="dxa" w:w="13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User Mgmt</w:t>
            </w:r>
          </w:p>
        </w:tc>
        <w:tc>
          <w:tcPr>
            <w:tcW w:type="dxa" w:w="1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Audit Log</w:t>
            </w:r>
          </w:p>
        </w:tc>
      </w:tr>
      <w:tr>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PUBLIC</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Yes (basic)</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View only</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r>
      <w:tr>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LANDOWNER</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Yes (full)</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Initiate</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View only</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Own profile</w:t>
            </w:r>
          </w:p>
        </w:tc>
        <w:tc>
          <w:tcPr>
            <w:tcW w:type="dxa" w:w="1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Own events</w:t>
            </w:r>
          </w:p>
        </w:tc>
      </w:tr>
      <w:tr>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LEGAL</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Yes (full)</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Initiate</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View only</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 profile</w:t>
            </w:r>
          </w:p>
        </w:tc>
        <w:tc>
          <w:tcPr>
            <w:tcW w:type="dxa" w:w="1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 events</w:t>
            </w:r>
          </w:p>
        </w:tc>
      </w:tr>
      <w:tr>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REGISTRAR</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Yes (full)</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Yes</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Approve/Reject</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Register/Discharge</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Own profile</w:t>
            </w:r>
          </w:p>
        </w:tc>
        <w:tc>
          <w:tcPr>
            <w:tcW w:type="dxa" w:w="1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Full read</w:t>
            </w:r>
          </w:p>
        </w:tc>
      </w:tr>
      <w:tr>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FINANCIAL</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Yes (full)</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Register/Discharge</w:t>
            </w:r>
          </w:p>
        </w:tc>
        <w:tc>
          <w:tcPr>
            <w:tcW w:type="dxa" w:w="13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 profile</w:t>
            </w:r>
          </w:p>
        </w:tc>
        <w:tc>
          <w:tcPr>
            <w:tcW w:type="dxa" w:w="1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Own events</w:t>
            </w:r>
          </w:p>
        </w:tc>
      </w:tr>
      <w:tr>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ADMIN</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Yes (full)</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w:t>
            </w:r>
          </w:p>
        </w:tc>
        <w:tc>
          <w:tcPr>
            <w:tcW w:type="dxa" w:w="13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Full control</w:t>
            </w:r>
          </w:p>
        </w:tc>
        <w:tc>
          <w:tcPr>
            <w:tcW w:type="dxa" w:w="1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Full read</w:t>
            </w:r>
          </w:p>
        </w:tc>
      </w:tr>
    </w:tbl>
    <w:p>
      <w:pPr>
        <w:pStyle w:val="Heading2"/>
      </w:pPr>
      <w:r>
        <w:rPr>
          <w:rFonts w:ascii="Arial" w:cs="Arial" w:eastAsia="Arial" w:hAnsi="Arial"/>
          <w:b/>
          <w:bCs/>
        </w:rPr>
        <w:t xml:space="preserve">8.3  Data Protection Measures</w:t>
      </w:r>
    </w:p>
    <w:p>
      <w:pPr>
        <w:pStyle w:val="ListParagraph"/>
        <w:numPr>
          <w:ilvl w:val="0"/>
          <w:numId w:val="2"/>
        </w:numPr>
        <w:spacing w:before="40" w:after="40"/>
      </w:pPr>
      <w:r>
        <w:rPr>
          <w:rFonts w:ascii="Arial" w:cs="Arial" w:eastAsia="Arial" w:hAnsi="Arial"/>
          <w:sz w:val="22"/>
          <w:szCs w:val="22"/>
        </w:rPr>
        <w:t xml:space="preserve">Transport: TLS 1.3 enforced for all external connections; HSTS header with max-age=31536000</w:t>
      </w:r>
    </w:p>
    <w:p>
      <w:pPr>
        <w:pStyle w:val="ListParagraph"/>
        <w:numPr>
          <w:ilvl w:val="0"/>
          <w:numId w:val="2"/>
        </w:numPr>
        <w:spacing w:before="40" w:after="40"/>
      </w:pPr>
      <w:r>
        <w:rPr>
          <w:rFonts w:ascii="Arial" w:cs="Arial" w:eastAsia="Arial" w:hAnsi="Arial"/>
          <w:sz w:val="22"/>
          <w:szCs w:val="22"/>
        </w:rPr>
        <w:t xml:space="preserve">Passwords: bcrypt with cost factor 12; never logged or returned in API responses</w:t>
      </w:r>
    </w:p>
    <w:p>
      <w:pPr>
        <w:pStyle w:val="ListParagraph"/>
        <w:numPr>
          <w:ilvl w:val="0"/>
          <w:numId w:val="2"/>
        </w:numPr>
        <w:spacing w:before="40" w:after="40"/>
      </w:pPr>
      <w:r>
        <w:rPr>
          <w:rFonts w:ascii="Arial" w:cs="Arial" w:eastAsia="Arial" w:hAnsi="Arial"/>
          <w:sz w:val="22"/>
          <w:szCs w:val="22"/>
        </w:rPr>
        <w:t xml:space="preserve">Sensitive PII: National ID numbers encrypted at rest using AES-256-GCM with a key stored in environment variables (not in database)</w:t>
      </w:r>
    </w:p>
    <w:p>
      <w:pPr>
        <w:pStyle w:val="ListParagraph"/>
        <w:numPr>
          <w:ilvl w:val="0"/>
          <w:numId w:val="2"/>
        </w:numPr>
        <w:spacing w:before="40" w:after="40"/>
      </w:pPr>
      <w:r>
        <w:rPr>
          <w:rFonts w:ascii="Arial" w:cs="Arial" w:eastAsia="Arial" w:hAnsi="Arial"/>
          <w:sz w:val="22"/>
          <w:szCs w:val="22"/>
        </w:rPr>
        <w:t xml:space="preserve">Blockchain transactions: Signed with user's X.509 private key managed by Fabric CA; keys never transmitted to the API server</w:t>
      </w:r>
    </w:p>
    <w:p>
      <w:pPr>
        <w:pStyle w:val="ListParagraph"/>
        <w:numPr>
          <w:ilvl w:val="0"/>
          <w:numId w:val="2"/>
        </w:numPr>
        <w:spacing w:before="40" w:after="40"/>
      </w:pPr>
      <w:r>
        <w:rPr>
          <w:rFonts w:ascii="Arial" w:cs="Arial" w:eastAsia="Arial" w:hAnsi="Arial"/>
          <w:sz w:val="22"/>
          <w:szCs w:val="22"/>
        </w:rPr>
        <w:t xml:space="preserve">IPFS documents: Access controlled at the API layer; direct IPFS port (5001) is not exposed outside the Docker network</w:t>
      </w:r>
    </w:p>
    <w:p>
      <w:pPr>
        <w:pStyle w:val="ListParagraph"/>
        <w:numPr>
          <w:ilvl w:val="0"/>
          <w:numId w:val="2"/>
        </w:numPr>
        <w:spacing w:before="40" w:after="40"/>
      </w:pPr>
      <w:r>
        <w:rPr>
          <w:rFonts w:ascii="Arial" w:cs="Arial" w:eastAsia="Arial" w:hAnsi="Arial"/>
          <w:sz w:val="22"/>
          <w:szCs w:val="22"/>
        </w:rPr>
        <w:t xml:space="preserve">SQL Injection: All database queries use parameterized statements via the mysql2 prepared statement API</w:t>
      </w:r>
    </w:p>
    <w:p>
      <w:pPr>
        <w:pStyle w:val="ListParagraph"/>
        <w:numPr>
          <w:ilvl w:val="0"/>
          <w:numId w:val="2"/>
        </w:numPr>
        <w:spacing w:before="40" w:after="40"/>
      </w:pPr>
      <w:r>
        <w:rPr>
          <w:rFonts w:ascii="Arial" w:cs="Arial" w:eastAsia="Arial" w:hAnsi="Arial"/>
          <w:sz w:val="22"/>
          <w:szCs w:val="22"/>
        </w:rPr>
        <w:t xml:space="preserve">XSS: React's JSX rendering escapes all dynamic content by default; Content-Security-Policy header restricts script sources</w:t>
      </w:r>
    </w:p>
    <w:p>
      <w:pPr>
        <w:pStyle w:val="ListParagraph"/>
        <w:numPr>
          <w:ilvl w:val="0"/>
          <w:numId w:val="2"/>
        </w:numPr>
        <w:spacing w:before="40" w:after="40"/>
      </w:pPr>
      <w:r>
        <w:rPr>
          <w:rFonts w:ascii="Arial" w:cs="Arial" w:eastAsia="Arial" w:hAnsi="Arial"/>
          <w:sz w:val="22"/>
          <w:szCs w:val="22"/>
        </w:rPr>
        <w:t xml:space="preserve">CORS: Only the configured frontend origin (https://bblrs.local) is allowed; credentials: true requires explicit Origin matching</w:t>
      </w:r>
    </w:p>
    <w:p>
      <w:pPr>
        <w:pStyle w:val="Heading2"/>
      </w:pPr>
      <w:r>
        <w:rPr>
          <w:rFonts w:ascii="Arial" w:cs="Arial" w:eastAsia="Arial" w:hAnsi="Arial"/>
          <w:b/>
          <w:bCs/>
        </w:rPr>
        <w:t xml:space="preserve">8.4  Audit and Non-Repudiation</w:t>
      </w:r>
    </w:p>
    <w:p>
      <w:pPr>
        <w:spacing w:before="60" w:after="100"/>
        <w:jc w:val="both"/>
      </w:pPr>
      <w:r>
        <w:rPr>
          <w:rFonts w:ascii="Arial" w:cs="Arial" w:eastAsia="Arial" w:hAnsi="Arial"/>
          <w:b w:val="false"/>
          <w:bCs w:val="false"/>
          <w:i w:val="false"/>
          <w:iCs w:val="false"/>
          <w:color w:val="111111"/>
          <w:sz w:val="22"/>
          <w:szCs w:val="22"/>
        </w:rPr>
        <w:t xml:space="preserve">Every transaction on the Hyperledger Fabric ledger carries the submitting user's X.509 certificate signature and the Fabric-generated timestamp and transaction ID. This provides cryptographic non-repudiation — a user cannot deny having initiated a transaction. The AuditContract supplements this with application-level event logs that correlate blockchain transaction IDs to user accounts in the relational database.</w:t>
      </w:r>
    </w:p>
    <w:p>
      <w:pPr>
        <w:pBdr>
          <w:bottom w:val="single" w:color="1F6AA5" w:sz="6" w:space="4"/>
        </w:pBdr>
        <w:spacing w:before="200" w:after="160"/>
      </w:pPr>
      <w:r>
        <w:t xml:space="preserve"/>
      </w:r>
    </w:p>
    <w:p>
      <w:pPr>
        <w:pStyle w:val="Heading1"/>
      </w:pPr>
      <w:r>
        <w:rPr>
          <w:rFonts w:ascii="Arial" w:cs="Arial" w:eastAsia="Arial" w:hAnsi="Arial"/>
          <w:b/>
          <w:bCs/>
        </w:rPr>
        <w:t xml:space="preserve">9.  IPFS Document Storage Design</w:t>
      </w:r>
    </w:p>
    <w:p>
      <w:pPr>
        <w:pStyle w:val="Heading2"/>
      </w:pPr>
      <w:r>
        <w:rPr>
          <w:rFonts w:ascii="Arial" w:cs="Arial" w:eastAsia="Arial" w:hAnsi="Arial"/>
          <w:b/>
          <w:bCs/>
        </w:rPr>
        <w:t xml:space="preserve">9.1  Architecture</w:t>
      </w:r>
    </w:p>
    <w:p>
      <w:pPr>
        <w:spacing w:before="60" w:after="100"/>
        <w:jc w:val="both"/>
      </w:pPr>
      <w:r>
        <w:rPr>
          <w:rFonts w:ascii="Arial" w:cs="Arial" w:eastAsia="Arial" w:hAnsi="Arial"/>
          <w:b w:val="false"/>
          <w:bCs w:val="false"/>
          <w:i w:val="false"/>
          <w:iCs w:val="false"/>
          <w:color w:val="111111"/>
          <w:sz w:val="22"/>
          <w:szCs w:val="22"/>
        </w:rPr>
        <w:t xml:space="preserve">Supporting documents (title deeds, transfer agreements, survey maps) are stored off-chain on IPFS to avoid bloating the blockchain ledger with large binary data. Only the IPFS Content Identifier (CID) — a cryptographic hash of the file — is stored on-chain, ensuring document integrity is verifiable without the ledger storing the file itself.</w:t>
      </w:r>
    </w:p>
    <w:p>
      <w:pPr>
        <w:pStyle w:val="Heading2"/>
      </w:pPr>
      <w:r>
        <w:rPr>
          <w:rFonts w:ascii="Arial" w:cs="Arial" w:eastAsia="Arial" w:hAnsi="Arial"/>
          <w:b/>
          <w:bCs/>
        </w:rPr>
        <w:t xml:space="preserve">9.2  Upload Workflow</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726"/>
      </w:tblGrid>
      <w:tr>
        <w:trPr>
          <w:tblHeader/>
        </w:trPr>
        <w:tc>
          <w:tcPr>
            <w:tcW w:type="dxa" w:w="5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Actor</w:t>
            </w:r>
          </w:p>
        </w:tc>
        <w:tc>
          <w:tcPr>
            <w:tcW w:type="dxa" w:w="67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User</w:t>
            </w:r>
          </w:p>
        </w:tc>
        <w:tc>
          <w:tcPr>
            <w:tcW w:type="dxa" w:w="67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Selects file in web UI (max 10 MB; PDF, JPG, PNG accepted)</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2</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Client</w:t>
            </w:r>
          </w:p>
        </w:tc>
        <w:tc>
          <w:tcPr>
            <w:tcW w:type="dxa" w:w="67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Sends multipart/form-data POST to /api/v1/parcels/:id/documents</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3</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API Server</w:t>
            </w:r>
          </w:p>
        </w:tc>
        <w:tc>
          <w:tcPr>
            <w:tcW w:type="dxa" w:w="67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Validates file type and size; uses Multer middleware to receive the buffer</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API Server</w:t>
            </w:r>
          </w:p>
        </w:tc>
        <w:tc>
          <w:tcPr>
            <w:tcW w:type="dxa" w:w="67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Calls ipfsClient.add(fileBuffer) on the local IPFS node</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5</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IPFS Node</w:t>
            </w:r>
          </w:p>
        </w:tc>
        <w:tc>
          <w:tcPr>
            <w:tcW w:type="dxa" w:w="67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Chunks, hashes, and stores the file; returns the CID (e.g., QmXyz...)</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6</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API Server</w:t>
            </w:r>
          </w:p>
        </w:tc>
        <w:tc>
          <w:tcPr>
            <w:tcW w:type="dxa" w:w="67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Invokes LandParcelContract.attachDocument(parcelID, cid, docType) on Fabric</w:t>
            </w:r>
          </w:p>
        </w:tc>
      </w:tr>
      <w:tr>
        <w:tc>
          <w:tcPr>
            <w:tcW w:type="dxa" w:w="5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w:t>
            </w:r>
          </w:p>
        </w:tc>
        <w:tc>
          <w:tcPr>
            <w:tcW w:type="dxa" w:w="1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Fabric Ledger</w:t>
            </w:r>
          </w:p>
        </w:tc>
        <w:tc>
          <w:tcPr>
            <w:tcW w:type="dxa" w:w="67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CID is anchored immutably to the parcel record; AuditContract logs the event</w:t>
            </w:r>
          </w:p>
        </w:tc>
      </w:tr>
      <w:tr>
        <w:tc>
          <w:tcPr>
            <w:tcW w:type="dxa" w:w="5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8</w:t>
            </w:r>
          </w:p>
        </w:tc>
        <w:tc>
          <w:tcPr>
            <w:tcW w:type="dxa" w:w="1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API Server</w:t>
            </w:r>
          </w:p>
        </w:tc>
        <w:tc>
          <w:tcPr>
            <w:tcW w:type="dxa" w:w="67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Returns success response with CID to the client</w:t>
            </w:r>
          </w:p>
        </w:tc>
      </w:tr>
    </w:tbl>
    <w:p>
      <w:pPr>
        <w:pStyle w:val="Heading2"/>
      </w:pPr>
      <w:r>
        <w:rPr>
          <w:rFonts w:ascii="Arial" w:cs="Arial" w:eastAsia="Arial" w:hAnsi="Arial"/>
          <w:b/>
          <w:bCs/>
        </w:rPr>
        <w:t xml:space="preserve">9.3  Verification Workflow</w:t>
      </w:r>
    </w:p>
    <w:p>
      <w:pPr>
        <w:pStyle w:val="ListParagraph"/>
        <w:numPr>
          <w:ilvl w:val="0"/>
          <w:numId w:val="2"/>
        </w:numPr>
        <w:spacing w:before="40" w:after="40"/>
      </w:pPr>
      <w:r>
        <w:rPr>
          <w:rFonts w:ascii="Arial" w:cs="Arial" w:eastAsia="Arial" w:hAnsi="Arial"/>
          <w:sz w:val="22"/>
          <w:szCs w:val="22"/>
        </w:rPr>
        <w:t xml:space="preserve">User uploads a local copy of a document to the /verify endpoint.</w:t>
      </w:r>
    </w:p>
    <w:p>
      <w:pPr>
        <w:pStyle w:val="ListParagraph"/>
        <w:numPr>
          <w:ilvl w:val="0"/>
          <w:numId w:val="2"/>
        </w:numPr>
        <w:spacing w:before="40" w:after="40"/>
      </w:pPr>
      <w:r>
        <w:rPr>
          <w:rFonts w:ascii="Arial" w:cs="Arial" w:eastAsia="Arial" w:hAnsi="Arial"/>
          <w:sz w:val="22"/>
          <w:szCs w:val="22"/>
        </w:rPr>
        <w:t xml:space="preserve">The API server computes the SHA-256 hash of the uploaded file and derives its IPFS CID.</w:t>
      </w:r>
    </w:p>
    <w:p>
      <w:pPr>
        <w:pStyle w:val="ListParagraph"/>
        <w:numPr>
          <w:ilvl w:val="0"/>
          <w:numId w:val="2"/>
        </w:numPr>
        <w:spacing w:before="40" w:after="40"/>
      </w:pPr>
      <w:r>
        <w:rPr>
          <w:rFonts w:ascii="Arial" w:cs="Arial" w:eastAsia="Arial" w:hAnsi="Arial"/>
          <w:sz w:val="22"/>
          <w:szCs w:val="22"/>
        </w:rPr>
        <w:t xml:space="preserve">The API queries the blockchain for the parcel's stored CID via getParcel().</w:t>
      </w:r>
    </w:p>
    <w:p>
      <w:pPr>
        <w:pStyle w:val="ListParagraph"/>
        <w:numPr>
          <w:ilvl w:val="0"/>
          <w:numId w:val="2"/>
        </w:numPr>
        <w:spacing w:before="40" w:after="40"/>
      </w:pPr>
      <w:r>
        <w:rPr>
          <w:rFonts w:ascii="Arial" w:cs="Arial" w:eastAsia="Arial" w:hAnsi="Arial"/>
          <w:sz w:val="22"/>
          <w:szCs w:val="22"/>
        </w:rPr>
        <w:t xml:space="preserve">The computed CID is compared to the on-chain CID; a match confirms the document is authentic and unaltered.</w:t>
      </w:r>
    </w:p>
    <w:p>
      <w:pPr>
        <w:pBdr>
          <w:bottom w:val="single" w:color="1F6AA5" w:sz="6" w:space="4"/>
        </w:pBdr>
        <w:spacing w:before="200" w:after="160"/>
      </w:pPr>
      <w:r>
        <w:t xml:space="preserve"/>
      </w:r>
    </w:p>
    <w:p>
      <w:pPr>
        <w:pStyle w:val="Heading1"/>
      </w:pPr>
      <w:r>
        <w:rPr>
          <w:rFonts w:ascii="Arial" w:cs="Arial" w:eastAsia="Arial" w:hAnsi="Arial"/>
          <w:b/>
          <w:bCs/>
        </w:rPr>
        <w:t xml:space="preserve">10.  Error Handling and Logging Design</w:t>
      </w:r>
    </w:p>
    <w:p>
      <w:pPr>
        <w:pStyle w:val="Heading2"/>
      </w:pPr>
      <w:r>
        <w:rPr>
          <w:rFonts w:ascii="Arial" w:cs="Arial" w:eastAsia="Arial" w:hAnsi="Arial"/>
          <w:b/>
          <w:bCs/>
        </w:rPr>
        <w:t xml:space="preserve">10.1  API Error Handling</w:t>
      </w:r>
    </w:p>
    <w:p>
      <w:pPr>
        <w:pStyle w:val="ListParagraph"/>
        <w:numPr>
          <w:ilvl w:val="0"/>
          <w:numId w:val="2"/>
        </w:numPr>
        <w:spacing w:before="40" w:after="40"/>
      </w:pPr>
      <w:r>
        <w:rPr>
          <w:rFonts w:ascii="Arial" w:cs="Arial" w:eastAsia="Arial" w:hAnsi="Arial"/>
          <w:sz w:val="22"/>
          <w:szCs w:val="22"/>
        </w:rPr>
        <w:t xml:space="preserve">All async route handlers are wrapped in a try-catch with a centralized Express error middleware.</w:t>
      </w:r>
    </w:p>
    <w:p>
      <w:pPr>
        <w:pStyle w:val="ListParagraph"/>
        <w:numPr>
          <w:ilvl w:val="0"/>
          <w:numId w:val="2"/>
        </w:numPr>
        <w:spacing w:before="40" w:after="40"/>
      </w:pPr>
      <w:r>
        <w:rPr>
          <w:rFonts w:ascii="Arial" w:cs="Arial" w:eastAsia="Arial" w:hAnsi="Arial"/>
          <w:sz w:val="22"/>
          <w:szCs w:val="22"/>
        </w:rPr>
        <w:t xml:space="preserve">Fabric SDK errors are classified into TRANSACTION_FAILED, ENDORSEMENT_POLICY_FAILURE, and NETWORK_UNAVAILABLE and mapped to appropriate HTTP status codes (400, 409, 503).</w:t>
      </w:r>
    </w:p>
    <w:p>
      <w:pPr>
        <w:pStyle w:val="ListParagraph"/>
        <w:numPr>
          <w:ilvl w:val="0"/>
          <w:numId w:val="2"/>
        </w:numPr>
        <w:spacing w:before="40" w:after="40"/>
      </w:pPr>
      <w:r>
        <w:rPr>
          <w:rFonts w:ascii="Arial" w:cs="Arial" w:eastAsia="Arial" w:hAnsi="Arial"/>
          <w:sz w:val="22"/>
          <w:szCs w:val="22"/>
        </w:rPr>
        <w:t xml:space="preserve">Validation errors from express-validator return HTTP 422 with a structured list of field-level errors.</w:t>
      </w:r>
    </w:p>
    <w:p>
      <w:pPr>
        <w:pStyle w:val="ListParagraph"/>
        <w:numPr>
          <w:ilvl w:val="0"/>
          <w:numId w:val="2"/>
        </w:numPr>
        <w:spacing w:before="40" w:after="40"/>
      </w:pPr>
      <w:r>
        <w:rPr>
          <w:rFonts w:ascii="Arial" w:cs="Arial" w:eastAsia="Arial" w:hAnsi="Arial"/>
          <w:sz w:val="22"/>
          <w:szCs w:val="22"/>
        </w:rPr>
        <w:t xml:space="preserve">Authentication errors return HTTP 401; authorization errors return HTTP 403 — never 404 (to prevent resource enumeration).</w:t>
      </w:r>
    </w:p>
    <w:p>
      <w:pPr>
        <w:pStyle w:val="ListParagraph"/>
        <w:numPr>
          <w:ilvl w:val="0"/>
          <w:numId w:val="2"/>
        </w:numPr>
        <w:spacing w:before="40" w:after="40"/>
      </w:pPr>
      <w:r>
        <w:rPr>
          <w:rFonts w:ascii="Arial" w:cs="Arial" w:eastAsia="Arial" w:hAnsi="Arial"/>
          <w:sz w:val="22"/>
          <w:szCs w:val="22"/>
        </w:rPr>
        <w:t xml:space="preserve">All 5xx errors are caught before reaching the client; internal details are logged server-side but never exposed in the API response.</w:t>
      </w:r>
    </w:p>
    <w:p>
      <w:pPr>
        <w:pStyle w:val="Heading2"/>
      </w:pPr>
      <w:r>
        <w:rPr>
          <w:rFonts w:ascii="Arial" w:cs="Arial" w:eastAsia="Arial" w:hAnsi="Arial"/>
          <w:b/>
          <w:bCs/>
        </w:rPr>
        <w:t xml:space="preserve">10.2  Logging Strategy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Log Level</w:t>
            </w:r>
          </w:p>
        </w:tc>
        <w:tc>
          <w:tcPr>
            <w:tcW w:type="dxa" w:w="3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When Used</w:t>
            </w:r>
          </w:p>
        </w:tc>
        <w:tc>
          <w:tcPr>
            <w:tcW w:type="dxa" w:w="40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Destination</w:t>
            </w:r>
          </w:p>
        </w:tc>
      </w:tr>
      <w:tr>
        <w:tc>
          <w:tcPr>
            <w:tcW w:type="dxa" w:w="1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ERROR</w:t>
            </w:r>
          </w:p>
        </w:tc>
        <w:tc>
          <w:tcPr>
            <w:tcW w:type="dxa" w:w="3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Unhandled exceptions, Fabric network failures, DB connection errors</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Console + log file (errors.log)</w:t>
            </w:r>
          </w:p>
        </w:tc>
      </w:tr>
      <w:tr>
        <w:tc>
          <w:tcPr>
            <w:tcW w:type="dxa" w:w="1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WARN</w:t>
            </w:r>
          </w:p>
        </w:tc>
        <w:tc>
          <w:tcPr>
            <w:tcW w:type="dxa" w:w="3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Failed login attempts, rejected transactions, slow queries (&gt;2s)</w:t>
            </w:r>
          </w:p>
        </w:tc>
        <w:tc>
          <w:tcPr>
            <w:tcW w:type="dxa" w:w="4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Console + log file (app.log)</w:t>
            </w:r>
          </w:p>
        </w:tc>
      </w:tr>
      <w:tr>
        <w:tc>
          <w:tcPr>
            <w:tcW w:type="dxa" w:w="12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INFO</w:t>
            </w:r>
          </w:p>
        </w:tc>
        <w:tc>
          <w:tcPr>
            <w:tcW w:type="dxa" w:w="3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Successful API requests, chaincode invocations, user registrations</w:t>
            </w:r>
          </w:p>
        </w:tc>
        <w:tc>
          <w:tcPr>
            <w:tcW w:type="dxa" w:w="40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Console + log file (app.log)</w:t>
            </w:r>
          </w:p>
        </w:tc>
      </w:tr>
      <w:tr>
        <w:tc>
          <w:tcPr>
            <w:tcW w:type="dxa" w:w="12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DEBUG</w:t>
            </w:r>
          </w:p>
        </w:tc>
        <w:tc>
          <w:tcPr>
            <w:tcW w:type="dxa" w:w="3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Request/response payloads, Fabric event details (development only)</w:t>
            </w:r>
          </w:p>
        </w:tc>
        <w:tc>
          <w:tcPr>
            <w:tcW w:type="dxa" w:w="40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Console only (NODE_ENV=development)</w:t>
            </w:r>
          </w:p>
        </w:tc>
      </w:tr>
    </w:tbl>
    <w:p>
      <w:pPr>
        <w:spacing w:before="60" w:after="100"/>
        <w:jc w:val="both"/>
      </w:pPr>
      <w:r>
        <w:rPr>
          <w:rFonts w:ascii="Arial" w:cs="Arial" w:eastAsia="Arial" w:hAnsi="Arial"/>
          <w:b w:val="false"/>
          <w:bCs w:val="false"/>
          <w:i w:val="false"/>
          <w:iCs w:val="false"/>
          <w:color w:val="111111"/>
          <w:sz w:val="22"/>
          <w:szCs w:val="22"/>
        </w:rPr>
        <w:t xml:space="preserve">Logging uses the Winston library with daily rotating log files. All log entries include: timestamp, log level, request ID (UUID per request), user ID (if authenticated), HTTP method, endpoint, and duration.</w:t>
      </w:r>
    </w:p>
    <w:p>
      <w:pPr>
        <w:pBdr>
          <w:bottom w:val="single" w:color="1F6AA5" w:sz="6" w:space="4"/>
        </w:pBdr>
        <w:spacing w:before="200" w:after="160"/>
      </w:pPr>
      <w:r>
        <w:t xml:space="preserve"/>
      </w:r>
    </w:p>
    <w:p>
      <w:pPr>
        <w:pStyle w:val="Heading1"/>
      </w:pPr>
      <w:r>
        <w:rPr>
          <w:rFonts w:ascii="Arial" w:cs="Arial" w:eastAsia="Arial" w:hAnsi="Arial"/>
          <w:b/>
          <w:bCs/>
        </w:rPr>
        <w:t xml:space="preserve">11.  Testing Design</w:t>
      </w:r>
    </w:p>
    <w:p>
      <w:pPr>
        <w:pStyle w:val="Heading2"/>
      </w:pPr>
      <w:r>
        <w:rPr>
          <w:rFonts w:ascii="Arial" w:cs="Arial" w:eastAsia="Arial" w:hAnsi="Arial"/>
          <w:b/>
          <w:bCs/>
        </w:rPr>
        <w:t xml:space="preserve">11.1  Testing Levels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426"/>
      </w:tblGrid>
      <w:tr>
        <w:trPr>
          <w:tblHeader/>
        </w:trPr>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Level</w:t>
            </w:r>
          </w:p>
        </w:tc>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Scope</w:t>
            </w:r>
          </w:p>
        </w:tc>
        <w:tc>
          <w:tcPr>
            <w:tcW w:type="dxa" w:w="34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Pass Criteria</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Unit Tests</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Mocha + Chai</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Individual chaincode functions; API service functions; utility helpers</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All functions return expected values for valid and invalid inputs; 80%+ code coverage</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Integration Tests</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Mocha + Supertest</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API endpoints against a running Fabric test network and MySQL instance</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All HTTP endpoints return correct status codes and response bodies</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System Tests</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Manual + Postman</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End-to-end user workflows: register, search, transfer, encumber</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All 15 use cases execute successfully per SRS UC definitions</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Security Tests</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OWASP ZAP (basic scan)</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SQL injection, XSS, CSRF, authentication bypass attempts</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No high-severity vulnerabilities in OWASP Top 10 categories</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Usability Tests</w:t>
            </w:r>
          </w:p>
        </w:tc>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Manual (5 test users)</w:t>
            </w:r>
          </w:p>
        </w:tc>
        <w:tc>
          <w:tcPr>
            <w:tcW w:type="dxa" w:w="24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Task completion time for search and transfer workflows</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New users complete search in &lt; 5 minutes without assistance</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Performance Tests</w:t>
            </w:r>
          </w:p>
        </w:tc>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Artillery (basic load)</w:t>
            </w:r>
          </w:p>
        </w:tc>
        <w:tc>
          <w:tcPr>
            <w:tcW w:type="dxa" w:w="24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50 concurrent search requests; 10 concurrent transfer submissions</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P95 response time &lt; 3s for reads; &lt; 5s for writes</w:t>
            </w:r>
          </w:p>
        </w:tc>
      </w:tr>
    </w:tbl>
    <w:p>
      <w:pPr>
        <w:pStyle w:val="Heading2"/>
      </w:pPr>
      <w:r>
        <w:rPr>
          <w:rFonts w:ascii="Arial" w:cs="Arial" w:eastAsia="Arial" w:hAnsi="Arial"/>
          <w:b/>
          <w:bCs/>
        </w:rPr>
        <w:t xml:space="preserve">11.2  Key Test Scenarios</w:t>
      </w:r>
    </w:p>
    <w:p>
      <w:pPr>
        <w:pStyle w:val="ListParagraph"/>
        <w:numPr>
          <w:ilvl w:val="0"/>
          <w:numId w:val="2"/>
        </w:numPr>
        <w:spacing w:before="40" w:after="40"/>
      </w:pPr>
      <w:r>
        <w:rPr>
          <w:rFonts w:ascii="Arial" w:cs="Arial" w:eastAsia="Arial" w:hAnsi="Arial"/>
          <w:sz w:val="22"/>
          <w:szCs w:val="22"/>
        </w:rPr>
        <w:t xml:space="preserve">TC-001: Register a new landowner — verify Fabric CA enrollment and database record creation</w:t>
      </w:r>
    </w:p>
    <w:p>
      <w:pPr>
        <w:pStyle w:val="ListParagraph"/>
        <w:numPr>
          <w:ilvl w:val="0"/>
          <w:numId w:val="2"/>
        </w:numPr>
        <w:spacing w:before="40" w:after="40"/>
      </w:pPr>
      <w:r>
        <w:rPr>
          <w:rFonts w:ascii="Arial" w:cs="Arial" w:eastAsia="Arial" w:hAnsi="Arial"/>
          <w:sz w:val="22"/>
          <w:szCs w:val="22"/>
        </w:rPr>
        <w:t xml:space="preserve">TC-010: Registrar creates a parcel — verify blockchain asset creation and CouchDB indexing</w:t>
      </w:r>
    </w:p>
    <w:p>
      <w:pPr>
        <w:pStyle w:val="ListParagraph"/>
        <w:numPr>
          <w:ilvl w:val="0"/>
          <w:numId w:val="2"/>
        </w:numPr>
        <w:spacing w:before="40" w:after="40"/>
      </w:pPr>
      <w:r>
        <w:rPr>
          <w:rFonts w:ascii="Arial" w:cs="Arial" w:eastAsia="Arial" w:hAnsi="Arial"/>
          <w:sz w:val="22"/>
          <w:szCs w:val="22"/>
        </w:rPr>
        <w:t xml:space="preserve">TC-020: Landowner initiates transfer — verify PENDING record creation and encumbrance block</w:t>
      </w:r>
    </w:p>
    <w:p>
      <w:pPr>
        <w:pStyle w:val="ListParagraph"/>
        <w:numPr>
          <w:ilvl w:val="0"/>
          <w:numId w:val="2"/>
        </w:numPr>
        <w:spacing w:before="40" w:after="40"/>
      </w:pPr>
      <w:r>
        <w:rPr>
          <w:rFonts w:ascii="Arial" w:cs="Arial" w:eastAsia="Arial" w:hAnsi="Arial"/>
          <w:sz w:val="22"/>
          <w:szCs w:val="22"/>
        </w:rPr>
        <w:t xml:space="preserve">TC-022: Registrar approves transfer — verify atomic ledger update and email notification</w:t>
      </w:r>
    </w:p>
    <w:p>
      <w:pPr>
        <w:pStyle w:val="ListParagraph"/>
        <w:numPr>
          <w:ilvl w:val="0"/>
          <w:numId w:val="2"/>
        </w:numPr>
        <w:spacing w:before="40" w:after="40"/>
      </w:pPr>
      <w:r>
        <w:rPr>
          <w:rFonts w:ascii="Arial" w:cs="Arial" w:eastAsia="Arial" w:hAnsi="Arial"/>
          <w:sz w:val="22"/>
          <w:szCs w:val="22"/>
        </w:rPr>
        <w:t xml:space="preserve">TC-030: Financial institution registers mortgage — verify parcel status changes to ENCUMBERED</w:t>
      </w:r>
    </w:p>
    <w:p>
      <w:pPr>
        <w:pStyle w:val="ListParagraph"/>
        <w:numPr>
          <w:ilvl w:val="0"/>
          <w:numId w:val="2"/>
        </w:numPr>
        <w:spacing w:before="40" w:after="40"/>
      </w:pPr>
      <w:r>
        <w:rPr>
          <w:rFonts w:ascii="Arial" w:cs="Arial" w:eastAsia="Arial" w:hAnsi="Arial"/>
          <w:sz w:val="22"/>
          <w:szCs w:val="22"/>
        </w:rPr>
        <w:t xml:space="preserve">TC-031: Attempt transfer on encumbered parcel — verify system blocks the transfer with error</w:t>
      </w:r>
    </w:p>
    <w:p>
      <w:pPr>
        <w:pStyle w:val="ListParagraph"/>
        <w:numPr>
          <w:ilvl w:val="0"/>
          <w:numId w:val="2"/>
        </w:numPr>
        <w:spacing w:before="40" w:after="40"/>
      </w:pPr>
      <w:r>
        <w:rPr>
          <w:rFonts w:ascii="Arial" w:cs="Arial" w:eastAsia="Arial" w:hAnsi="Arial"/>
          <w:sz w:val="22"/>
          <w:szCs w:val="22"/>
        </w:rPr>
        <w:t xml:space="preserve">TC-040: Public search by title number — verify correct parcel returned within 3 seconds</w:t>
      </w:r>
    </w:p>
    <w:p>
      <w:pPr>
        <w:pStyle w:val="ListParagraph"/>
        <w:numPr>
          <w:ilvl w:val="0"/>
          <w:numId w:val="2"/>
        </w:numPr>
        <w:spacing w:before="40" w:after="40"/>
      </w:pPr>
      <w:r>
        <w:rPr>
          <w:rFonts w:ascii="Arial" w:cs="Arial" w:eastAsia="Arial" w:hAnsi="Arial"/>
          <w:sz w:val="22"/>
          <w:szCs w:val="22"/>
        </w:rPr>
        <w:t xml:space="preserve">TC-100: Attempt login with wrong password 5 times — verify account lockout after 5th failure</w:t>
      </w:r>
    </w:p>
    <w:p>
      <w:pPr>
        <w:pStyle w:val="ListParagraph"/>
        <w:numPr>
          <w:ilvl w:val="0"/>
          <w:numId w:val="2"/>
        </w:numPr>
        <w:spacing w:before="40" w:after="40"/>
      </w:pPr>
      <w:r>
        <w:rPr>
          <w:rFonts w:ascii="Arial" w:cs="Arial" w:eastAsia="Arial" w:hAnsi="Arial"/>
          <w:sz w:val="22"/>
          <w:szCs w:val="22"/>
        </w:rPr>
        <w:t xml:space="preserve">TC-101: Submit SQL injection payload in search field — verify parameterized query prevents attack</w:t>
      </w:r>
    </w:p>
    <w:p>
      <w:pPr>
        <w:pBdr>
          <w:bottom w:val="single" w:color="1F6AA5" w:sz="6" w:space="4"/>
        </w:pBdr>
        <w:spacing w:before="200" w:after="160"/>
      </w:pPr>
      <w:r>
        <w:t xml:space="preserve"/>
      </w:r>
    </w:p>
    <w:p>
      <w:pPr>
        <w:pStyle w:val="Heading1"/>
      </w:pPr>
      <w:r>
        <w:rPr>
          <w:rFonts w:ascii="Arial" w:cs="Arial" w:eastAsia="Arial" w:hAnsi="Arial"/>
          <w:b/>
          <w:bCs/>
        </w:rPr>
        <w:t xml:space="preserve">12.  Deployment Design</w:t>
      </w:r>
    </w:p>
    <w:p>
      <w:pPr>
        <w:pStyle w:val="Heading2"/>
      </w:pPr>
      <w:r>
        <w:rPr>
          <w:rFonts w:ascii="Arial" w:cs="Arial" w:eastAsia="Arial" w:hAnsi="Arial"/>
          <w:b/>
          <w:bCs/>
        </w:rPr>
        <w:t xml:space="preserve">12.1  Docker Compose Configuration Summary</w:t>
      </w:r>
    </w:p>
    <w:p>
      <w:pPr>
        <w:spacing w:before="60" w:after="100"/>
        <w:jc w:val="both"/>
      </w:pPr>
      <w:r>
        <w:rPr>
          <w:rFonts w:ascii="Arial" w:cs="Arial" w:eastAsia="Arial" w:hAnsi="Arial"/>
          <w:b w:val="false"/>
          <w:bCs w:val="false"/>
          <w:i w:val="false"/>
          <w:iCs w:val="false"/>
          <w:color w:val="111111"/>
          <w:sz w:val="22"/>
          <w:szCs w:val="22"/>
        </w:rPr>
        <w:t xml:space="preserve">All services are defined in a single docker-compose.yml file at the project root. Services are connected via a custom bridge network (land-registry-net) with static IP assignments to ensure consistent hostname resolution for Fabric peer certificates.</w:t>
      </w:r>
    </w:p>
    <w:p>
      <w:pPr>
        <w:pStyle w:val="Heading2"/>
      </w:pPr>
      <w:r>
        <w:rPr>
          <w:rFonts w:ascii="Arial" w:cs="Arial" w:eastAsia="Arial" w:hAnsi="Arial"/>
          <w:b/>
          <w:bCs/>
        </w:rPr>
        <w:t xml:space="preserve">12.2  Environment Variables</w:t>
      </w:r>
    </w:p>
    <w:p>
      <w:pPr>
        <w:pStyle w:val="ListParagraph"/>
        <w:numPr>
          <w:ilvl w:val="0"/>
          <w:numId w:val="2"/>
        </w:numPr>
        <w:spacing w:before="40" w:after="40"/>
      </w:pPr>
      <w:r>
        <w:rPr>
          <w:rFonts w:ascii="Arial" w:cs="Arial" w:eastAsia="Arial" w:hAnsi="Arial"/>
          <w:sz w:val="22"/>
          <w:szCs w:val="22"/>
        </w:rPr>
        <w:t xml:space="preserve">NODE_ENV: development | production</w:t>
      </w:r>
    </w:p>
    <w:p>
      <w:pPr>
        <w:pStyle w:val="ListParagraph"/>
        <w:numPr>
          <w:ilvl w:val="0"/>
          <w:numId w:val="2"/>
        </w:numPr>
        <w:spacing w:before="40" w:after="40"/>
      </w:pPr>
      <w:r>
        <w:rPr>
          <w:rFonts w:ascii="Arial" w:cs="Arial" w:eastAsia="Arial" w:hAnsi="Arial"/>
          <w:sz w:val="22"/>
          <w:szCs w:val="22"/>
        </w:rPr>
        <w:t xml:space="preserve">JWT_SECRET: RS256 private key (PEM) for signing access tokens</w:t>
      </w:r>
    </w:p>
    <w:p>
      <w:pPr>
        <w:pStyle w:val="ListParagraph"/>
        <w:numPr>
          <w:ilvl w:val="0"/>
          <w:numId w:val="2"/>
        </w:numPr>
        <w:spacing w:before="40" w:after="40"/>
      </w:pPr>
      <w:r>
        <w:rPr>
          <w:rFonts w:ascii="Arial" w:cs="Arial" w:eastAsia="Arial" w:hAnsi="Arial"/>
          <w:sz w:val="22"/>
          <w:szCs w:val="22"/>
        </w:rPr>
        <w:t xml:space="preserve">JWT_REFRESH_SECRET: RS256 private key for refresh tokens</w:t>
      </w:r>
    </w:p>
    <w:p>
      <w:pPr>
        <w:pStyle w:val="ListParagraph"/>
        <w:numPr>
          <w:ilvl w:val="0"/>
          <w:numId w:val="2"/>
        </w:numPr>
        <w:spacing w:before="40" w:after="40"/>
      </w:pPr>
      <w:r>
        <w:rPr>
          <w:rFonts w:ascii="Arial" w:cs="Arial" w:eastAsia="Arial" w:hAnsi="Arial"/>
          <w:sz w:val="22"/>
          <w:szCs w:val="22"/>
        </w:rPr>
        <w:t xml:space="preserve">DB_HOST / DB_PORT / DB_USER / DB_PASS / DB_NAME: MySQL connection details</w:t>
      </w:r>
    </w:p>
    <w:p>
      <w:pPr>
        <w:pStyle w:val="ListParagraph"/>
        <w:numPr>
          <w:ilvl w:val="0"/>
          <w:numId w:val="2"/>
        </w:numPr>
        <w:spacing w:before="40" w:after="40"/>
      </w:pPr>
      <w:r>
        <w:rPr>
          <w:rFonts w:ascii="Arial" w:cs="Arial" w:eastAsia="Arial" w:hAnsi="Arial"/>
          <w:sz w:val="22"/>
          <w:szCs w:val="22"/>
        </w:rPr>
        <w:t xml:space="preserve">FABRIC_WALLET_PATH: Path to the Fabric file-system wallet for enrolled identities</w:t>
      </w:r>
    </w:p>
    <w:p>
      <w:pPr>
        <w:pStyle w:val="ListParagraph"/>
        <w:numPr>
          <w:ilvl w:val="0"/>
          <w:numId w:val="2"/>
        </w:numPr>
        <w:spacing w:before="40" w:after="40"/>
      </w:pPr>
      <w:r>
        <w:rPr>
          <w:rFonts w:ascii="Arial" w:cs="Arial" w:eastAsia="Arial" w:hAnsi="Arial"/>
          <w:sz w:val="22"/>
          <w:szCs w:val="22"/>
        </w:rPr>
        <w:t xml:space="preserve">FABRIC_CONNECTION_PROFILE: Path to the JSON connection profile for the test network</w:t>
      </w:r>
    </w:p>
    <w:p>
      <w:pPr>
        <w:pStyle w:val="ListParagraph"/>
        <w:numPr>
          <w:ilvl w:val="0"/>
          <w:numId w:val="2"/>
        </w:numPr>
        <w:spacing w:before="40" w:after="40"/>
      </w:pPr>
      <w:r>
        <w:rPr>
          <w:rFonts w:ascii="Arial" w:cs="Arial" w:eastAsia="Arial" w:hAnsi="Arial"/>
          <w:sz w:val="22"/>
          <w:szCs w:val="22"/>
        </w:rPr>
        <w:t xml:space="preserve">IPFS_HOST / IPFS_PORT: IPFS API endpoint for the local node</w:t>
      </w:r>
    </w:p>
    <w:p>
      <w:pPr>
        <w:pStyle w:val="ListParagraph"/>
        <w:numPr>
          <w:ilvl w:val="0"/>
          <w:numId w:val="2"/>
        </w:numPr>
        <w:spacing w:before="40" w:after="40"/>
      </w:pPr>
      <w:r>
        <w:rPr>
          <w:rFonts w:ascii="Arial" w:cs="Arial" w:eastAsia="Arial" w:hAnsi="Arial"/>
          <w:sz w:val="22"/>
          <w:szCs w:val="22"/>
        </w:rPr>
        <w:t xml:space="preserve">AES_KEY: 256-bit hex key for PII field encryption</w:t>
      </w:r>
    </w:p>
    <w:p>
      <w:pPr>
        <w:pStyle w:val="ListParagraph"/>
        <w:numPr>
          <w:ilvl w:val="0"/>
          <w:numId w:val="2"/>
        </w:numPr>
        <w:spacing w:before="40" w:after="40"/>
      </w:pPr>
      <w:r>
        <w:rPr>
          <w:rFonts w:ascii="Arial" w:cs="Arial" w:eastAsia="Arial" w:hAnsi="Arial"/>
          <w:sz w:val="22"/>
          <w:szCs w:val="22"/>
        </w:rPr>
        <w:t xml:space="preserve">SMTP_HOST / SMTP_PORT / SMTP_USER / SMTP_PASS: Email notification service credentials</w:t>
      </w:r>
    </w:p>
    <w:p>
      <w:pPr>
        <w:pStyle w:val="Heading2"/>
      </w:pPr>
      <w:r>
        <w:rPr>
          <w:rFonts w:ascii="Arial" w:cs="Arial" w:eastAsia="Arial" w:hAnsi="Arial"/>
          <w:b/>
          <w:bCs/>
        </w:rPr>
        <w:t xml:space="preserve">12.3  Startup Sequence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Order</w:t>
            </w:r>
          </w:p>
        </w:tc>
        <w:tc>
          <w:tcPr>
            <w:tcW w:type="dxa" w:w="28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56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Command / Script</w:t>
            </w:r>
          </w:p>
        </w:tc>
      </w:tr>
      <w:tr>
        <w:tc>
          <w:tcPr>
            <w:tcW w:type="dxa" w:w="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Start Docker network and all containers</w:t>
            </w:r>
          </w:p>
        </w:tc>
        <w:tc>
          <w:tcPr>
            <w:tcW w:type="dxa" w:w="5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docker-compose up -d</w:t>
            </w:r>
          </w:p>
        </w:tc>
      </w:tr>
      <w:tr>
        <w:tc>
          <w:tcPr>
            <w:tcW w:type="dxa" w:w="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2</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Wait for Fabric peers and orderer to be healthy</w:t>
            </w:r>
          </w:p>
        </w:tc>
        <w:tc>
          <w:tcPr>
            <w:tcW w:type="dxa" w:w="5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scripts/wait-for-network.sh</w:t>
            </w:r>
          </w:p>
        </w:tc>
      </w:tr>
      <w:tr>
        <w:tc>
          <w:tcPr>
            <w:tcW w:type="dxa" w:w="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3</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Create the land-registry-channel</w:t>
            </w:r>
          </w:p>
        </w:tc>
        <w:tc>
          <w:tcPr>
            <w:tcW w:type="dxa" w:w="5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scripts/createChannel.sh</w:t>
            </w:r>
          </w:p>
        </w:tc>
      </w:tr>
      <w:tr>
        <w:tc>
          <w:tcPr>
            <w:tcW w:type="dxa" w:w="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Package and install chaincode on both peers</w:t>
            </w:r>
          </w:p>
        </w:tc>
        <w:tc>
          <w:tcPr>
            <w:tcW w:type="dxa" w:w="5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scripts/deployCC.sh</w:t>
            </w:r>
          </w:p>
        </w:tc>
      </w:tr>
      <w:tr>
        <w:tc>
          <w:tcPr>
            <w:tcW w:type="dxa" w:w="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5</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Approve chaincode for both organizations</w:t>
            </w:r>
          </w:p>
        </w:tc>
        <w:tc>
          <w:tcPr>
            <w:tcW w:type="dxa" w:w="5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scripts/deployCC.sh (continued)</w:t>
            </w:r>
          </w:p>
        </w:tc>
      </w:tr>
      <w:tr>
        <w:tc>
          <w:tcPr>
            <w:tcW w:type="dxa" w:w="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6</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Commit chaincode definition to the channel</w:t>
            </w:r>
          </w:p>
        </w:tc>
        <w:tc>
          <w:tcPr>
            <w:tcW w:type="dxa" w:w="5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scripts/deployCC.sh (continued)</w:t>
            </w:r>
          </w:p>
        </w:tc>
      </w:tr>
      <w:tr>
        <w:tc>
          <w:tcPr>
            <w:tcW w:type="dxa" w:w="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7</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Initialize the ledger with seed data (optional)</w:t>
            </w:r>
          </w:p>
        </w:tc>
        <w:tc>
          <w:tcPr>
            <w:tcW w:type="dxa" w:w="5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scripts/initLedger.sh</w:t>
            </w:r>
          </w:p>
        </w:tc>
      </w:tr>
      <w:tr>
        <w:tc>
          <w:tcPr>
            <w:tcW w:type="dxa" w:w="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8</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Run MySQL migrations to create tables</w:t>
            </w:r>
          </w:p>
        </w:tc>
        <w:tc>
          <w:tcPr>
            <w:tcW w:type="dxa" w:w="5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npm run migrate (api-server container)</w:t>
            </w:r>
          </w:p>
        </w:tc>
      </w:tr>
      <w:tr>
        <w:tc>
          <w:tcPr>
            <w:tcW w:type="dxa" w:w="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9</w:t>
            </w:r>
          </w:p>
        </w:tc>
        <w:tc>
          <w:tcPr>
            <w:tcW w:type="dxa" w:w="28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Seed MySQL with default roles and admin account</w:t>
            </w:r>
          </w:p>
        </w:tc>
        <w:tc>
          <w:tcPr>
            <w:tcW w:type="dxa" w:w="56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npm run seed</w:t>
            </w:r>
          </w:p>
        </w:tc>
      </w:tr>
      <w:tr>
        <w:tc>
          <w:tcPr>
            <w:tcW w:type="dxa" w:w="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10</w:t>
            </w:r>
          </w:p>
        </w:tc>
        <w:tc>
          <w:tcPr>
            <w:tcW w:type="dxa" w:w="28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Verify all containers are healthy</w:t>
            </w:r>
          </w:p>
        </w:tc>
        <w:tc>
          <w:tcPr>
            <w:tcW w:type="dxa" w:w="56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docker-compose ps</w:t>
            </w:r>
          </w:p>
        </w:tc>
      </w:tr>
    </w:tbl>
    <w:p>
      <w:pPr>
        <w:pBdr>
          <w:bottom w:val="single" w:color="1F6AA5" w:sz="6" w:space="4"/>
        </w:pBdr>
        <w:spacing w:before="200" w:after="160"/>
      </w:pPr>
      <w:r>
        <w:t xml:space="preserve"/>
      </w:r>
    </w:p>
    <w:p>
      <w:pPr>
        <w:pStyle w:val="Heading1"/>
      </w:pPr>
      <w:r>
        <w:rPr>
          <w:rFonts w:ascii="Arial" w:cs="Arial" w:eastAsia="Arial" w:hAnsi="Arial"/>
          <w:b/>
          <w:bCs/>
        </w:rPr>
        <w:t xml:space="preserve">13.  Design Decisions and Rationale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426"/>
      </w:tblGrid>
      <w:tr>
        <w:trPr>
          <w:tblHeader/>
        </w:trPr>
        <w:tc>
          <w:tcPr>
            <w:tcW w:type="dxa" w:w="16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Decision</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Options Considered</w:t>
            </w:r>
          </w:p>
        </w:tc>
        <w:tc>
          <w:tcPr>
            <w:tcW w:type="dxa" w:w="2000"/>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Choice Made</w:t>
            </w:r>
          </w:p>
        </w:tc>
        <w:tc>
          <w:tcPr>
            <w:tcW w:type="dxa" w:w="3426"/>
            <w:tcBorders>
              <w:top w:val="single" w:color="1F6AA5" w:sz="4"/>
              <w:left w:val="single" w:color="1F6AA5" w:sz="4"/>
              <w:bottom w:val="single" w:color="1F6AA5" w:sz="4"/>
              <w:right w:val="single" w:color="1F6AA5" w:sz="4"/>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Rationale</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Blockchain Platform</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Ethereum (public), Hyperledger Fabric, Corda</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Hyperledger Fabric 2.5</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Permissioned network required for government data; Fabric's RBAC, private channels, and enterprise endorsement policies match Kenya land registry governance requirements</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State Database</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LevelDB (default), CouchDB</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CouchDB 3.3</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CouchDB enables rich JSON queries (e.g., query by owner, county) without iterating the full ledger — essential for a land search interface</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Consensus Mechanism</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Solo, Kafka, Raft</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Solo (prototype); Raft (production recommendation)</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Solo is simplest for a 4-week prototype; Raft is crash fault-tolerant and recommended for production without Byzantine fault requirements</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Off-chain Storage</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IPFS, AWS S3, MinIO, IPFS+Filecoin</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IPFS (local node)</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IPFS provides content-addressed immutable storage with hash anchoring on-chain; local node avoids external service dependency for prototype</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Frontend Framework</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React.js, Vue.js, Angular, plain HTML/CSS</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React.js 18</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Largest ecosystem, mature Hooks API, team familiarity; component reusability reduces development time within 4-week constraint</w:t>
            </w:r>
          </w:p>
        </w:tc>
      </w:tr>
      <w:tr>
        <w:tc>
          <w:tcPr>
            <w:tcW w:type="dxa" w:w="16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Authentication</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Session cookies, JWT, OAuth 2.0</w:t>
            </w:r>
          </w:p>
        </w:tc>
        <w:tc>
          <w:tcPr>
            <w:tcW w:type="dxa" w:w="2000"/>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JWT (RS256) + MFA for privileged roles</w:t>
            </w:r>
          </w:p>
        </w:tc>
        <w:tc>
          <w:tcPr>
            <w:tcW w:type="dxa" w:w="3426"/>
            <w:tcBorders>
              <w:top w:val="single" w:color="AACDE8" w:sz="4"/>
              <w:left w:val="single" w:color="AACDE8" w:sz="4"/>
              <w:bottom w:val="single" w:color="AACDE8" w:sz="4"/>
              <w:right w:val="single" w:color="AACDE8"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Stateless JWTs suit the API-first architecture; RS256 (asymmetric) prevents server-side key compromise; MFA adds required security for government roles</w:t>
            </w:r>
          </w:p>
        </w:tc>
      </w:tr>
      <w:tr>
        <w:tc>
          <w:tcPr>
            <w:tcW w:type="dxa" w:w="16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Chaincode Language</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Go, JavaScript, Java</w:t>
            </w:r>
          </w:p>
        </w:tc>
        <w:tc>
          <w:tcPr>
            <w:tcW w:type="dxa" w:w="2000"/>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JavaScript (Node.js)</w:t>
            </w:r>
          </w:p>
        </w:tc>
        <w:tc>
          <w:tcPr>
            <w:tcW w:type="dxa" w:w="3426"/>
            <w:tcBorders>
              <w:top w:val="single" w:color="AACDE8" w:sz="4"/>
              <w:left w:val="single" w:color="AACDE8" w:sz="4"/>
              <w:bottom w:val="single" w:color="AACDE8" w:sz="4"/>
              <w:right w:val="single" w:color="AACDE8" w:sz="4"/>
            </w:tcBorders>
            <w:shd w:fill="F0F6FB" w:val="clear"/>
            <w:tcMar>
              <w:top w:type="dxa" w:w="80"/>
              <w:left w:type="dxa" w:w="140"/>
              <w:bottom w:type="dxa" w:w="80"/>
              <w:right w:type="dxa" w:w="140"/>
            </w:tcMar>
            <w:vAlign w:val="top"/>
          </w:tcPr>
          <w:p>
            <w:r>
              <w:rPr>
                <w:rFonts w:ascii="Arial" w:cs="Arial" w:eastAsia="Arial" w:hAnsi="Arial"/>
                <w:sz w:val="20"/>
                <w:szCs w:val="20"/>
              </w:rPr>
              <w:t xml:space="preserve">Same language as the API server reduces cognitive load; fabric-contract-api is well-documented in JavaScript; sufficient performance for prototype</w:t>
            </w:r>
          </w:p>
        </w:tc>
      </w:tr>
    </w:tbl>
    <w:p>
      <w:pPr>
        <w:pBdr>
          <w:bottom w:val="single" w:color="1F6AA5" w:sz="6" w:space="4"/>
        </w:pBdr>
        <w:spacing w:before="200" w:after="160"/>
      </w:pPr>
      <w:r>
        <w:t xml:space="preserve"/>
      </w:r>
    </w:p>
    <w:p>
      <w:pPr>
        <w:spacing w:before="100" w:after="0"/>
      </w:pPr>
      <w:r>
        <w:t xml:space="preserve"/>
      </w:r>
    </w:p>
    <w:p>
      <w:pPr>
        <w:pStyle w:val="Heading1"/>
      </w:pPr>
      <w:r>
        <w:rPr>
          <w:rFonts w:ascii="Arial" w:cs="Arial" w:eastAsia="Arial" w:hAnsi="Arial"/>
          <w:b/>
          <w:bCs/>
        </w:rPr>
        <w:t xml:space="preserve">Document Approval</w:t>
      </w:r>
    </w:p>
    <w:p>
      <w:pPr>
        <w:spacing w:before="60" w:after="100"/>
        <w:jc w:val="both"/>
      </w:pPr>
      <w:r>
        <w:rPr>
          <w:rFonts w:ascii="Arial" w:cs="Arial" w:eastAsia="Arial" w:hAnsi="Arial"/>
          <w:b w:val="false"/>
          <w:bCs w:val="false"/>
          <w:i w:val="false"/>
          <w:iCs w:val="false"/>
          <w:color w:val="111111"/>
          <w:sz w:val="22"/>
          <w:szCs w:val="22"/>
        </w:rPr>
        <w:t xml:space="preserve">This System Design Specification has been reviewed and is approved for use as the guiding technical blueprint for the implementation phase.</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1F6AA5" w:sz="4"/>
              <w:left w:val="single" w:color="1F6AA5" w:sz="4"/>
              <w:bottom w:val="single" w:color="1F6AA5" w:sz="4"/>
              <w:right w:val="single" w:color="1F6AA5" w:sz="4"/>
            </w:tcBorders>
            <w:shd w:fill="1A3A5C"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Prepared By</w:t>
            </w:r>
          </w:p>
        </w:tc>
        <w:tc>
          <w:tcPr>
            <w:tcBorders>
              <w:top w:val="single" w:color="1F6AA5" w:sz="4"/>
              <w:left w:val="single" w:color="1F6AA5" w:sz="4"/>
              <w:bottom w:val="single" w:color="1F6AA5" w:sz="4"/>
              <w:right w:val="single" w:color="1F6AA5" w:sz="4"/>
            </w:tcBorders>
            <w:shd w:fill="1A3A5C"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Approved By (Supervisor)</w:t>
            </w:r>
          </w:p>
        </w:tc>
      </w:tr>
      <w:tr>
        <w:tc>
          <w:tcPr>
            <w:tcBorders>
              <w:top w:val="single" w:color="AACDE8" w:sz="4"/>
              <w:left w:val="single" w:color="AACDE8" w:sz="4"/>
              <w:bottom w:val="single" w:color="AACDE8" w:sz="4"/>
              <w:right w:val="single" w:color="AACDE8" w:sz="4"/>
            </w:tcBorders>
            <w:shd w:fill="F0F6FB" w:val="clear"/>
            <w:tcMar>
              <w:top w:type="dxa" w:w="160"/>
              <w:left w:type="dxa" w:w="200"/>
              <w:bottom w:type="dxa" w:w="160"/>
              <w:right w:type="dxa" w:w="200"/>
            </w:tcMar>
          </w:tcPr>
          <w:p>
            <w:pPr>
              <w:spacing w:before="80" w:after="80"/>
            </w:pPr>
            <w:r>
              <w:rPr>
                <w:rFonts w:ascii="Arial" w:cs="Arial" w:eastAsia="Arial" w:hAnsi="Arial"/>
                <w:b/>
                <w:bCs/>
                <w:sz w:val="22"/>
                <w:szCs w:val="22"/>
              </w:rPr>
              <w:t xml:space="preserve">Name: </w:t>
            </w:r>
            <w:r>
              <w:rPr>
                <w:rFonts w:ascii="Arial" w:cs="Arial" w:eastAsia="Arial" w:hAnsi="Arial"/>
                <w:sz w:val="22"/>
                <w:szCs w:val="22"/>
              </w:rPr>
              <w:t xml:space="preserve">Christopher Anunda Ragira</w:t>
            </w:r>
          </w:p>
          <w:p>
            <w:pPr>
              <w:spacing w:before="80" w:after="80"/>
            </w:pPr>
            <w:r>
              <w:rPr>
                <w:rFonts w:ascii="Arial" w:cs="Arial" w:eastAsia="Arial" w:hAnsi="Arial"/>
                <w:b/>
                <w:bCs/>
                <w:sz w:val="22"/>
                <w:szCs w:val="22"/>
              </w:rPr>
              <w:t xml:space="preserve">Reg. No: </w:t>
            </w:r>
            <w:r>
              <w:rPr>
                <w:rFonts w:ascii="Arial" w:cs="Arial" w:eastAsia="Arial" w:hAnsi="Arial"/>
                <w:sz w:val="22"/>
                <w:szCs w:val="22"/>
              </w:rPr>
              <w:t xml:space="preserve">SP13/06831/20</w:t>
            </w:r>
          </w:p>
          <w:p>
            <w:pPr>
              <w:spacing w:before="120" w:after="80"/>
            </w:pPr>
            <w:r>
              <w:rPr>
                <w:rFonts w:ascii="Arial" w:cs="Arial" w:eastAsia="Arial" w:hAnsi="Arial"/>
                <w:sz w:val="22"/>
                <w:szCs w:val="22"/>
              </w:rPr>
              <w:t xml:space="preserve">Signature: ______________________</w:t>
            </w:r>
          </w:p>
          <w:p>
            <w:pPr>
              <w:spacing w:before="80" w:after="80"/>
            </w:pPr>
            <w:r>
              <w:rPr>
                <w:rFonts w:ascii="Arial" w:cs="Arial" w:eastAsia="Arial" w:hAnsi="Arial"/>
                <w:sz w:val="22"/>
                <w:szCs w:val="22"/>
              </w:rPr>
              <w:t xml:space="preserve">Date: ____________________________</w:t>
            </w:r>
          </w:p>
        </w:tc>
        <w:tc>
          <w:tcPr>
            <w:tcBorders>
              <w:top w:val="single" w:color="AACDE8" w:sz="4"/>
              <w:left w:val="single" w:color="AACDE8" w:sz="4"/>
              <w:bottom w:val="single" w:color="AACDE8" w:sz="4"/>
              <w:right w:val="single" w:color="AACDE8" w:sz="4"/>
            </w:tcBorders>
            <w:shd w:fill="F0F6FB" w:val="clear"/>
            <w:tcMar>
              <w:top w:type="dxa" w:w="160"/>
              <w:left w:type="dxa" w:w="200"/>
              <w:bottom w:type="dxa" w:w="160"/>
              <w:right w:type="dxa" w:w="200"/>
            </w:tcMar>
          </w:tcPr>
          <w:p>
            <w:pPr>
              <w:spacing w:before="80" w:after="80"/>
            </w:pPr>
            <w:r>
              <w:rPr>
                <w:rFonts w:ascii="Arial" w:cs="Arial" w:eastAsia="Arial" w:hAnsi="Arial"/>
                <w:b/>
                <w:bCs/>
                <w:sz w:val="22"/>
                <w:szCs w:val="22"/>
              </w:rPr>
              <w:t xml:space="preserve">Name: </w:t>
            </w:r>
            <w:r>
              <w:rPr>
                <w:rFonts w:ascii="Arial" w:cs="Arial" w:eastAsia="Arial" w:hAnsi="Arial"/>
                <w:sz w:val="22"/>
                <w:szCs w:val="22"/>
              </w:rPr>
              <w:t xml:space="preserve">Dr. Zachary Bosire</w:t>
            </w:r>
          </w:p>
          <w:p>
            <w:pPr>
              <w:spacing w:before="80" w:after="80"/>
            </w:pPr>
            <w:r>
              <w:rPr>
                <w:rFonts w:ascii="Arial" w:cs="Arial" w:eastAsia="Arial" w:hAnsi="Arial"/>
                <w:b/>
                <w:bCs/>
                <w:sz w:val="22"/>
                <w:szCs w:val="22"/>
              </w:rPr>
              <w:t xml:space="preserve">Title: </w:t>
            </w:r>
            <w:r>
              <w:rPr>
                <w:rFonts w:ascii="Arial" w:cs="Arial" w:eastAsia="Arial" w:hAnsi="Arial"/>
                <w:sz w:val="22"/>
                <w:szCs w:val="22"/>
              </w:rPr>
              <w:t xml:space="preserve">Supervisor, Egerton University</w:t>
            </w:r>
          </w:p>
          <w:p>
            <w:pPr>
              <w:spacing w:before="120" w:after="80"/>
            </w:pPr>
            <w:r>
              <w:rPr>
                <w:rFonts w:ascii="Arial" w:cs="Arial" w:eastAsia="Arial" w:hAnsi="Arial"/>
                <w:sz w:val="22"/>
                <w:szCs w:val="22"/>
              </w:rPr>
              <w:t xml:space="preserve">Signature: ______________________</w:t>
            </w:r>
          </w:p>
          <w:p>
            <w:pPr>
              <w:spacing w:before="80" w:after="80"/>
            </w:pPr>
            <w:r>
              <w:rPr>
                <w:rFonts w:ascii="Arial" w:cs="Arial" w:eastAsia="Arial" w:hAnsi="Arial"/>
                <w:sz w:val="22"/>
                <w:szCs w:val="22"/>
              </w:rPr>
              <w:t xml:space="preserve">Date: ____________________________</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A5" w:sz="6" w:space="4"/>
      </w:pBdr>
      <w:tabs>
        <w:tab w:val="right" w:pos="9026"/>
      </w:tabs>
      <w:spacing w:before="80"/>
    </w:pPr>
    <w:r>
      <w:rPr>
        <w:rFonts w:ascii="Arial" w:cs="Arial" w:eastAsia="Arial" w:hAnsi="Arial"/>
        <w:color w:val="555555"/>
        <w:sz w:val="18"/>
        <w:szCs w:val="18"/>
      </w:rPr>
      <w:t xml:space="preserve">Christopher Anunda Ragira  |  SP13/06831/20  |  Supervisor: Dr. Zachary Bosire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6" w:space="4"/>
      </w:pBdr>
      <w:spacing w:after="80"/>
    </w:pPr>
    <w:r>
      <w:rPr>
        <w:rFonts w:ascii="Arial" w:cs="Arial" w:eastAsia="Arial" w:hAnsi="Arial"/>
        <w:color w:val="1F6AA5"/>
        <w:sz w:val="18"/>
        <w:szCs w:val="18"/>
      </w:rPr>
      <w:t xml:space="preserve">System Design Specification  |  Blockchain-Based Land Registry System  |  Egerton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6AA5" w:sz="4" w:space="4"/>
      </w:pBdr>
      <w:spacing w:before="36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F6AA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2026-04-07T08:47:25.904Z</dcterms:created>
  <dcterms:modified xsi:type="dcterms:W3CDTF">2026-04-07T08:47:25.906Z</dcterms:modified>
</cp:coreProperties>
</file>

<file path=docProps/custom.xml><?xml version="1.0" encoding="utf-8"?>
<Properties xmlns="http://schemas.openxmlformats.org/officeDocument/2006/custom-properties" xmlns:vt="http://schemas.openxmlformats.org/officeDocument/2006/docPropsVTypes"/>
</file>