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A594FF" w14:textId="77777777" w:rsidR="00B85898" w:rsidRDefault="00B85898" w:rsidP="00B85898">
      <w:pPr>
        <w:spacing w:line="240" w:lineRule="auto"/>
      </w:pPr>
      <w:r>
        <w:t>Christopher L Nizza</w:t>
      </w:r>
    </w:p>
    <w:p w14:paraId="24371022" w14:textId="467F0312" w:rsidR="00B85898" w:rsidRDefault="00B85898" w:rsidP="00B85898">
      <w:pPr>
        <w:spacing w:line="240" w:lineRule="auto"/>
      </w:pPr>
      <w:r w:rsidRPr="00B85898">
        <w:t>NRSG 323 Professional Development 1: Professional and Ethical Nursing</w:t>
      </w:r>
    </w:p>
    <w:p w14:paraId="336B4145" w14:textId="46B3522C" w:rsidR="00B85898" w:rsidRDefault="00B85898" w:rsidP="00B85898">
      <w:pPr>
        <w:spacing w:line="240" w:lineRule="auto"/>
      </w:pPr>
      <w:r>
        <w:t>Rebecca Rassi</w:t>
      </w:r>
    </w:p>
    <w:p w14:paraId="678BC881" w14:textId="110E7102" w:rsidR="00B85898" w:rsidRDefault="00B85898" w:rsidP="00B85898">
      <w:pPr>
        <w:spacing w:line="240" w:lineRule="auto"/>
      </w:pPr>
      <w:r>
        <w:t>11APR26</w:t>
      </w:r>
    </w:p>
    <w:p w14:paraId="3A324E52" w14:textId="215CB703" w:rsidR="00B85898" w:rsidRDefault="00B85898" w:rsidP="00B85898">
      <w:pPr>
        <w:pStyle w:val="Title"/>
        <w:jc w:val="center"/>
      </w:pPr>
      <w:r>
        <w:t>BSN Essentials</w:t>
      </w:r>
    </w:p>
    <w:p w14:paraId="141D1F31" w14:textId="77777777" w:rsidR="00B85898" w:rsidRDefault="00B85898" w:rsidP="00B85898"/>
    <w:p w14:paraId="5693CD88" w14:textId="6DD48DB5" w:rsidR="00B85898" w:rsidRDefault="00B85898" w:rsidP="00016020">
      <w:pPr>
        <w:pStyle w:val="Heading3"/>
      </w:pPr>
      <w:r>
        <w:t>Competency 1: Domain 2- Person-Centered Care</w:t>
      </w:r>
    </w:p>
    <w:p w14:paraId="79D534F4" w14:textId="77777777" w:rsidR="00386067" w:rsidRPr="00386067" w:rsidRDefault="00386067" w:rsidP="00386067"/>
    <w:p w14:paraId="44808D09" w14:textId="69D572D4" w:rsidR="00B85898" w:rsidRDefault="00B85898" w:rsidP="00B85898">
      <w:pPr>
        <w:spacing w:line="480" w:lineRule="auto"/>
        <w:ind w:firstLine="720"/>
      </w:pPr>
      <w:r>
        <w:t xml:space="preserve">Domain 2 of the AACN Essentials focuses on person-centered care, which emphasizes the delivery of holistic care, </w:t>
      </w:r>
      <w:proofErr w:type="gramStart"/>
      <w:r>
        <w:t>safe</w:t>
      </w:r>
      <w:proofErr w:type="gramEnd"/>
      <w:r>
        <w:t>, and evidence-based nursing interventions. The purpose of this domain is to ensure that care is focused on the individual’s unique needs, preferences, and clinical condition to promote optimal health outcomes. In the context of the entry-to-practice level, this includes the mastery of technical skills and the clinical judgement required to perform them safely within a professional nursing framework.</w:t>
      </w:r>
    </w:p>
    <w:p w14:paraId="58018F6D" w14:textId="65E0D4A6" w:rsidR="00B85898" w:rsidRDefault="00B85898" w:rsidP="00B85898">
      <w:pPr>
        <w:spacing w:line="480" w:lineRule="auto"/>
        <w:ind w:firstLine="720"/>
      </w:pPr>
      <w:r>
        <w:t xml:space="preserve">A primary competency within this domain is the ability to demonstrate the performance of basic nursing skills across various care settings. My proficiency in performing (IV) catheter insertion was initially developed during five years of service as a Navy Hospital Corpsman. During this time, I performed numerous IV starts in both traditional in-hospital settings and high-pressure pre-hospital environments. This background provided a strong foundation in the psychomotor aspects of the procedure and the ability to maintain composure during difficult access scenarios. Despite this extensive prior experience, the Nursing Foundation lab at MSU was instrumental in refining this skill </w:t>
      </w:r>
      <w:r>
        <w:lastRenderedPageBreak/>
        <w:t>withing the scope of professional nursing practice. The assigned reading regarding fluid resuscitation and specific chapter on vascular access provided a deeper theoretical understanding of the physiological implications of IV therapy. Watching the supplemental procedural videos helped align my existing techniques with the specific safety protocols and evidenced-based standards</w:t>
      </w:r>
      <w:r w:rsidR="00016020">
        <w:t xml:space="preserve"> taught in the BSN program. Combining my previous experience with current coursework has ensured that my approach to IV therapy is both technically sound and fully integrated with person-centered care standards of civilian nursing.</w:t>
      </w:r>
    </w:p>
    <w:p w14:paraId="562C673D" w14:textId="2CA6E986" w:rsidR="00016020" w:rsidRDefault="00016020" w:rsidP="00016020">
      <w:pPr>
        <w:pStyle w:val="Heading3"/>
      </w:pPr>
      <w:r>
        <w:t>Competency 2: Domain 1 – Knowledge for Nursing Practice</w:t>
      </w:r>
    </w:p>
    <w:p w14:paraId="1FD38EBF" w14:textId="77777777" w:rsidR="00386067" w:rsidRPr="00386067" w:rsidRDefault="00386067" w:rsidP="00386067"/>
    <w:p w14:paraId="4E1338D5" w14:textId="51B08515" w:rsidR="00016020" w:rsidRDefault="00016020" w:rsidP="00016020">
      <w:pPr>
        <w:spacing w:line="480" w:lineRule="auto"/>
      </w:pPr>
      <w:r>
        <w:tab/>
        <w:t>Domain 1 involves the synthesis of knowledge from nursing science and other disciplines to inform clinical judgement. The purpose of this domain is to provide a theoretical and scientific basis for nursing actions, ensuring that care is grounded in a comprehensive understanding of human health and illness. A critical component of this domain for a nursing student is the ability to perform accurate health assessments to guide clinical decision-making.</w:t>
      </w:r>
    </w:p>
    <w:p w14:paraId="741349EC" w14:textId="28E8877A" w:rsidR="00016020" w:rsidRDefault="00016020" w:rsidP="00016020">
      <w:pPr>
        <w:spacing w:line="480" w:lineRule="auto"/>
      </w:pPr>
      <w:r>
        <w:tab/>
        <w:t>Th</w:t>
      </w:r>
      <w:r w:rsidR="00386067">
        <w:t>is</w:t>
      </w:r>
      <w:r>
        <w:t xml:space="preserve"> competency related to health assessment involves applying nursing knowledge to understand a patient's health status through systemic data collection. My experience as a Fleet Marine Force (FMF) Corpsman required me to conduct independent health assessments on Marines in emergency situations, often without immediate supervision. In these roles, I was responsible for performing the initial assessment on every patient before </w:t>
      </w:r>
      <w:r>
        <w:lastRenderedPageBreak/>
        <w:t xml:space="preserve">they were seen by a physician. This required a high degree of accuracy and the ability to identify key findings rapidly. </w:t>
      </w:r>
    </w:p>
    <w:p w14:paraId="1D8A79E0" w14:textId="6A48357A" w:rsidR="00016020" w:rsidRDefault="00016020" w:rsidP="00016020">
      <w:pPr>
        <w:spacing w:line="480" w:lineRule="auto"/>
      </w:pPr>
      <w:r>
        <w:tab/>
        <w:t xml:space="preserve">Transitioning this skill into the BSN program through the Adult Health Assessment lecture and lab has allowed me to refine these techniques into a structured nursing assessment framework. Repeatedly practicing health histories and physical assessment for study purposes helped me move beyond the emergency-focused assessment of my military background and toward a more comprehensive, holistic nursing perspective. The coursework provided the necessary tools to bridge the gap between emergency triage and systematic, evidence-based assessment required for professional nursing practice. </w:t>
      </w:r>
    </w:p>
    <w:p w14:paraId="532D6EE5" w14:textId="775E1FA4" w:rsidR="00016020" w:rsidRDefault="00016020" w:rsidP="00016020">
      <w:pPr>
        <w:pStyle w:val="Heading3"/>
      </w:pPr>
      <w:r>
        <w:t>Competency 3: Domain 6 – Interprofessional Partnerships</w:t>
      </w:r>
    </w:p>
    <w:p w14:paraId="1255ED00" w14:textId="77777777" w:rsidR="00386067" w:rsidRPr="00386067" w:rsidRDefault="00386067" w:rsidP="00386067"/>
    <w:p w14:paraId="2916B5E9" w14:textId="7148570C" w:rsidR="0058697C" w:rsidRDefault="0058697C" w:rsidP="00B85898">
      <w:pPr>
        <w:spacing w:line="480" w:lineRule="auto"/>
        <w:ind w:firstLine="720"/>
      </w:pPr>
      <w:r>
        <w:t xml:space="preserve">Domain 6 focuses on interprofessional partnerships, emphasizing the necessity of collaboration with care team members to provide safe, high-quality care. The purpose of this domain is to foster an environment of mutual respect and share communication among healthcare professionals. Effective communication is essential for minimizing errors and ensuring that the expertise of every team member is utilized effectively for the patient’s benefit. </w:t>
      </w:r>
    </w:p>
    <w:p w14:paraId="634AE2A5" w14:textId="1F4FE738" w:rsidR="0058697C" w:rsidRDefault="0058697C" w:rsidP="00B85898">
      <w:pPr>
        <w:spacing w:line="480" w:lineRule="auto"/>
        <w:ind w:firstLine="720"/>
      </w:pPr>
      <w:r>
        <w:t xml:space="preserve">Competencies within this domain include communicating in a manner that facilitates a partnerships approach and demonstrating professional behavior during all interaction with the healthcare team. Throughout my military service, interpersonal communication with colleagues was a daily necessity, whether coordinating care in a hospital ward or operating within a tactical unit. This experience taught me the value of </w:t>
      </w:r>
      <w:r>
        <w:lastRenderedPageBreak/>
        <w:t>clear, concise reporting and the importance of professional rapport in high-stakes environments.</w:t>
      </w:r>
    </w:p>
    <w:p w14:paraId="76BBD1AA" w14:textId="50A4353C" w:rsidR="0058697C" w:rsidRDefault="0058697C" w:rsidP="00B85898">
      <w:pPr>
        <w:spacing w:line="480" w:lineRule="auto"/>
        <w:ind w:firstLine="720"/>
      </w:pPr>
      <w:r>
        <w:t xml:space="preserve">In my current </w:t>
      </w:r>
      <w:proofErr w:type="spellStart"/>
      <w:r>
        <w:t>sutides</w:t>
      </w:r>
      <w:proofErr w:type="spellEnd"/>
      <w:r>
        <w:t xml:space="preserve">, I have further </w:t>
      </w:r>
      <w:proofErr w:type="spellStart"/>
      <w:r>
        <w:t>garned</w:t>
      </w:r>
      <w:proofErr w:type="spellEnd"/>
      <w:r>
        <w:t xml:space="preserve"> these communication skills through the Nursing Foundation course and specific academic resources. Reading Chapter, “Communicating and Therapeutic Relationships,” in the Davis Advantage for Basic Nursing textbook provided a formal structure for these interactions. The chapter’s text helped me understand how to apply therapeutic communication techniques not only to patient interactions but also to professional dialogues with colleagues. By integrating these academic principles with my practical background, I have developed a communication style that supports interprofessional collaboration and enhances the overall safety and quality of care delivery.</w:t>
      </w:r>
    </w:p>
    <w:p w14:paraId="39985FED" w14:textId="77777777" w:rsidR="0058697C" w:rsidRDefault="0058697C" w:rsidP="00B85898">
      <w:pPr>
        <w:spacing w:line="480" w:lineRule="auto"/>
        <w:ind w:firstLine="720"/>
      </w:pPr>
    </w:p>
    <w:p w14:paraId="46607EA5" w14:textId="77777777" w:rsidR="0058697C" w:rsidRDefault="0058697C" w:rsidP="00B85898">
      <w:pPr>
        <w:spacing w:line="480" w:lineRule="auto"/>
        <w:ind w:firstLine="720"/>
      </w:pPr>
    </w:p>
    <w:p w14:paraId="0EEA429F" w14:textId="77777777" w:rsidR="0058697C" w:rsidRDefault="0058697C" w:rsidP="00B85898">
      <w:pPr>
        <w:spacing w:line="480" w:lineRule="auto"/>
        <w:ind w:firstLine="720"/>
      </w:pPr>
    </w:p>
    <w:p w14:paraId="4ADBC985" w14:textId="77777777" w:rsidR="0058697C" w:rsidRDefault="0058697C" w:rsidP="00B85898">
      <w:pPr>
        <w:spacing w:line="480" w:lineRule="auto"/>
        <w:ind w:firstLine="720"/>
      </w:pPr>
    </w:p>
    <w:p w14:paraId="5616F864" w14:textId="77777777" w:rsidR="0058697C" w:rsidRDefault="0058697C" w:rsidP="00B85898">
      <w:pPr>
        <w:spacing w:line="480" w:lineRule="auto"/>
        <w:ind w:firstLine="720"/>
      </w:pPr>
    </w:p>
    <w:p w14:paraId="2B3737BE" w14:textId="77777777" w:rsidR="0058697C" w:rsidRDefault="0058697C" w:rsidP="00B85898">
      <w:pPr>
        <w:spacing w:line="480" w:lineRule="auto"/>
        <w:ind w:firstLine="720"/>
      </w:pPr>
    </w:p>
    <w:p w14:paraId="54973CDF" w14:textId="77777777" w:rsidR="0058697C" w:rsidRDefault="0058697C" w:rsidP="00B85898">
      <w:pPr>
        <w:spacing w:line="480" w:lineRule="auto"/>
        <w:ind w:firstLine="720"/>
      </w:pPr>
    </w:p>
    <w:p w14:paraId="367A623A" w14:textId="77777777" w:rsidR="0058697C" w:rsidRDefault="0058697C" w:rsidP="00B85898">
      <w:pPr>
        <w:spacing w:line="480" w:lineRule="auto"/>
        <w:ind w:firstLine="720"/>
      </w:pPr>
    </w:p>
    <w:p w14:paraId="6126C4E1" w14:textId="6F513B0B" w:rsidR="0058697C" w:rsidRDefault="0058697C" w:rsidP="0058697C">
      <w:pPr>
        <w:pStyle w:val="Heading3"/>
      </w:pPr>
      <w:r>
        <w:lastRenderedPageBreak/>
        <w:t>References</w:t>
      </w:r>
    </w:p>
    <w:p w14:paraId="3F77C5BB" w14:textId="77777777" w:rsidR="0058697C" w:rsidRPr="0058697C" w:rsidRDefault="0058697C" w:rsidP="0058697C">
      <w:pPr>
        <w:ind w:left="720" w:hanging="720"/>
      </w:pPr>
      <w:r w:rsidRPr="0058697C">
        <w:t xml:space="preserve">American Association of Colleges of Nursing. (2021). </w:t>
      </w:r>
      <w:r w:rsidRPr="0058697C">
        <w:rPr>
          <w:i/>
          <w:iCs/>
        </w:rPr>
        <w:t>The essentials: Core competencies for professional nursing education</w:t>
      </w:r>
      <w:r w:rsidRPr="0058697C">
        <w:t xml:space="preserve">. </w:t>
      </w:r>
      <w:hyperlink r:id="rId4" w:tgtFrame="_blank" w:history="1">
        <w:r w:rsidRPr="0058697C">
          <w:rPr>
            <w:rStyle w:val="Hyperlink"/>
          </w:rPr>
          <w:t>https://www.aacnnursing.org/Portals/0/PDFs/Publications/Essentials-2021.pdf</w:t>
        </w:r>
      </w:hyperlink>
    </w:p>
    <w:p w14:paraId="70E973EB" w14:textId="77777777" w:rsidR="0058697C" w:rsidRPr="0058697C" w:rsidRDefault="0058697C" w:rsidP="0058697C">
      <w:pPr>
        <w:ind w:left="720" w:hanging="720"/>
      </w:pPr>
      <w:r w:rsidRPr="0058697C">
        <w:t xml:space="preserve">Treas, L. S., Wilkinson, J. M., Barnett, K. L., &amp; Smith, M. H. (2024). </w:t>
      </w:r>
      <w:r w:rsidRPr="0058697C">
        <w:rPr>
          <w:i/>
          <w:iCs/>
        </w:rPr>
        <w:t>Basic nursing: Thinking, doing, and caring</w:t>
      </w:r>
      <w:r w:rsidRPr="0058697C">
        <w:t xml:space="preserve"> (3rd ed.). F.A. Davis.</w:t>
      </w:r>
    </w:p>
    <w:p w14:paraId="7D6FF927" w14:textId="77777777" w:rsidR="0058697C" w:rsidRPr="0058697C" w:rsidRDefault="0058697C" w:rsidP="0058697C"/>
    <w:p w14:paraId="1E8354D9" w14:textId="77777777" w:rsidR="0058697C" w:rsidRPr="0058697C" w:rsidRDefault="0058697C" w:rsidP="0058697C"/>
    <w:p w14:paraId="02A06045" w14:textId="77777777" w:rsidR="0058697C" w:rsidRPr="00B85898" w:rsidRDefault="0058697C" w:rsidP="00B85898">
      <w:pPr>
        <w:spacing w:line="480" w:lineRule="auto"/>
        <w:ind w:firstLine="720"/>
      </w:pPr>
    </w:p>
    <w:sectPr w:rsidR="0058697C" w:rsidRPr="00B858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5898"/>
    <w:rsid w:val="00016020"/>
    <w:rsid w:val="002846A4"/>
    <w:rsid w:val="00386067"/>
    <w:rsid w:val="0058697C"/>
    <w:rsid w:val="00B017CB"/>
    <w:rsid w:val="00B80651"/>
    <w:rsid w:val="00B85898"/>
    <w:rsid w:val="00DA50CA"/>
    <w:rsid w:val="00FC2D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6A7F9A"/>
  <w15:chartTrackingRefBased/>
  <w15:docId w15:val="{5BFAF4AC-7B87-4132-9A08-701929EC90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58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858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858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58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58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58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58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58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58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58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858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858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58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58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58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58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58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5898"/>
    <w:rPr>
      <w:rFonts w:eastAsiaTheme="majorEastAsia" w:cstheme="majorBidi"/>
      <w:color w:val="272727" w:themeColor="text1" w:themeTint="D8"/>
    </w:rPr>
  </w:style>
  <w:style w:type="paragraph" w:styleId="Title">
    <w:name w:val="Title"/>
    <w:basedOn w:val="Normal"/>
    <w:next w:val="Normal"/>
    <w:link w:val="TitleChar"/>
    <w:uiPriority w:val="10"/>
    <w:qFormat/>
    <w:rsid w:val="00B858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58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58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58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5898"/>
    <w:pPr>
      <w:spacing w:before="160"/>
      <w:jc w:val="center"/>
    </w:pPr>
    <w:rPr>
      <w:i/>
      <w:iCs/>
      <w:color w:val="404040" w:themeColor="text1" w:themeTint="BF"/>
    </w:rPr>
  </w:style>
  <w:style w:type="character" w:customStyle="1" w:styleId="QuoteChar">
    <w:name w:val="Quote Char"/>
    <w:basedOn w:val="DefaultParagraphFont"/>
    <w:link w:val="Quote"/>
    <w:uiPriority w:val="29"/>
    <w:rsid w:val="00B85898"/>
    <w:rPr>
      <w:i/>
      <w:iCs/>
      <w:color w:val="404040" w:themeColor="text1" w:themeTint="BF"/>
    </w:rPr>
  </w:style>
  <w:style w:type="paragraph" w:styleId="ListParagraph">
    <w:name w:val="List Paragraph"/>
    <w:basedOn w:val="Normal"/>
    <w:uiPriority w:val="34"/>
    <w:qFormat/>
    <w:rsid w:val="00B85898"/>
    <w:pPr>
      <w:ind w:left="720"/>
      <w:contextualSpacing/>
    </w:pPr>
  </w:style>
  <w:style w:type="character" w:styleId="IntenseEmphasis">
    <w:name w:val="Intense Emphasis"/>
    <w:basedOn w:val="DefaultParagraphFont"/>
    <w:uiPriority w:val="21"/>
    <w:qFormat/>
    <w:rsid w:val="00B85898"/>
    <w:rPr>
      <w:i/>
      <w:iCs/>
      <w:color w:val="0F4761" w:themeColor="accent1" w:themeShade="BF"/>
    </w:rPr>
  </w:style>
  <w:style w:type="paragraph" w:styleId="IntenseQuote">
    <w:name w:val="Intense Quote"/>
    <w:basedOn w:val="Normal"/>
    <w:next w:val="Normal"/>
    <w:link w:val="IntenseQuoteChar"/>
    <w:uiPriority w:val="30"/>
    <w:qFormat/>
    <w:rsid w:val="00B858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5898"/>
    <w:rPr>
      <w:i/>
      <w:iCs/>
      <w:color w:val="0F4761" w:themeColor="accent1" w:themeShade="BF"/>
    </w:rPr>
  </w:style>
  <w:style w:type="character" w:styleId="IntenseReference">
    <w:name w:val="Intense Reference"/>
    <w:basedOn w:val="DefaultParagraphFont"/>
    <w:uiPriority w:val="32"/>
    <w:qFormat/>
    <w:rsid w:val="00B85898"/>
    <w:rPr>
      <w:b/>
      <w:bCs/>
      <w:smallCaps/>
      <w:color w:val="0F4761" w:themeColor="accent1" w:themeShade="BF"/>
      <w:spacing w:val="5"/>
    </w:rPr>
  </w:style>
  <w:style w:type="character" w:styleId="Hyperlink">
    <w:name w:val="Hyperlink"/>
    <w:basedOn w:val="DefaultParagraphFont"/>
    <w:uiPriority w:val="99"/>
    <w:unhideWhenUsed/>
    <w:rsid w:val="0058697C"/>
    <w:rPr>
      <w:color w:val="467886" w:themeColor="hyperlink"/>
      <w:u w:val="single"/>
    </w:rPr>
  </w:style>
  <w:style w:type="character" w:styleId="UnresolvedMention">
    <w:name w:val="Unresolved Mention"/>
    <w:basedOn w:val="DefaultParagraphFont"/>
    <w:uiPriority w:val="99"/>
    <w:semiHidden/>
    <w:unhideWhenUsed/>
    <w:rsid w:val="005869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aacnnursing.org/Portals/0/PDFs/Publications/Essentials-2021.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TotalTime>
  <Pages>5</Pages>
  <Words>870</Words>
  <Characters>4960</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scars</dc:creator>
  <cp:keywords/>
  <dc:description/>
  <cp:lastModifiedBy>chris scars</cp:lastModifiedBy>
  <cp:revision>3</cp:revision>
  <dcterms:created xsi:type="dcterms:W3CDTF">2026-04-11T19:51:00Z</dcterms:created>
  <dcterms:modified xsi:type="dcterms:W3CDTF">2026-04-11T20:32:00Z</dcterms:modified>
</cp:coreProperties>
</file>