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E959A0E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response</w:t>
      </w:r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s.R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2C9C366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073FCE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temperature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emperature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response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073FC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073FCE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rough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parameter estimates. To do this efficiently, th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 script uses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parameter estimates in “Temperature response parameters.csv” 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>, which is a circular method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 for parameter </w:t>
      </w:r>
      <w:r w:rsidR="00F5152C">
        <w:rPr>
          <w:rFonts w:ascii="Times New Roman" w:hAnsi="Times New Roman" w:cs="Times New Roman"/>
          <w:sz w:val="22"/>
          <w:szCs w:val="22"/>
          <w:lang w:val="en-US"/>
        </w:rPr>
        <w:t>estimation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. All parameters, however, were initially estimated by providing rough estimates in the ‘start’ list of </w:t>
      </w:r>
      <w:proofErr w:type="spellStart"/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, and can </w:t>
      </w:r>
      <w:r w:rsidR="0089580B">
        <w:rPr>
          <w:rFonts w:ascii="Times New Roman" w:hAnsi="Times New Roman" w:cs="Times New Roman"/>
          <w:sz w:val="22"/>
          <w:szCs w:val="22"/>
          <w:lang w:val="en-US"/>
        </w:rPr>
        <w:t xml:space="preserve">thus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be estimated </w:t>
      </w:r>
      <w:r w:rsid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by ‘seeding’ each parameter column in “Temperature response parameters.csv”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9F4D7A3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085324BC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Updated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parameters.csv” file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print out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temperature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parameters for either a specified population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</w:t>
      </w:r>
      <w:r w:rsidR="00D63E60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1C8D60FF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f a new population is added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mu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 be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‘seeded’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each parameter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column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this is used in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start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D63E6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all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= TRUE if the script is to be run for all populations in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Temperature response parameters.csv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or set </w:t>
      </w:r>
      <w:r w:rsidR="00DA2F89"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FALSE if the script is to be run just for the specified population.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79C462D2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766A77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4375C454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13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CF0C555" w:rsidR="00881380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of the various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functions throughout the script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1881C10B" w14:textId="77777777" w:rsidR="0022507F" w:rsidRPr="0022507F" w:rsidRDefault="0022507F" w:rsidP="0022507F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EE5FF59" w14:textId="22BAB8EC" w:rsidR="0022507F" w:rsidRPr="00A16C6D" w:rsidRDefault="0022507F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If script yields Error: “</w:t>
      </w:r>
      <w:r w:rsidRPr="0022507F">
        <w:rPr>
          <w:rFonts w:ascii="Times New Roman" w:hAnsi="Times New Roman" w:cs="Times New Roman"/>
          <w:sz w:val="22"/>
          <w:szCs w:val="22"/>
          <w:lang w:val="en-US"/>
        </w:rPr>
        <w:t>singular gradient matrix at initial parameter estimates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”, it may be that a parameter value is 0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>. In this case, ‘seed’ the parameter with a small non-zero number and try to run the script again.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1F90A235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47EE8607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07BE3E32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20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2D2002E" w14:textId="46797261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43-45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Obtain data for selected population (note: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>is automatically set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from its field census location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location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reported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“Temperature response data.csv”)</w:t>
      </w:r>
    </w:p>
    <w:p w14:paraId="2E5CC108" w14:textId="36A591C0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Lines 47-62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Remove columns that do not contain temperature data and set minimum and maximum values for x-axes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of plots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 well as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reference temperature</w:t>
      </w:r>
      <w:r w:rsidRP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used in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functions</w:t>
      </w:r>
    </w:p>
    <w:p w14:paraId="7A82EF8B" w14:textId="7A8C0579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 xml:space="preserve">intrinsic growth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tomentosicollis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Burkina Faso,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rMax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proofErr w:type="gram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opt,r</w:t>
      </w:r>
      <w:proofErr w:type="spellEnd"/>
      <w:proofErr w:type="gram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Toptr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are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ax,r</w:t>
      </w:r>
      <w:proofErr w:type="spellEnd"/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Tmaxr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”)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787544" w:rsidRPr="00787544">
        <w:rPr>
          <w:rFonts w:ascii="Times New Roman" w:hAnsi="Times New Roman" w:cs="Times New Roman"/>
          <w:i/>
        </w:rPr>
        <w:t>σ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r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 w:rsidR="00787544">
        <w:rPr>
          <w:rFonts w:ascii="Times New Roman" w:hAnsi="Times New Roman" w:cs="Times New Roman"/>
          <w:sz w:val="22"/>
          <w:szCs w:val="22"/>
          <w:lang w:val="en-US"/>
        </w:rPr>
        <w:t>sr</w:t>
      </w:r>
      <w:proofErr w:type="spellEnd"/>
      <w:r w:rsidR="00787544"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84B4101" w14:textId="74EDBBC1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98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>11</w:t>
      </w:r>
      <w:r w:rsidR="00787544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Fit parameters for </w:t>
      </w:r>
      <w:r w:rsidR="00787544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net reproductive rate, </w:t>
      </w:r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R0</w:t>
      </w:r>
      <w:r w:rsidR="00073FCE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="00073FCE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232CECBA" w14:textId="15BFEE07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11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27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per capita birth rate,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b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65FEB9B9" w14:textId="779833E5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13</w:t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55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juvenile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per capita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mortality rate,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Myzus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persicae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Canada Chatham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US Ithaca,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dJTR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first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set to data and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then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J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AdJ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FF2C499" w14:textId="0015F969" w:rsidR="00787544" w:rsidRPr="00787544" w:rsidRDefault="00787544" w:rsidP="0078754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58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-1</w:t>
      </w:r>
      <w:r>
        <w:rPr>
          <w:rFonts w:ascii="Times New Roman" w:hAnsi="Times New Roman" w:cs="Times New Roman"/>
          <w:sz w:val="22"/>
          <w:szCs w:val="22"/>
          <w:lang w:val="en-US"/>
        </w:rPr>
        <w:t>80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parameters for the </w:t>
      </w:r>
      <w:r>
        <w:rPr>
          <w:rFonts w:ascii="Times New Roman" w:hAnsi="Times New Roman" w:cs="Times New Roman"/>
          <w:sz w:val="22"/>
          <w:szCs w:val="22"/>
          <w:lang w:val="en-US"/>
        </w:rPr>
        <w:t>adult per capita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mortality rate,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δ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via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(note: for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Brazil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b>
        </m:sSub>
      </m:oMath>
      <w:r>
        <w:rPr>
          <w:rFonts w:ascii="Times New Roman" w:hAnsi="Times New Roman" w:cs="Times New Roman"/>
          <w:sz w:val="22"/>
          <w:szCs w:val="22"/>
          <w:lang w:val="en-US"/>
        </w:rPr>
        <w:t xml:space="preserve"> 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 is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set to data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is used to estimate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A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”)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5F8136B" w14:textId="293E212A" w:rsidR="00A2270A" w:rsidRPr="00787544" w:rsidRDefault="00A2270A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>Lines 1</w:t>
      </w:r>
      <w:r>
        <w:rPr>
          <w:rFonts w:ascii="Times New Roman" w:hAnsi="Times New Roman" w:cs="Times New Roman"/>
          <w:sz w:val="22"/>
          <w:szCs w:val="22"/>
          <w:lang w:val="en-US"/>
        </w:rPr>
        <w:t>83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203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or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quantify </w:t>
      </w:r>
      <w:proofErr w:type="spellStart"/>
      <w:proofErr w:type="gram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Toptg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and </w:t>
      </w:r>
      <w:proofErr w:type="spell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Tmaxg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directly from the data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Brazil populations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the index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specifying the temperature treatment of the temperature optima is also updated)</w:t>
      </w:r>
    </w:p>
    <w:p w14:paraId="713F4511" w14:textId="4F826C21" w:rsidR="00554F3E" w:rsidRDefault="00A2270A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205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22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Attempt to 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it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 xml:space="preserve"> the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remaining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parameters </w:t>
      </w:r>
      <w:r w:rsidR="00554F3E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>
        <w:rPr>
          <w:rFonts w:ascii="Times New Roman" w:hAnsi="Times New Roman" w:cs="Times New Roman"/>
          <w:sz w:val="22"/>
          <w:szCs w:val="22"/>
          <w:lang w:val="en-US"/>
        </w:rPr>
        <w:t>development rate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</w:p>
    <w:p w14:paraId="34B8DFAF" w14:textId="7D84C7D4" w:rsidR="00554F3E" w:rsidRPr="00554F3E" w:rsidRDefault="00554F3E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223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251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fails (error1 = TRUE), then fit only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TR</w:t>
      </w:r>
      <w:proofErr w:type="spellEnd"/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 w:rsidR="00A2270A">
        <w:rPr>
          <w:rFonts w:ascii="Times New Roman" w:hAnsi="Times New Roman" w:cs="Times New Roman"/>
          <w:sz w:val="22"/>
          <w:szCs w:val="22"/>
          <w:lang w:val="en-US"/>
        </w:rPr>
        <w:t>gTR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”) and </w:t>
      </w:r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(“Ag”) via </w:t>
      </w:r>
      <w:proofErr w:type="spellStart"/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to data below the temperature optima (≤ </w:t>
      </w:r>
      <w:proofErr w:type="spellStart"/>
      <w:proofErr w:type="gramStart"/>
      <w:r w:rsidR="00A2270A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A2270A"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 w:rsidR="00A2270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then fit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(“AL”), </w:t>
      </w:r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(“TL”)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gMax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”)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to data at all laboratory temperatures</w:t>
      </w:r>
    </w:p>
    <w:p w14:paraId="5896A24F" w14:textId="69F3026E" w:rsidR="00A2270A" w:rsidRPr="00554F3E" w:rsidRDefault="00554F3E" w:rsidP="00A2270A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252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271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fails (error2 = TRUE), then fit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="00A2270A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(“TL”) and</w:t>
      </w:r>
      <w:r w:rsidRPr="00554F3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L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(“AL”)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separately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 data below the temperature optima (≤ </w:t>
      </w:r>
      <w:proofErr w:type="spellStart"/>
      <w:proofErr w:type="gramStart"/>
      <w:r w:rsidRPr="00787544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787544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opt,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554F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then fit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g</w:t>
      </w:r>
      <w:r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max</w:t>
      </w:r>
      <w:proofErr w:type="spellEnd"/>
      <w:r w:rsidR="00A2270A"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270A">
        <w:rPr>
          <w:rFonts w:ascii="Times New Roman" w:hAnsi="Times New Roman" w:cs="Times New Roman"/>
          <w:sz w:val="22"/>
          <w:szCs w:val="22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gMax</w:t>
      </w:r>
      <w:proofErr w:type="spellEnd"/>
      <w:r w:rsidR="00A2270A">
        <w:rPr>
          <w:rFonts w:ascii="Times New Roman" w:hAnsi="Times New Roman" w:cs="Times New Roman"/>
          <w:sz w:val="22"/>
          <w:szCs w:val="22"/>
          <w:lang w:val="en-US"/>
        </w:rPr>
        <w:t>”) via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A2270A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to data at all laboratory temperatures</w:t>
      </w:r>
    </w:p>
    <w:p w14:paraId="1871EF87" w14:textId="79338863" w:rsidR="00787544" w:rsidRPr="008A71A3" w:rsidRDefault="008A71A3" w:rsidP="0078754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273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294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Plot development rate thermal response and fit minimum developmental temperature (</w:t>
      </w:r>
      <w:proofErr w:type="spellStart"/>
      <w:r w:rsidRPr="008A71A3"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(note: for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Acyrthosiphon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pisum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T</w:t>
      </w:r>
      <w:r w:rsidRPr="008A71A3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 set based on the literature or field observations, respectively)</w:t>
      </w:r>
    </w:p>
    <w:p w14:paraId="5815E622" w14:textId="163992BF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296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A71A3">
        <w:rPr>
          <w:rFonts w:ascii="Times New Roman" w:hAnsi="Times New Roman" w:cs="Times New Roman"/>
          <w:sz w:val="22"/>
          <w:szCs w:val="22"/>
          <w:lang w:val="en-US"/>
        </w:rPr>
        <w:t>307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Break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for loop if the analyses are run for a specified species (all = FALSE)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then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ave 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save = TRUE</w:t>
      </w:r>
      <w:r w:rsidR="00A6578B" w:rsidRPr="00787544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print 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model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parameters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(if the population was found in “T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654DC0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654DC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A67499">
        <w:rPr>
          <w:rFonts w:ascii="Times New Roman" w:hAnsi="Times New Roman" w:cs="Times New Roman"/>
          <w:sz w:val="22"/>
          <w:szCs w:val="22"/>
          <w:lang w:val="en-US"/>
        </w:rPr>
        <w:t>; i.e., if found = TRUE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22507F"/>
    <w:rsid w:val="002A26B0"/>
    <w:rsid w:val="003370D6"/>
    <w:rsid w:val="0037137B"/>
    <w:rsid w:val="00425E89"/>
    <w:rsid w:val="0046703F"/>
    <w:rsid w:val="004F05DD"/>
    <w:rsid w:val="00545B69"/>
    <w:rsid w:val="00554F3E"/>
    <w:rsid w:val="00597A56"/>
    <w:rsid w:val="005D5B6E"/>
    <w:rsid w:val="00630C38"/>
    <w:rsid w:val="00654DC0"/>
    <w:rsid w:val="006856AF"/>
    <w:rsid w:val="00727D8A"/>
    <w:rsid w:val="00766A77"/>
    <w:rsid w:val="00787544"/>
    <w:rsid w:val="0081600B"/>
    <w:rsid w:val="00881380"/>
    <w:rsid w:val="0089580B"/>
    <w:rsid w:val="008A71A3"/>
    <w:rsid w:val="00980388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C25A6"/>
    <w:rsid w:val="00D226DE"/>
    <w:rsid w:val="00D63E60"/>
    <w:rsid w:val="00D87AF4"/>
    <w:rsid w:val="00DA2F89"/>
    <w:rsid w:val="00E67C47"/>
    <w:rsid w:val="00E72E78"/>
    <w:rsid w:val="00E779C5"/>
    <w:rsid w:val="00E93207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21</cp:revision>
  <dcterms:created xsi:type="dcterms:W3CDTF">2022-12-19T13:00:00Z</dcterms:created>
  <dcterms:modified xsi:type="dcterms:W3CDTF">2023-05-03T10:40:00Z</dcterms:modified>
</cp:coreProperties>
</file>