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E63946"/>
          <w:spacing w:val="80"/>
          <w:sz w:val="22"/>
          <w:szCs w:val="22"/>
        </w:rPr>
        <w:t xml:space="preserve">LEAGUE OF ROCK INC.</w:t>
      </w:r>
    </w:p>
    <w:p>
      <w:pPr>
        <w:spacing w:after="100" w:before="0"/>
      </w:pPr>
      <w:r>
        <w:rPr>
          <w:rFonts w:ascii="Arial" w:cs="Arial" w:eastAsia="Arial" w:hAnsi="Arial"/>
          <w:b/>
          <w:bCs/>
          <w:color w:val="5A5A6B"/>
          <w:spacing w:val="60"/>
          <w:sz w:val="20"/>
          <w:szCs w:val="20"/>
        </w:rPr>
        <w:t xml:space="preserve">A PARTNER BRIEFING</w:t>
      </w:r>
    </w:p>
    <w:p>
      <w:pPr>
        <w:spacing w:after="200" w:before="600"/>
      </w:pPr>
      <w:r>
        <w:rPr>
          <w:rFonts w:ascii="Arial" w:cs="Arial" w:eastAsia="Arial" w:hAnsi="Arial"/>
          <w:b/>
          <w:bCs/>
          <w:color w:val="0A0A12"/>
          <w:sz w:val="80"/>
          <w:szCs w:val="80"/>
        </w:rPr>
        <w:t xml:space="preserve">THE SOCIAL MEDIA</w:t>
      </w:r>
    </w:p>
    <w:p>
      <w:pPr>
        <w:spacing w:after="600" w:before="0"/>
      </w:pPr>
      <w:r>
        <w:rPr>
          <w:rFonts w:ascii="Arial" w:cs="Arial" w:eastAsia="Arial" w:hAnsi="Arial"/>
          <w:b/>
          <w:bCs/>
          <w:color w:val="E63946"/>
          <w:sz w:val="80"/>
          <w:szCs w:val="80"/>
        </w:rPr>
        <w:t xml:space="preserve">EMPIRE.</w:t>
      </w:r>
    </w:p>
    <w:p>
      <w:pPr>
        <w:spacing w:after="200" w:before="200"/>
      </w:pPr>
      <w:r>
        <w:rPr>
          <w:rFonts w:ascii="Arial" w:cs="Arial" w:eastAsia="Arial" w:hAnsi="Arial"/>
          <w:i/>
          <w:iCs/>
          <w:color w:val="F1A208"/>
          <w:sz w:val="32"/>
          <w:szCs w:val="32"/>
        </w:rPr>
        <w:t xml:space="preserve">The engine that turns League of Rock from a show into a self-sustaining IP.</w:t>
      </w:r>
    </w:p>
    <w:p>
      <w:pPr>
        <w:spacing w:after="200" w:before="800"/>
      </w:pPr>
      <w:r>
        <w:rPr>
          <w:rFonts w:ascii="Arial" w:cs="Arial" w:eastAsia="Arial" w:hAnsi="Arial"/>
          <w:color w:val="0A0A12"/>
          <w:sz w:val="22"/>
          <w:szCs w:val="22"/>
        </w:rPr>
        <w:t xml:space="preserve">This document is a slide-by-slide content blueprint for the partner presentation on League of Rock Inc.'s social media strategy. The network distribution for the show is in place. This presentation focuses exclusively on the social media ecosystem we will build, why it is critical to the long-term value of the company, and how it feeds directly into the success of the show and the broader IP.</w:t>
      </w:r>
    </w:p>
    <w:p>
      <w:pPr>
        <w:spacing w:after="0" w:before="400"/>
      </w:pPr>
      <w:r>
        <w:rPr>
          <w:rFonts w:ascii="Arial" w:cs="Arial" w:eastAsia="Arial" w:hAnsi="Arial"/>
          <w:b/>
          <w:bCs/>
          <w:color w:val="F1A208"/>
          <w:spacing w:val="60"/>
          <w:sz w:val="18"/>
          <w:szCs w:val="18"/>
        </w:rPr>
        <w:t xml:space="preserve">HOW TO READ THIS DOCUMENT</w:t>
      </w:r>
    </w:p>
    <w:p>
      <w:pPr>
        <w:spacing w:after="200" w:before="80"/>
      </w:pPr>
      <w:r>
        <w:rPr>
          <w:rFonts w:ascii="Arial" w:cs="Arial" w:eastAsia="Arial" w:hAnsi="Arial"/>
          <w:i/>
          <w:iCs/>
          <w:color w:val="5A5A6B"/>
          <w:sz w:val="20"/>
          <w:szCs w:val="20"/>
        </w:rPr>
        <w:t xml:space="preserve">Each slide section below contains: a slide number, an eyebrow / category, the slide's headline, the body content, supporting bullets and data points, and visual notes for guidance when building the deck. The deck is sized at 14 slides — flexible to expand or compress as needed.</w:t>
      </w:r>
    </w:p>
    <w:p>
      <w:r>
        <w:br w:type="page"/>
      </w:r>
    </w:p>
    <w:p>
      <w:pPr>
        <w:pBdr>
          <w:top w:val="single" w:color="E63946" w:sz="12" w:space="6"/>
        </w:pBdr>
        <w:spacing w:after="60" w:before="600"/>
      </w:pPr>
      <w:r>
        <w:rPr>
          <w:rFonts w:ascii="Arial" w:cs="Arial" w:eastAsia="Arial" w:hAnsi="Arial"/>
          <w:b/>
          <w:bCs/>
          <w:color w:val="5A5A6B"/>
          <w:spacing w:val="80"/>
          <w:sz w:val="18"/>
          <w:szCs w:val="18"/>
        </w:rPr>
        <w:t xml:space="preserve">SLIDE 01 / 14</w:t>
      </w:r>
    </w:p>
    <w:p>
      <w:pPr>
        <w:spacing w:after="120" w:before="480"/>
      </w:pPr>
      <w:r>
        <w:rPr>
          <w:rFonts w:ascii="Arial" w:cs="Arial" w:eastAsia="Arial" w:hAnsi="Arial"/>
          <w:b/>
          <w:bCs/>
          <w:color w:val="E63946"/>
          <w:spacing w:val="60"/>
          <w:sz w:val="18"/>
          <w:szCs w:val="18"/>
        </w:rPr>
        <w:t xml:space="preserve">A PARTNER BRIEFING</w:t>
      </w:r>
    </w:p>
    <w:p>
      <w:pPr>
        <w:pStyle w:val="Heading1"/>
        <w:spacing w:after="160" w:before="80"/>
      </w:pPr>
      <w:r>
        <w:rPr>
          <w:rFonts w:ascii="Arial" w:cs="Arial" w:eastAsia="Arial" w:hAnsi="Arial"/>
          <w:b/>
          <w:bCs/>
          <w:color w:val="0A0A12"/>
          <w:sz w:val="40"/>
          <w:szCs w:val="40"/>
        </w:rPr>
        <w:t xml:space="preserve">The Social Media Empire.</w:t>
      </w:r>
    </w:p>
    <w:p>
      <w:pPr>
        <w:spacing w:after="200" w:before="0"/>
      </w:pPr>
      <w:r>
        <w:rPr>
          <w:rFonts w:ascii="Arial" w:cs="Arial" w:eastAsia="Arial" w:hAnsi="Arial"/>
          <w:i/>
          <w:iCs/>
          <w:color w:val="E63946"/>
          <w:sz w:val="26"/>
          <w:szCs w:val="26"/>
        </w:rPr>
        <w:t xml:space="preserve">The engine that turns League of Rock from a show into a self-sustaining IP.</w:t>
      </w:r>
    </w:p>
    <w:p>
      <w:pPr>
        <w:spacing w:after="140" w:before="0"/>
      </w:pPr>
      <w:r>
        <w:rPr>
          <w:rFonts w:ascii="Arial" w:cs="Arial" w:eastAsia="Arial" w:hAnsi="Arial"/>
          <w:color w:val="0A0A12"/>
          <w:sz w:val="22"/>
          <w:szCs w:val="22"/>
        </w:rPr>
        <w:t xml:space="preserve">How we build, scale, and monetize the social ecosystem that surrounds League of Rock | The Show — and why this is not a marketing expense, but a parallel business unit for League of Rock Inc.</w:t>
      </w:r>
    </w:p>
    <w:p>
      <w:pPr>
        <w:pBdr>
          <w:left w:val="single" w:color="F1A208" w:sz="12" w:space="12"/>
        </w:pBdr>
        <w:spacing w:after="120" w:before="120"/>
        <w:ind w:left="200"/>
      </w:pPr>
      <w:r>
        <w:rPr>
          <w:rFonts w:ascii="Arial" w:cs="Arial" w:eastAsia="Arial" w:hAnsi="Arial"/>
          <w:b/>
          <w:bCs/>
          <w:color w:val="F1A208"/>
          <w:spacing w:val="40"/>
          <w:sz w:val="18"/>
          <w:szCs w:val="18"/>
        </w:rPr>
        <w:t xml:space="preserve">VISUAL NOTE: </w:t>
      </w:r>
      <w:r>
        <w:rPr>
          <w:rFonts w:ascii="Arial" w:cs="Arial" w:eastAsia="Arial" w:hAnsi="Arial"/>
          <w:i/>
          <w:iCs/>
          <w:color w:val="5A5A6B"/>
          <w:sz w:val="20"/>
          <w:szCs w:val="20"/>
        </w:rPr>
        <w:t xml:space="preserve">Cover slide. Bold title treatment. Dark cinematic background. The subtitle should hit emotionally — this is the thesis in one line.</w:t>
      </w:r>
    </w:p>
    <w:p>
      <w:pPr>
        <w:pBdr>
          <w:top w:val="single" w:color="E63946" w:sz="12" w:space="6"/>
        </w:pBdr>
        <w:spacing w:after="60" w:before="600"/>
      </w:pPr>
      <w:r>
        <w:rPr>
          <w:rFonts w:ascii="Arial" w:cs="Arial" w:eastAsia="Arial" w:hAnsi="Arial"/>
          <w:b/>
          <w:bCs/>
          <w:color w:val="5A5A6B"/>
          <w:spacing w:val="80"/>
          <w:sz w:val="18"/>
          <w:szCs w:val="18"/>
        </w:rPr>
        <w:t xml:space="preserve">SLIDE 02 / 14</w:t>
      </w:r>
    </w:p>
    <w:p>
      <w:pPr>
        <w:spacing w:after="120" w:before="480"/>
      </w:pPr>
      <w:r>
        <w:rPr>
          <w:rFonts w:ascii="Arial" w:cs="Arial" w:eastAsia="Arial" w:hAnsi="Arial"/>
          <w:b/>
          <w:bCs/>
          <w:color w:val="E63946"/>
          <w:spacing w:val="60"/>
          <w:sz w:val="18"/>
          <w:szCs w:val="18"/>
        </w:rPr>
        <w:t xml:space="preserve">THE OPPORTUNITY</w:t>
      </w:r>
    </w:p>
    <w:p>
      <w:pPr>
        <w:pStyle w:val="Heading1"/>
        <w:spacing w:after="160" w:before="80"/>
      </w:pPr>
      <w:r>
        <w:rPr>
          <w:rFonts w:ascii="Arial" w:cs="Arial" w:eastAsia="Arial" w:hAnsi="Arial"/>
          <w:b/>
          <w:bCs/>
          <w:color w:val="0A0A12"/>
          <w:sz w:val="40"/>
          <w:szCs w:val="40"/>
        </w:rPr>
        <w:t xml:space="preserve">The show is the moment. Social is the asset.</w:t>
      </w:r>
    </w:p>
    <w:p>
      <w:pPr>
        <w:spacing w:after="140" w:before="0"/>
      </w:pPr>
      <w:r>
        <w:rPr>
          <w:rFonts w:ascii="Arial" w:cs="Arial" w:eastAsia="Arial" w:hAnsi="Arial"/>
          <w:color w:val="0A0A12"/>
          <w:sz w:val="22"/>
          <w:szCs w:val="22"/>
        </w:rPr>
        <w:t xml:space="preserve">Network distribution puts the show in front of audiences on premiere weekends. The social media ecosystem is what keeps those audiences engaged between episodes, between seasons, and between regional expansions — and what turns them into a measurable, monetizable, transferable business asset for the company.</w:t>
      </w:r>
    </w:p>
    <w:p>
      <w:pPr>
        <w:spacing w:after="80" w:before="220"/>
      </w:pPr>
      <w:r>
        <w:rPr>
          <w:rFonts w:ascii="Arial" w:cs="Arial" w:eastAsia="Arial" w:hAnsi="Arial"/>
          <w:b/>
          <w:bCs/>
          <w:color w:val="F1A208"/>
          <w:spacing w:val="40"/>
          <w:sz w:val="22"/>
          <w:szCs w:val="22"/>
        </w:rPr>
        <w:t xml:space="preserve">THREE FOUNDATION POINTS</w:t>
      </w:r>
    </w:p>
    <w:p>
      <w:pPr>
        <w:pStyle w:val="ListParagraph"/>
        <w:numPr>
          <w:ilvl w:val="0"/>
          <w:numId w:val="2"/>
        </w:numPr>
        <w:spacing w:after="60" w:before="0"/>
      </w:pPr>
      <w:r>
        <w:rPr>
          <w:rFonts w:ascii="Arial" w:cs="Arial" w:eastAsia="Arial" w:hAnsi="Arial"/>
          <w:b/>
          <w:bCs/>
          <w:color w:val="0A0A12"/>
          <w:sz w:val="22"/>
          <w:szCs w:val="22"/>
        </w:rPr>
        <w:t xml:space="preserve">The show creates the audience. Social keeps them.</w:t>
      </w:r>
      <w:r>
        <w:rPr>
          <w:rFonts w:ascii="Arial" w:cs="Arial" w:eastAsia="Arial" w:hAnsi="Arial"/>
          <w:color w:val="5A5A6B"/>
          <w:sz w:val="22"/>
          <w:szCs w:val="22"/>
        </w:rPr>
        <w:t xml:space="preserve">  Without an ecosystem to catch them, they scatter the moment a season ends.</w:t>
      </w:r>
    </w:p>
    <w:p>
      <w:pPr>
        <w:pStyle w:val="ListParagraph"/>
        <w:numPr>
          <w:ilvl w:val="0"/>
          <w:numId w:val="2"/>
        </w:numPr>
        <w:spacing w:after="60" w:before="0"/>
      </w:pPr>
      <w:r>
        <w:rPr>
          <w:rFonts w:ascii="Arial" w:cs="Arial" w:eastAsia="Arial" w:hAnsi="Arial"/>
          <w:b/>
          <w:bCs/>
          <w:color w:val="0A0A12"/>
          <w:sz w:val="22"/>
          <w:szCs w:val="22"/>
        </w:rPr>
        <w:t xml:space="preserve">Social produces data. Data unlocks future leverage.</w:t>
      </w:r>
      <w:r>
        <w:rPr>
          <w:rFonts w:ascii="Arial" w:cs="Arial" w:eastAsia="Arial" w:hAnsi="Arial"/>
          <w:color w:val="5A5A6B"/>
          <w:sz w:val="22"/>
          <w:szCs w:val="22"/>
        </w:rPr>
        <w:t xml:space="preserve">  Audience analytics give us bargaining power in every future negotiation.</w:t>
      </w:r>
    </w:p>
    <w:p>
      <w:pPr>
        <w:pStyle w:val="ListParagraph"/>
        <w:numPr>
          <w:ilvl w:val="0"/>
          <w:numId w:val="2"/>
        </w:numPr>
        <w:spacing w:after="60" w:before="0"/>
      </w:pPr>
      <w:r>
        <w:rPr>
          <w:rFonts w:ascii="Arial" w:cs="Arial" w:eastAsia="Arial" w:hAnsi="Arial"/>
          <w:b/>
          <w:bCs/>
          <w:color w:val="0A0A12"/>
          <w:sz w:val="22"/>
          <w:szCs w:val="22"/>
        </w:rPr>
        <w:t xml:space="preserve">Social opens revenue lines the broadcast deal doesn't reach.</w:t>
      </w:r>
      <w:r>
        <w:rPr>
          <w:rFonts w:ascii="Arial" w:cs="Arial" w:eastAsia="Arial" w:hAnsi="Arial"/>
          <w:color w:val="5A5A6B"/>
          <w:sz w:val="22"/>
          <w:szCs w:val="22"/>
        </w:rPr>
        <w:t xml:space="preserve">  Ad revenue, brand integrations, products, live events, music rights, memberships, licensing.</w:t>
      </w:r>
    </w:p>
    <w:p>
      <w:pPr>
        <w:pBdr>
          <w:left w:val="single" w:color="F1A208" w:sz="12" w:space="12"/>
        </w:pBdr>
        <w:spacing w:after="120" w:before="120"/>
        <w:ind w:left="200"/>
      </w:pPr>
      <w:r>
        <w:rPr>
          <w:rFonts w:ascii="Arial" w:cs="Arial" w:eastAsia="Arial" w:hAnsi="Arial"/>
          <w:b/>
          <w:bCs/>
          <w:color w:val="F1A208"/>
          <w:spacing w:val="40"/>
          <w:sz w:val="18"/>
          <w:szCs w:val="18"/>
        </w:rPr>
        <w:t xml:space="preserve">VISUAL NOTE: </w:t>
      </w:r>
      <w:r>
        <w:rPr>
          <w:rFonts w:ascii="Arial" w:cs="Arial" w:eastAsia="Arial" w:hAnsi="Arial"/>
          <w:i/>
          <w:iCs/>
          <w:color w:val="5A5A6B"/>
          <w:sz w:val="20"/>
          <w:szCs w:val="20"/>
        </w:rPr>
        <w:t xml:space="preserve">Visual: large headline, then 3 numbered or icon-anchored callout cards on a dark background. The contrast between 'show is the moment' (transient) and 'social is the asset' (durable) is the key idea — design should reinforce that duality.</w:t>
      </w:r>
    </w:p>
    <w:p>
      <w:pPr>
        <w:pBdr>
          <w:top w:val="single" w:color="E63946" w:sz="12" w:space="6"/>
        </w:pBdr>
        <w:spacing w:after="60" w:before="600"/>
      </w:pPr>
      <w:r>
        <w:rPr>
          <w:rFonts w:ascii="Arial" w:cs="Arial" w:eastAsia="Arial" w:hAnsi="Arial"/>
          <w:b/>
          <w:bCs/>
          <w:color w:val="5A5A6B"/>
          <w:spacing w:val="80"/>
          <w:sz w:val="18"/>
          <w:szCs w:val="18"/>
        </w:rPr>
        <w:t xml:space="preserve">SLIDE 03 / 14</w:t>
      </w:r>
    </w:p>
    <w:p>
      <w:pPr>
        <w:spacing w:after="120" w:before="480"/>
      </w:pPr>
      <w:r>
        <w:rPr>
          <w:rFonts w:ascii="Arial" w:cs="Arial" w:eastAsia="Arial" w:hAnsi="Arial"/>
          <w:b/>
          <w:bCs/>
          <w:color w:val="E63946"/>
          <w:spacing w:val="60"/>
          <w:sz w:val="18"/>
          <w:szCs w:val="18"/>
        </w:rPr>
        <w:t xml:space="preserve">THE STRATEGIC THESIS</w:t>
      </w:r>
    </w:p>
    <w:p>
      <w:pPr>
        <w:pStyle w:val="Heading1"/>
        <w:spacing w:after="160" w:before="80"/>
      </w:pPr>
      <w:r>
        <w:rPr>
          <w:rFonts w:ascii="Arial" w:cs="Arial" w:eastAsia="Arial" w:hAnsi="Arial"/>
          <w:b/>
          <w:bCs/>
          <w:color w:val="0A0A12"/>
          <w:sz w:val="40"/>
          <w:szCs w:val="40"/>
        </w:rPr>
        <w:t xml:space="preserve">We're not building a marketing channel. We're building a media company.</w:t>
      </w:r>
    </w:p>
    <w:p>
      <w:pPr>
        <w:spacing w:after="140" w:before="0"/>
      </w:pPr>
      <w:r>
        <w:rPr>
          <w:rFonts w:ascii="Arial" w:cs="Arial" w:eastAsia="Arial" w:hAnsi="Arial"/>
          <w:color w:val="0A0A12"/>
          <w:sz w:val="22"/>
          <w:szCs w:val="22"/>
        </w:rPr>
        <w:t xml:space="preserve">Most TV shows treat social as a promotional arm. We treat it as a parallel business — one that runs year-round, captures audience data the broadcast deal doesn't, and creates monetization streams the show alone can't reach. This is how League of Rock Inc. graduates from 'IP licensor' to 'IP operator.'</w:t>
      </w:r>
    </w:p>
    <w:p>
      <w:pPr>
        <w:spacing w:after="80" w:before="220"/>
      </w:pPr>
      <w:r>
        <w:rPr>
          <w:rFonts w:ascii="Arial" w:cs="Arial" w:eastAsia="Arial" w:hAnsi="Arial"/>
          <w:b/>
          <w:bCs/>
          <w:color w:val="F1A208"/>
          <w:spacing w:val="40"/>
          <w:sz w:val="22"/>
          <w:szCs w:val="22"/>
        </w:rPr>
        <w:t xml:space="preserve">THREE STRUCTURAL PILLARS</w:t>
      </w:r>
    </w:p>
    <w:p>
      <w:pPr>
        <w:pStyle w:val="ListParagraph"/>
        <w:numPr>
          <w:ilvl w:val="0"/>
          <w:numId w:val="2"/>
        </w:numPr>
        <w:spacing w:after="60" w:before="0"/>
      </w:pPr>
      <w:r>
        <w:rPr>
          <w:rFonts w:ascii="Arial" w:cs="Arial" w:eastAsia="Arial" w:hAnsi="Arial"/>
          <w:b/>
          <w:bCs/>
          <w:color w:val="E63946"/>
          <w:sz w:val="22"/>
          <w:szCs w:val="22"/>
        </w:rPr>
        <w:t xml:space="preserve">01  </w:t>
      </w:r>
      <w:r>
        <w:rPr>
          <w:rFonts w:ascii="Arial" w:cs="Arial" w:eastAsia="Arial" w:hAnsi="Arial"/>
          <w:b/>
          <w:bCs/>
          <w:color w:val="0A0A12"/>
          <w:sz w:val="22"/>
          <w:szCs w:val="22"/>
        </w:rPr>
        <w:t xml:space="preserve">One ecosystem, owned end-to-end. </w:t>
      </w:r>
      <w:r>
        <w:rPr>
          <w:rFonts w:ascii="Arial" w:cs="Arial" w:eastAsia="Arial" w:hAnsi="Arial"/>
          <w:color w:val="5A5A6B"/>
          <w:sz w:val="22"/>
          <w:szCs w:val="22"/>
        </w:rPr>
        <w:t xml:space="preserve">Algorithm-proof email, community, and membership layers — the assets the platforms can't take from us.</w:t>
      </w:r>
    </w:p>
    <w:p>
      <w:pPr>
        <w:pStyle w:val="ListParagraph"/>
        <w:numPr>
          <w:ilvl w:val="0"/>
          <w:numId w:val="2"/>
        </w:numPr>
        <w:spacing w:after="60" w:before="0"/>
      </w:pPr>
      <w:r>
        <w:rPr>
          <w:rFonts w:ascii="Arial" w:cs="Arial" w:eastAsia="Arial" w:hAnsi="Arial"/>
          <w:b/>
          <w:bCs/>
          <w:color w:val="E63946"/>
          <w:sz w:val="22"/>
          <w:szCs w:val="22"/>
        </w:rPr>
        <w:t xml:space="preserve">02  </w:t>
      </w:r>
      <w:r>
        <w:rPr>
          <w:rFonts w:ascii="Arial" w:cs="Arial" w:eastAsia="Arial" w:hAnsi="Arial"/>
          <w:b/>
          <w:bCs/>
          <w:color w:val="0A0A12"/>
          <w:sz w:val="22"/>
          <w:szCs w:val="22"/>
        </w:rPr>
        <w:t xml:space="preserve">Diversified income that compounds. </w:t>
      </w:r>
      <w:r>
        <w:rPr>
          <w:rFonts w:ascii="Arial" w:cs="Arial" w:eastAsia="Arial" w:hAnsi="Arial"/>
          <w:color w:val="5A5A6B"/>
          <w:sz w:val="22"/>
          <w:szCs w:val="22"/>
        </w:rPr>
        <w:t xml:space="preserve">Ad revenue, brand integrations, products, live events, music rights, memberships, licensing — each stream strengthens the others.</w:t>
      </w:r>
    </w:p>
    <w:p>
      <w:pPr>
        <w:pStyle w:val="ListParagraph"/>
        <w:numPr>
          <w:ilvl w:val="0"/>
          <w:numId w:val="2"/>
        </w:numPr>
        <w:spacing w:after="60" w:before="0"/>
      </w:pPr>
      <w:r>
        <w:rPr>
          <w:rFonts w:ascii="Arial" w:cs="Arial" w:eastAsia="Arial" w:hAnsi="Arial"/>
          <w:b/>
          <w:bCs/>
          <w:color w:val="E63946"/>
          <w:sz w:val="22"/>
          <w:szCs w:val="22"/>
        </w:rPr>
        <w:t xml:space="preserve">03  </w:t>
      </w:r>
      <w:r>
        <w:rPr>
          <w:rFonts w:ascii="Arial" w:cs="Arial" w:eastAsia="Arial" w:hAnsi="Arial"/>
          <w:b/>
          <w:bCs/>
          <w:color w:val="0A0A12"/>
          <w:sz w:val="22"/>
          <w:szCs w:val="22"/>
        </w:rPr>
        <w:t xml:space="preserve">Built-in audience asset. </w:t>
      </w:r>
      <w:r>
        <w:rPr>
          <w:rFonts w:ascii="Arial" w:cs="Arial" w:eastAsia="Arial" w:hAnsi="Arial"/>
          <w:color w:val="5A5A6B"/>
          <w:sz w:val="22"/>
          <w:szCs w:val="22"/>
        </w:rPr>
        <w:t xml:space="preserve">Every viewer becomes a follower; every follower becomes a customer; every customer becomes an evangelist who recruits the next stranger.</w:t>
      </w:r>
    </w:p>
    <w:p>
      <w:pPr>
        <w:pBdr>
          <w:left w:val="single" w:color="F1A208" w:sz="12" w:space="12"/>
        </w:pBdr>
        <w:spacing w:after="120" w:before="120"/>
        <w:ind w:left="200"/>
      </w:pPr>
      <w:r>
        <w:rPr>
          <w:rFonts w:ascii="Arial" w:cs="Arial" w:eastAsia="Arial" w:hAnsi="Arial"/>
          <w:b/>
          <w:bCs/>
          <w:color w:val="F1A208"/>
          <w:spacing w:val="40"/>
          <w:sz w:val="18"/>
          <w:szCs w:val="18"/>
        </w:rPr>
        <w:t xml:space="preserve">VISUAL NOTE: </w:t>
      </w:r>
      <w:r>
        <w:rPr>
          <w:rFonts w:ascii="Arial" w:cs="Arial" w:eastAsia="Arial" w:hAnsi="Arial"/>
          <w:i/>
          <w:iCs/>
          <w:color w:val="5A5A6B"/>
          <w:sz w:val="20"/>
          <w:szCs w:val="20"/>
        </w:rPr>
        <w:t xml:space="preserve">Visual: 'We're not just / building a marketing channel.' on muted gray. 'We're building a media company.' in bold red beneath. The three pillars below as numbered cards.</w:t>
      </w:r>
    </w:p>
    <w:p>
      <w:pPr>
        <w:pBdr>
          <w:top w:val="single" w:color="E63946" w:sz="12" w:space="6"/>
        </w:pBdr>
        <w:spacing w:after="60" w:before="600"/>
      </w:pPr>
      <w:r>
        <w:rPr>
          <w:rFonts w:ascii="Arial" w:cs="Arial" w:eastAsia="Arial" w:hAnsi="Arial"/>
          <w:b/>
          <w:bCs/>
          <w:color w:val="5A5A6B"/>
          <w:spacing w:val="80"/>
          <w:sz w:val="18"/>
          <w:szCs w:val="18"/>
        </w:rPr>
        <w:t xml:space="preserve">SLIDE 04 / 14</w:t>
      </w:r>
    </w:p>
    <w:p>
      <w:pPr>
        <w:spacing w:after="120" w:before="480"/>
      </w:pPr>
      <w:r>
        <w:rPr>
          <w:rFonts w:ascii="Arial" w:cs="Arial" w:eastAsia="Arial" w:hAnsi="Arial"/>
          <w:b/>
          <w:bCs/>
          <w:color w:val="E63946"/>
          <w:spacing w:val="60"/>
          <w:sz w:val="18"/>
          <w:szCs w:val="18"/>
        </w:rPr>
        <w:t xml:space="preserve">THE MARKET</w:t>
      </w:r>
    </w:p>
    <w:p>
      <w:pPr>
        <w:pStyle w:val="Heading1"/>
        <w:spacing w:after="160" w:before="80"/>
      </w:pPr>
      <w:r>
        <w:rPr>
          <w:rFonts w:ascii="Arial" w:cs="Arial" w:eastAsia="Arial" w:hAnsi="Arial"/>
          <w:b/>
          <w:bCs/>
          <w:color w:val="0A0A12"/>
          <w:sz w:val="40"/>
          <w:szCs w:val="40"/>
        </w:rPr>
        <w:t xml:space="preserve">The playbook is proven. The category is hot.</w:t>
      </w:r>
    </w:p>
    <w:p>
      <w:pPr>
        <w:spacing w:after="140" w:before="0"/>
      </w:pPr>
      <w:r>
        <w:rPr>
          <w:rFonts w:ascii="Arial" w:cs="Arial" w:eastAsia="Arial" w:hAnsi="Arial"/>
          <w:color w:val="0A0A12"/>
          <w:sz w:val="22"/>
          <w:szCs w:val="22"/>
        </w:rPr>
        <w:t xml:space="preserve">Every component of the strategy below has been proven at scale by category-defining companies. The social-led media business model is no longer experimental. We are stepping into the largest open opportunity in entertainment.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tcMar>
              <w:top w:type="dxa" w:w="60"/>
              <w:left w:type="dxa" w:w="0"/>
              <w:bottom w:type="dxa" w:w="60"/>
              <w:right w:type="dxa" w:w="120"/>
            </w:tcMar>
          </w:tcPr>
          <w:p>
            <w:pPr>
              <w:spacing w:after="0" w:before="0"/>
            </w:pPr>
            <w:r>
              <w:rPr>
                <w:rFonts w:ascii="Arial" w:cs="Arial" w:eastAsia="Arial" w:hAnsi="Arial"/>
                <w:b/>
                <w:bCs/>
                <w:color w:val="E63946"/>
                <w:sz w:val="56"/>
                <w:szCs w:val="56"/>
              </w:rPr>
              <w:t xml:space="preserve">$899M</w:t>
            </w:r>
          </w:p>
        </w:tc>
        <w:tc>
          <w:tcPr>
            <w:tcW w:type="dxa" w:w="7160"/>
            <w:tcBorders>
              <w:top w:val="none" w:sz="0"/>
              <w:left w:val="none" w:sz="0"/>
              <w:bottom w:val="single" w:color="CCCCCC" w:sz="4"/>
              <w:right w:val="none" w:sz="0"/>
            </w:tcBorders>
            <w:tcMar>
              <w:top w:type="dxa" w:w="60"/>
              <w:left w:type="dxa" w:w="0"/>
              <w:bottom w:type="dxa" w:w="120"/>
              <w:right w:type="dxa" w:w="0"/>
            </w:tcMar>
          </w:tcPr>
          <w:p>
            <w:pPr>
              <w:spacing w:after="60" w:before="0"/>
            </w:pPr>
            <w:r>
              <w:rPr>
                <w:rFonts w:ascii="Arial" w:cs="Arial" w:eastAsia="Arial" w:hAnsi="Arial"/>
                <w:b/>
                <w:bCs/>
                <w:color w:val="0A0A12"/>
                <w:sz w:val="22"/>
                <w:szCs w:val="22"/>
              </w:rPr>
              <w:t xml:space="preserve">MrBeast / Beast Industries projected 2025 revenue.</w:t>
            </w:r>
          </w:p>
          <w:p>
            <w:pPr>
              <w:spacing w:after="0" w:before="0"/>
            </w:pPr>
            <w:r>
              <w:rPr>
                <w:rFonts w:ascii="Arial" w:cs="Arial" w:eastAsia="Arial" w:hAnsi="Arial"/>
                <w:i/>
                <w:iCs/>
                <w:color w:val="5A5A6B"/>
                <w:sz w:val="18"/>
                <w:szCs w:val="18"/>
              </w:rPr>
              <w:t xml:space="preserve">The diversification playbook works — content is the audience-acquisition channel; profit lives in products, brand deals, and licensing.</w:t>
            </w:r>
          </w:p>
        </w:tc>
      </w:tr>
      <w:tr>
        <w:tc>
          <w:tcPr>
            <w:tcW w:type="dxa" w:w="2200"/>
            <w:tcBorders>
              <w:top w:val="none" w:sz="0"/>
              <w:left w:val="none" w:sz="0"/>
              <w:bottom w:val="none" w:sz="0"/>
              <w:right w:val="none" w:sz="0"/>
            </w:tcBorders>
            <w:tcMar>
              <w:top w:type="dxa" w:w="60"/>
              <w:left w:type="dxa" w:w="0"/>
              <w:bottom w:type="dxa" w:w="60"/>
              <w:right w:type="dxa" w:w="120"/>
            </w:tcMar>
          </w:tcPr>
          <w:p>
            <w:pPr>
              <w:spacing w:after="0" w:before="0"/>
            </w:pPr>
            <w:r>
              <w:rPr>
                <w:rFonts w:ascii="Arial" w:cs="Arial" w:eastAsia="Arial" w:hAnsi="Arial"/>
                <w:b/>
                <w:bCs/>
                <w:color w:val="E63946"/>
                <w:sz w:val="56"/>
                <w:szCs w:val="56"/>
              </w:rPr>
              <w:t xml:space="preserve">59.6M</w:t>
            </w:r>
          </w:p>
        </w:tc>
        <w:tc>
          <w:tcPr>
            <w:tcW w:type="dxa" w:w="7160"/>
            <w:tcBorders>
              <w:top w:val="none" w:sz="0"/>
              <w:left w:val="none" w:sz="0"/>
              <w:bottom w:val="single" w:color="CCCCCC" w:sz="4"/>
              <w:right w:val="none" w:sz="0"/>
            </w:tcBorders>
            <w:tcMar>
              <w:top w:type="dxa" w:w="60"/>
              <w:left w:type="dxa" w:w="0"/>
              <w:bottom w:type="dxa" w:w="120"/>
              <w:right w:type="dxa" w:w="0"/>
            </w:tcMar>
          </w:tcPr>
          <w:p>
            <w:pPr>
              <w:spacing w:after="60" w:before="0"/>
            </w:pPr>
            <w:r>
              <w:rPr>
                <w:rFonts w:ascii="Arial" w:cs="Arial" w:eastAsia="Arial" w:hAnsi="Arial"/>
                <w:b/>
                <w:bCs/>
                <w:color w:val="0A0A12"/>
                <w:sz w:val="22"/>
                <w:szCs w:val="22"/>
              </w:rPr>
              <w:t xml:space="preserve">Views in 5 days for Netflix's Stranger Things finale.</w:t>
            </w:r>
          </w:p>
          <w:p>
            <w:pPr>
              <w:spacing w:after="0" w:before="0"/>
            </w:pPr>
            <w:r>
              <w:rPr>
                <w:rFonts w:ascii="Arial" w:cs="Arial" w:eastAsia="Arial" w:hAnsi="Arial"/>
                <w:i/>
                <w:iCs/>
                <w:color w:val="5A5A6B"/>
                <w:sz w:val="18"/>
                <w:szCs w:val="18"/>
              </w:rPr>
              <w:t xml:space="preserve">Tentpole shows still command — but social is what extends their lifetime value beyond the airing window.</w:t>
            </w:r>
          </w:p>
        </w:tc>
      </w:tr>
      <w:tr>
        <w:tc>
          <w:tcPr>
            <w:tcW w:type="dxa" w:w="2200"/>
            <w:tcBorders>
              <w:top w:val="none" w:sz="0"/>
              <w:left w:val="none" w:sz="0"/>
              <w:bottom w:val="none" w:sz="0"/>
              <w:right w:val="none" w:sz="0"/>
            </w:tcBorders>
            <w:tcMar>
              <w:top w:type="dxa" w:w="60"/>
              <w:left w:type="dxa" w:w="0"/>
              <w:bottom w:type="dxa" w:w="60"/>
              <w:right w:type="dxa" w:w="120"/>
            </w:tcMar>
          </w:tcPr>
          <w:p>
            <w:pPr>
              <w:spacing w:after="0" w:before="0"/>
            </w:pPr>
            <w:r>
              <w:rPr>
                <w:rFonts w:ascii="Arial" w:cs="Arial" w:eastAsia="Arial" w:hAnsi="Arial"/>
                <w:b/>
                <w:bCs/>
                <w:color w:val="E63946"/>
                <w:sz w:val="56"/>
                <w:szCs w:val="56"/>
              </w:rPr>
              <w:t xml:space="preserve">+138%</w:t>
            </w:r>
          </w:p>
        </w:tc>
        <w:tc>
          <w:tcPr>
            <w:tcW w:type="dxa" w:w="7160"/>
            <w:tcBorders>
              <w:top w:val="none" w:sz="0"/>
              <w:left w:val="none" w:sz="0"/>
              <w:bottom w:val="single" w:color="CCCCCC" w:sz="4"/>
              <w:right w:val="none" w:sz="0"/>
            </w:tcBorders>
            <w:tcMar>
              <w:top w:type="dxa" w:w="60"/>
              <w:left w:type="dxa" w:w="0"/>
              <w:bottom w:type="dxa" w:w="120"/>
              <w:right w:type="dxa" w:w="0"/>
            </w:tcMar>
          </w:tcPr>
          <w:p>
            <w:pPr>
              <w:spacing w:after="60" w:before="0"/>
            </w:pPr>
            <w:r>
              <w:rPr>
                <w:rFonts w:ascii="Arial" w:cs="Arial" w:eastAsia="Arial" w:hAnsi="Arial"/>
                <w:b/>
                <w:bCs/>
                <w:color w:val="0A0A12"/>
                <w:sz w:val="22"/>
                <w:szCs w:val="22"/>
              </w:rPr>
              <w:t xml:space="preserve">YoY growth in newsletter paid subscription revenue, 2025.</w:t>
            </w:r>
          </w:p>
          <w:p>
            <w:pPr>
              <w:spacing w:after="0" w:before="0"/>
            </w:pPr>
            <w:r>
              <w:rPr>
                <w:rFonts w:ascii="Arial" w:cs="Arial" w:eastAsia="Arial" w:hAnsi="Arial"/>
                <w:i/>
                <w:iCs/>
                <w:color w:val="5A5A6B"/>
                <w:sz w:val="18"/>
                <w:szCs w:val="18"/>
              </w:rPr>
              <w:t xml:space="preserve">Owned audience monetizes. Email is no longer 'nice to have' — it's the spine of every successful creator-led business.</w:t>
            </w:r>
          </w:p>
        </w:tc>
      </w:tr>
      <w:tr>
        <w:tc>
          <w:tcPr>
            <w:tcW w:type="dxa" w:w="2200"/>
            <w:tcBorders>
              <w:top w:val="none" w:sz="0"/>
              <w:left w:val="none" w:sz="0"/>
              <w:bottom w:val="none" w:sz="0"/>
              <w:right w:val="none" w:sz="0"/>
            </w:tcBorders>
            <w:tcMar>
              <w:top w:type="dxa" w:w="60"/>
              <w:left w:type="dxa" w:w="0"/>
              <w:bottom w:type="dxa" w:w="60"/>
              <w:right w:type="dxa" w:w="120"/>
            </w:tcMar>
          </w:tcPr>
          <w:p>
            <w:pPr>
              <w:spacing w:after="0" w:before="0"/>
            </w:pPr>
            <w:r>
              <w:rPr>
                <w:rFonts w:ascii="Arial" w:cs="Arial" w:eastAsia="Arial" w:hAnsi="Arial"/>
                <w:b/>
                <w:bCs/>
                <w:color w:val="E63946"/>
                <w:sz w:val="56"/>
                <w:szCs w:val="56"/>
              </w:rPr>
              <w:t xml:space="preserve">36M</w:t>
            </w:r>
          </w:p>
        </w:tc>
        <w:tc>
          <w:tcPr>
            <w:tcW w:type="dxa" w:w="7160"/>
            <w:tcBorders>
              <w:top w:val="none" w:sz="0"/>
              <w:left w:val="none" w:sz="0"/>
              <w:bottom w:val="single" w:color="CCCCCC" w:sz="4"/>
              <w:right w:val="none" w:sz="0"/>
            </w:tcBorders>
            <w:tcMar>
              <w:top w:type="dxa" w:w="60"/>
              <w:left w:type="dxa" w:w="0"/>
              <w:bottom w:type="dxa" w:w="120"/>
              <w:right w:type="dxa" w:w="0"/>
            </w:tcMar>
          </w:tcPr>
          <w:p>
            <w:pPr>
              <w:spacing w:after="60" w:before="0"/>
            </w:pPr>
            <w:r>
              <w:rPr>
                <w:rFonts w:ascii="Arial" w:cs="Arial" w:eastAsia="Arial" w:hAnsi="Arial"/>
                <w:b/>
                <w:bCs/>
                <w:color w:val="0A0A12"/>
                <w:sz w:val="22"/>
                <w:szCs w:val="22"/>
              </w:rPr>
              <w:t xml:space="preserve">Views on a single Tiny Desk performance in 2024.</w:t>
            </w:r>
          </w:p>
          <w:p>
            <w:pPr>
              <w:spacing w:after="0" w:before="0"/>
            </w:pPr>
            <w:r>
              <w:rPr>
                <w:rFonts w:ascii="Arial" w:cs="Arial" w:eastAsia="Arial" w:hAnsi="Arial"/>
                <w:i/>
                <w:iCs/>
                <w:color w:val="5A5A6B"/>
                <w:sz w:val="18"/>
                <w:szCs w:val="18"/>
              </w:rPr>
              <w:t xml:space="preserve">Music performances are the most universally shareable content format in existence. Format-led music content travels further than any other category.</w:t>
            </w:r>
          </w:p>
        </w:tc>
      </w:tr>
    </w:tbl>
    <w:p>
      <w:pPr>
        <w:pBdr>
          <w:left w:val="single" w:color="F1A208" w:sz="12" w:space="12"/>
        </w:pBdr>
        <w:spacing w:after="120" w:before="120"/>
        <w:ind w:left="200"/>
      </w:pPr>
      <w:r>
        <w:rPr>
          <w:rFonts w:ascii="Arial" w:cs="Arial" w:eastAsia="Arial" w:hAnsi="Arial"/>
          <w:b/>
          <w:bCs/>
          <w:color w:val="F1A208"/>
          <w:spacing w:val="40"/>
          <w:sz w:val="18"/>
          <w:szCs w:val="18"/>
        </w:rPr>
        <w:t xml:space="preserve">VISUAL NOTE: </w:t>
      </w:r>
      <w:r>
        <w:rPr>
          <w:rFonts w:ascii="Arial" w:cs="Arial" w:eastAsia="Arial" w:hAnsi="Arial"/>
          <w:i/>
          <w:iCs/>
          <w:color w:val="5A5A6B"/>
          <w:sz w:val="20"/>
          <w:szCs w:val="20"/>
        </w:rPr>
        <w:t xml:space="preserve">Visual: 4 large stat cards in a row. Big number in red/amber, label below in white, source/explanation in muted gray italic. This is a 'wow' moment — the numbers need to dominate the slide.</w:t>
      </w:r>
    </w:p>
    <w:p>
      <w:pPr>
        <w:pBdr>
          <w:top w:val="single" w:color="E63946" w:sz="12" w:space="6"/>
        </w:pBdr>
        <w:spacing w:after="60" w:before="600"/>
      </w:pPr>
      <w:r>
        <w:rPr>
          <w:rFonts w:ascii="Arial" w:cs="Arial" w:eastAsia="Arial" w:hAnsi="Arial"/>
          <w:b/>
          <w:bCs/>
          <w:color w:val="5A5A6B"/>
          <w:spacing w:val="80"/>
          <w:sz w:val="18"/>
          <w:szCs w:val="18"/>
        </w:rPr>
        <w:t xml:space="preserve">SLIDE 05 / 14</w:t>
      </w:r>
    </w:p>
    <w:p>
      <w:pPr>
        <w:spacing w:after="120" w:before="480"/>
      </w:pPr>
      <w:r>
        <w:rPr>
          <w:rFonts w:ascii="Arial" w:cs="Arial" w:eastAsia="Arial" w:hAnsi="Arial"/>
          <w:b/>
          <w:bCs/>
          <w:color w:val="E63946"/>
          <w:spacing w:val="60"/>
          <w:sz w:val="18"/>
          <w:szCs w:val="18"/>
        </w:rPr>
        <w:t xml:space="preserve">CORE OBJECTIVES — PART 1 OF 2</w:t>
      </w:r>
    </w:p>
    <w:p>
      <w:pPr>
        <w:pStyle w:val="Heading1"/>
        <w:spacing w:after="160" w:before="80"/>
      </w:pPr>
      <w:r>
        <w:rPr>
          <w:rFonts w:ascii="Arial" w:cs="Arial" w:eastAsia="Arial" w:hAnsi="Arial"/>
          <w:b/>
          <w:bCs/>
          <w:color w:val="0A0A12"/>
          <w:sz w:val="40"/>
          <w:szCs w:val="40"/>
        </w:rPr>
        <w:t xml:space="preserve">What this ecosystem builds: the audience.</w:t>
      </w:r>
    </w:p>
    <w:p>
      <w:pPr>
        <w:spacing w:after="140" w:before="0"/>
      </w:pPr>
      <w:r>
        <w:rPr>
          <w:rFonts w:ascii="Arial" w:cs="Arial" w:eastAsia="Arial" w:hAnsi="Arial"/>
          <w:color w:val="0A0A12"/>
          <w:sz w:val="22"/>
          <w:szCs w:val="22"/>
        </w:rPr>
        <w:t xml:space="preserve">The first four objectives are about audience and direct revenue — the engines that turn viewers into customers and customers into evangelists.</w:t>
      </w:r>
    </w:p>
    <w:p>
      <w:pPr>
        <w:spacing w:after="80" w:before="220"/>
      </w:pPr>
      <w:r>
        <w:rPr>
          <w:rFonts w:ascii="Arial" w:cs="Arial" w:eastAsia="Arial" w:hAnsi="Arial"/>
          <w:b/>
          <w:bCs/>
          <w:color w:val="F1A208"/>
          <w:spacing w:val="40"/>
          <w:sz w:val="22"/>
          <w:szCs w:val="22"/>
        </w:rPr>
        <w:t xml:space="preserve">01 · BUILD A FANBASE WITH DEEP CONNECTION</w:t>
      </w:r>
    </w:p>
    <w:p>
      <w:pPr>
        <w:spacing w:after="140" w:before="0"/>
      </w:pPr>
      <w:r>
        <w:rPr>
          <w:rFonts w:ascii="Arial" w:cs="Arial" w:eastAsia="Arial" w:hAnsi="Arial"/>
          <w:color w:val="0A0A12"/>
          <w:sz w:val="22"/>
          <w:szCs w:val="22"/>
        </w:rPr>
        <w:t xml:space="preserve">Audiences fall in love with characters — coaches, contestants, the bands — not just the show. The League of Rock alumni base is our launch audience. The parasocial bond drives every other outcome in this strategy. When fans feel a genuine connection to specific people on the show, they follow them, vote for them, defend them, buy their merch, attend their tours, and bring their friends.</w:t>
      </w:r>
    </w:p>
    <w:p>
      <w:pPr>
        <w:spacing w:after="80" w:before="220"/>
      </w:pPr>
      <w:r>
        <w:rPr>
          <w:rFonts w:ascii="Arial" w:cs="Arial" w:eastAsia="Arial" w:hAnsi="Arial"/>
          <w:b/>
          <w:bCs/>
          <w:color w:val="F1A208"/>
          <w:spacing w:val="40"/>
          <w:sz w:val="22"/>
          <w:szCs w:val="22"/>
        </w:rPr>
        <w:t xml:space="preserve">02 · DRIVE TRAFFIC TO THE SHOW</w:t>
      </w:r>
    </w:p>
    <w:p>
      <w:pPr>
        <w:spacing w:after="140" w:before="0"/>
      </w:pPr>
      <w:r>
        <w:rPr>
          <w:rFonts w:ascii="Arial" w:cs="Arial" w:eastAsia="Arial" w:hAnsi="Arial"/>
          <w:color w:val="0A0A12"/>
          <w:sz w:val="22"/>
          <w:szCs w:val="22"/>
        </w:rPr>
        <w:t xml:space="preserve">Engineered social-to-streaming funnels deliver viewers directly to the show on premiere weekends and throughout each season's run. Every clip ends pointing at the next destination. Every short-form view is engineered to convert to a long-form view, which is engineered to convert to tune-in behavior.</w:t>
      </w:r>
    </w:p>
    <w:p>
      <w:pPr>
        <w:spacing w:after="80" w:before="220"/>
      </w:pPr>
      <w:r>
        <w:rPr>
          <w:rFonts w:ascii="Arial" w:cs="Arial" w:eastAsia="Arial" w:hAnsi="Arial"/>
          <w:b/>
          <w:bCs/>
          <w:color w:val="F1A208"/>
          <w:spacing w:val="40"/>
          <w:sz w:val="22"/>
          <w:szCs w:val="22"/>
        </w:rPr>
        <w:t xml:space="preserve">03 · DRIVE TRAFFIC TO PRODUCTS</w:t>
      </w:r>
    </w:p>
    <w:p>
      <w:pPr>
        <w:spacing w:after="140" w:before="0"/>
      </w:pPr>
      <w:r>
        <w:rPr>
          <w:rFonts w:ascii="Arial" w:cs="Arial" w:eastAsia="Arial" w:hAnsi="Arial"/>
          <w:color w:val="0A0A12"/>
          <w:sz w:val="22"/>
          <w:szCs w:val="22"/>
        </w:rPr>
        <w:t xml:space="preserve">Merchandise, music releases, live event tickets, signature products. Fans convert into customers when the relationship is real and the community is active. Without a social ecosystem, every product launch starts from cold awareness. With one, every launch is a warm offer to people who already love the brand.</w:t>
      </w:r>
    </w:p>
    <w:p>
      <w:pPr>
        <w:spacing w:after="80" w:before="220"/>
      </w:pPr>
      <w:r>
        <w:rPr>
          <w:rFonts w:ascii="Arial" w:cs="Arial" w:eastAsia="Arial" w:hAnsi="Arial"/>
          <w:b/>
          <w:bCs/>
          <w:color w:val="F1A208"/>
          <w:spacing w:val="40"/>
          <w:sz w:val="22"/>
          <w:szCs w:val="22"/>
        </w:rPr>
        <w:t xml:space="preserve">04 · DRIVE TRAFFIC TO BRAND DEALS</w:t>
      </w:r>
    </w:p>
    <w:p>
      <w:pPr>
        <w:spacing w:after="140" w:before="0"/>
      </w:pPr>
      <w:r>
        <w:rPr>
          <w:rFonts w:ascii="Arial" w:cs="Arial" w:eastAsia="Arial" w:hAnsi="Arial"/>
          <w:color w:val="0A0A12"/>
          <w:sz w:val="22"/>
          <w:szCs w:val="22"/>
        </w:rPr>
        <w:t xml:space="preserve">Premium engaged audiences command premium CPMs. Sponsored challenges are already structural to the show format — social extends those relationships year-round, multiplying the value of each sponsor commitment. A 1M-subscriber music channel routinely commands $25K–$50K per integrated brand deal.</w:t>
      </w:r>
    </w:p>
    <w:p>
      <w:pPr>
        <w:pBdr>
          <w:left w:val="single" w:color="F1A208" w:sz="12" w:space="12"/>
        </w:pBdr>
        <w:spacing w:after="120" w:before="120"/>
        <w:ind w:left="200"/>
      </w:pPr>
      <w:r>
        <w:rPr>
          <w:rFonts w:ascii="Arial" w:cs="Arial" w:eastAsia="Arial" w:hAnsi="Arial"/>
          <w:b/>
          <w:bCs/>
          <w:color w:val="F1A208"/>
          <w:spacing w:val="40"/>
          <w:sz w:val="18"/>
          <w:szCs w:val="18"/>
        </w:rPr>
        <w:t xml:space="preserve">VISUAL NOTE: </w:t>
      </w:r>
      <w:r>
        <w:rPr>
          <w:rFonts w:ascii="Arial" w:cs="Arial" w:eastAsia="Arial" w:hAnsi="Arial"/>
          <w:i/>
          <w:iCs/>
          <w:color w:val="5A5A6B"/>
          <w:sz w:val="20"/>
          <w:szCs w:val="20"/>
        </w:rPr>
        <w:t xml:space="preserve">Visual: 2x2 grid of objective cards. Each card has an icon, a numbered header, and body text. Use the red accent for the icons; cards on dark surface.</w:t>
      </w:r>
    </w:p>
    <w:p>
      <w:pPr>
        <w:pBdr>
          <w:top w:val="single" w:color="E63946" w:sz="12" w:space="6"/>
        </w:pBdr>
        <w:spacing w:after="60" w:before="600"/>
      </w:pPr>
      <w:r>
        <w:rPr>
          <w:rFonts w:ascii="Arial" w:cs="Arial" w:eastAsia="Arial" w:hAnsi="Arial"/>
          <w:b/>
          <w:bCs/>
          <w:color w:val="5A5A6B"/>
          <w:spacing w:val="80"/>
          <w:sz w:val="18"/>
          <w:szCs w:val="18"/>
        </w:rPr>
        <w:t xml:space="preserve">SLIDE 06 / 14</w:t>
      </w:r>
    </w:p>
    <w:p>
      <w:pPr>
        <w:spacing w:after="120" w:before="480"/>
      </w:pPr>
      <w:r>
        <w:rPr>
          <w:rFonts w:ascii="Arial" w:cs="Arial" w:eastAsia="Arial" w:hAnsi="Arial"/>
          <w:b/>
          <w:bCs/>
          <w:color w:val="E63946"/>
          <w:spacing w:val="60"/>
          <w:sz w:val="18"/>
          <w:szCs w:val="18"/>
        </w:rPr>
        <w:t xml:space="preserve">CORE OBJECTIVES — PART 2 OF 2</w:t>
      </w:r>
    </w:p>
    <w:p>
      <w:pPr>
        <w:pStyle w:val="Heading1"/>
        <w:spacing w:after="160" w:before="80"/>
      </w:pPr>
      <w:r>
        <w:rPr>
          <w:rFonts w:ascii="Arial" w:cs="Arial" w:eastAsia="Arial" w:hAnsi="Arial"/>
          <w:b/>
          <w:bCs/>
          <w:color w:val="0A0A12"/>
          <w:sz w:val="40"/>
          <w:szCs w:val="40"/>
        </w:rPr>
        <w:t xml:space="preserve">What this ecosystem builds: the strategic asset.</w:t>
      </w:r>
    </w:p>
    <w:p>
      <w:pPr>
        <w:spacing w:after="140" w:before="0"/>
      </w:pPr>
      <w:r>
        <w:rPr>
          <w:rFonts w:ascii="Arial" w:cs="Arial" w:eastAsia="Arial" w:hAnsi="Arial"/>
          <w:color w:val="0A0A12"/>
          <w:sz w:val="22"/>
          <w:szCs w:val="22"/>
        </w:rPr>
        <w:t xml:space="preserve">The next four objectives are about strategic value — what the social ecosystem unlocks for League of Rock Inc. as a company, beyond direct revenue.</w:t>
      </w:r>
    </w:p>
    <w:p>
      <w:pPr>
        <w:spacing w:after="80" w:before="220"/>
      </w:pPr>
      <w:r>
        <w:rPr>
          <w:rFonts w:ascii="Arial" w:cs="Arial" w:eastAsia="Arial" w:hAnsi="Arial"/>
          <w:b/>
          <w:bCs/>
          <w:color w:val="F1A208"/>
          <w:spacing w:val="40"/>
          <w:sz w:val="22"/>
          <w:szCs w:val="22"/>
        </w:rPr>
        <w:t xml:space="preserve">05 · PROVEN ANALYTICS = LEVERAGE IN EVERY FUTURE DEAL</w:t>
      </w:r>
    </w:p>
    <w:p>
      <w:pPr>
        <w:spacing w:after="140" w:before="0"/>
      </w:pPr>
      <w:r>
        <w:rPr>
          <w:rFonts w:ascii="Arial" w:cs="Arial" w:eastAsia="Arial" w:hAnsi="Arial"/>
          <w:color w:val="0A0A12"/>
          <w:sz w:val="22"/>
          <w:szCs w:val="22"/>
        </w:rPr>
        <w:t xml:space="preserve">Hard data on audience size, demographics, engagement, regional performance, and conversion behavior gives us bargaining power with future distribution partners. We walk into Season 2, Season 3, and regional spin-off negotiations with receipts — not pitch decks. Data turns 'we think this will work' into 'this already works.'</w:t>
      </w:r>
    </w:p>
    <w:p>
      <w:pPr>
        <w:spacing w:after="80" w:before="220"/>
      </w:pPr>
      <w:r>
        <w:rPr>
          <w:rFonts w:ascii="Arial" w:cs="Arial" w:eastAsia="Arial" w:hAnsi="Arial"/>
          <w:b/>
          <w:bCs/>
          <w:color w:val="F1A208"/>
          <w:spacing w:val="40"/>
          <w:sz w:val="22"/>
          <w:szCs w:val="22"/>
        </w:rPr>
        <w:t xml:space="preserve">06 · NEW MARKET INTELLIGENCE</w:t>
      </w:r>
    </w:p>
    <w:p>
      <w:pPr>
        <w:spacing w:after="140" w:before="0"/>
      </w:pPr>
      <w:r>
        <w:rPr>
          <w:rFonts w:ascii="Arial" w:cs="Arial" w:eastAsia="Arial" w:hAnsi="Arial"/>
          <w:color w:val="0A0A12"/>
          <w:sz w:val="22"/>
          <w:szCs w:val="22"/>
        </w:rPr>
        <w:t xml:space="preserve">Regional engagement data tells us where the show is already pulling — so we expand into NY, LA, the UK, and beyond into proven territories, not blind guesses. Each region's social engagement is a leading indicator of how that market will respond to a localized version of the show. We reduce launch risk on every regional spin-off.</w:t>
      </w:r>
    </w:p>
    <w:p>
      <w:pPr>
        <w:spacing w:after="80" w:before="220"/>
      </w:pPr>
      <w:r>
        <w:rPr>
          <w:rFonts w:ascii="Arial" w:cs="Arial" w:eastAsia="Arial" w:hAnsi="Arial"/>
          <w:b/>
          <w:bCs/>
          <w:color w:val="F1A208"/>
          <w:spacing w:val="40"/>
          <w:sz w:val="22"/>
          <w:szCs w:val="22"/>
        </w:rPr>
        <w:t xml:space="preserve">07 · TALENT RECRUITMENT ENGINE</w:t>
      </w:r>
    </w:p>
    <w:p>
      <w:pPr>
        <w:spacing w:after="140" w:before="0"/>
      </w:pPr>
      <w:r>
        <w:rPr>
          <w:rFonts w:ascii="Arial" w:cs="Arial" w:eastAsia="Arial" w:hAnsi="Arial"/>
          <w:color w:val="0A0A12"/>
          <w:sz w:val="22"/>
          <w:szCs w:val="22"/>
        </w:rPr>
        <w:t xml:space="preserve">The social audience becomes the casting pool for future seasons — basement musicians, coaches, guest artists, sponsors. Casting costs drop dramatically when you have an engaged community of self-identified target participants. Alumni from past seasons become Season 5 All-Stars. Future coaches discover us through their own audiences.</w:t>
      </w:r>
    </w:p>
    <w:p>
      <w:pPr>
        <w:spacing w:after="80" w:before="220"/>
      </w:pPr>
      <w:r>
        <w:rPr>
          <w:rFonts w:ascii="Arial" w:cs="Arial" w:eastAsia="Arial" w:hAnsi="Arial"/>
          <w:b/>
          <w:bCs/>
          <w:color w:val="F1A208"/>
          <w:spacing w:val="40"/>
          <w:sz w:val="22"/>
          <w:szCs w:val="22"/>
        </w:rPr>
        <w:t xml:space="preserve">08 · REAL-TIME AUDIENCE FEEDBACK</w:t>
      </w:r>
    </w:p>
    <w:p>
      <w:pPr>
        <w:spacing w:after="140" w:before="0"/>
      </w:pPr>
      <w:r>
        <w:rPr>
          <w:rFonts w:ascii="Arial" w:cs="Arial" w:eastAsia="Arial" w:hAnsi="Arial"/>
          <w:color w:val="0A0A12"/>
          <w:sz w:val="22"/>
          <w:szCs w:val="22"/>
        </w:rPr>
        <w:t xml:space="preserve">Comments, polls, watch behavior, Discord conversations — direct signal on what fans actually want. The show evolves based on data, not gut feel. This is the closed-loop between content and audience that traditional television has never had. We learn what works in week one and apply it by week six.</w:t>
      </w:r>
    </w:p>
    <w:p>
      <w:pPr>
        <w:pBdr>
          <w:left w:val="single" w:color="F1A208" w:sz="12" w:space="12"/>
        </w:pBdr>
        <w:spacing w:after="120" w:before="120"/>
        <w:ind w:left="200"/>
      </w:pPr>
      <w:r>
        <w:rPr>
          <w:rFonts w:ascii="Arial" w:cs="Arial" w:eastAsia="Arial" w:hAnsi="Arial"/>
          <w:b/>
          <w:bCs/>
          <w:color w:val="F1A208"/>
          <w:spacing w:val="40"/>
          <w:sz w:val="18"/>
          <w:szCs w:val="18"/>
        </w:rPr>
        <w:t xml:space="preserve">VISUAL NOTE: </w:t>
      </w:r>
      <w:r>
        <w:rPr>
          <w:rFonts w:ascii="Arial" w:cs="Arial" w:eastAsia="Arial" w:hAnsi="Arial"/>
          <w:i/>
          <w:iCs/>
          <w:color w:val="5A5A6B"/>
          <w:sz w:val="20"/>
          <w:szCs w:val="20"/>
        </w:rPr>
        <w:t xml:space="preserve">Visual: 2x2 grid mirroring Slide 5, but use amber accent (instead of red) to differentiate the second set. These are the 'unlocks' — they should feel like hidden value being revealed.</w:t>
      </w:r>
    </w:p>
    <w:p>
      <w:pPr>
        <w:pBdr>
          <w:top w:val="single" w:color="E63946" w:sz="12" w:space="6"/>
        </w:pBdr>
        <w:spacing w:after="60" w:before="600"/>
      </w:pPr>
      <w:r>
        <w:rPr>
          <w:rFonts w:ascii="Arial" w:cs="Arial" w:eastAsia="Arial" w:hAnsi="Arial"/>
          <w:b/>
          <w:bCs/>
          <w:color w:val="5A5A6B"/>
          <w:spacing w:val="80"/>
          <w:sz w:val="18"/>
          <w:szCs w:val="18"/>
        </w:rPr>
        <w:t xml:space="preserve">SLIDE 07 / 14</w:t>
      </w:r>
    </w:p>
    <w:p>
      <w:pPr>
        <w:spacing w:after="120" w:before="480"/>
      </w:pPr>
      <w:r>
        <w:rPr>
          <w:rFonts w:ascii="Arial" w:cs="Arial" w:eastAsia="Arial" w:hAnsi="Arial"/>
          <w:b/>
          <w:bCs/>
          <w:color w:val="E63946"/>
          <w:spacing w:val="60"/>
          <w:sz w:val="18"/>
          <w:szCs w:val="18"/>
        </w:rPr>
        <w:t xml:space="preserve">THE FRAMEWORK</w:t>
      </w:r>
    </w:p>
    <w:p>
      <w:pPr>
        <w:pStyle w:val="Heading1"/>
        <w:spacing w:after="160" w:before="80"/>
      </w:pPr>
      <w:r>
        <w:rPr>
          <w:rFonts w:ascii="Arial" w:cs="Arial" w:eastAsia="Arial" w:hAnsi="Arial"/>
          <w:b/>
          <w:bCs/>
          <w:color w:val="0A0A12"/>
          <w:sz w:val="40"/>
          <w:szCs w:val="40"/>
        </w:rPr>
        <w:t xml:space="preserve">The social ecosystem at a glance.</w:t>
      </w:r>
    </w:p>
    <w:p>
      <w:pPr>
        <w:spacing w:after="140" w:before="0"/>
      </w:pPr>
      <w:r>
        <w:rPr>
          <w:rFonts w:ascii="Arial" w:cs="Arial" w:eastAsia="Arial" w:hAnsi="Arial"/>
          <w:color w:val="0A0A12"/>
          <w:sz w:val="22"/>
          <w:szCs w:val="22"/>
        </w:rPr>
        <w:t xml:space="preserve">The framework operates as three connected layers. Each layer has a distinct purpose, distinct platforms, and distinct content strategy. Together they form a complete funnel from total strangers to paying super-fans — and each layer feeds the next.</w:t>
      </w:r>
    </w:p>
    <w:p>
      <w:pPr>
        <w:spacing w:after="80" w:before="220"/>
      </w:pPr>
      <w:r>
        <w:rPr>
          <w:rFonts w:ascii="Arial" w:cs="Arial" w:eastAsia="Arial" w:hAnsi="Arial"/>
          <w:b/>
          <w:bCs/>
          <w:color w:val="F1A208"/>
          <w:spacing w:val="40"/>
          <w:sz w:val="22"/>
          <w:szCs w:val="22"/>
        </w:rPr>
        <w:t xml:space="preserve">LAYER 01 · DISCOVERY — TOP OF FUNNEL · REACH</w:t>
      </w:r>
    </w:p>
    <w:p>
      <w:pPr>
        <w:spacing w:after="140" w:before="0"/>
      </w:pPr>
      <w:r>
        <w:rPr>
          <w:rFonts w:ascii="Arial" w:cs="Arial" w:eastAsia="Arial" w:hAnsi="Arial"/>
          <w:color w:val="0A0A12"/>
          <w:sz w:val="22"/>
          <w:szCs w:val="22"/>
        </w:rPr>
        <w:t xml:space="preserve">Platforms: TikTok, Instagram Reels, YouTube Shorts.</w:t>
      </w:r>
    </w:p>
    <w:p>
      <w:pPr>
        <w:spacing w:after="140" w:before="0"/>
      </w:pPr>
      <w:r>
        <w:rPr>
          <w:rFonts w:ascii="Arial" w:cs="Arial" w:eastAsia="Arial" w:hAnsi="Arial"/>
          <w:color w:val="0A0A12"/>
          <w:sz w:val="22"/>
          <w:szCs w:val="22"/>
        </w:rPr>
        <w:t xml:space="preserve">Purpose: Short-form vertical video. Engineered for the algorithm. Built for people who have never heard of LOR. This is where we capture the next million viewers — one 15-second clip at a time. Disposable in feel, durable in compound effect.</w:t>
      </w:r>
    </w:p>
    <w:p>
      <w:pPr>
        <w:spacing w:after="80" w:before="220"/>
      </w:pPr>
      <w:r>
        <w:rPr>
          <w:rFonts w:ascii="Arial" w:cs="Arial" w:eastAsia="Arial" w:hAnsi="Arial"/>
          <w:b/>
          <w:bCs/>
          <w:color w:val="F1A208"/>
          <w:spacing w:val="40"/>
          <w:sz w:val="22"/>
          <w:szCs w:val="22"/>
        </w:rPr>
        <w:t xml:space="preserve">LAYER 02 · DEPTH — MIDDLE OF FUNNEL · RELATIONSHIP</w:t>
      </w:r>
    </w:p>
    <w:p>
      <w:pPr>
        <w:spacing w:after="140" w:before="0"/>
      </w:pPr>
      <w:r>
        <w:rPr>
          <w:rFonts w:ascii="Arial" w:cs="Arial" w:eastAsia="Arial" w:hAnsi="Arial"/>
          <w:color w:val="0A0A12"/>
          <w:sz w:val="22"/>
          <w:szCs w:val="22"/>
        </w:rPr>
        <w:t xml:space="preserve">Platforms: YouTube long-form, Podcast, Livestreams (YouTube Live / Twitch).</w:t>
      </w:r>
    </w:p>
    <w:p>
      <w:pPr>
        <w:spacing w:after="140" w:before="0"/>
      </w:pPr>
      <w:r>
        <w:rPr>
          <w:rFonts w:ascii="Arial" w:cs="Arial" w:eastAsia="Arial" w:hAnsi="Arial"/>
          <w:color w:val="0A0A12"/>
          <w:sz w:val="22"/>
          <w:szCs w:val="22"/>
        </w:rPr>
        <w:t xml:space="preserve">Purpose: Long-form storytelling, performances, BTS, interviews. Where parasocial bonds form. Someone who saw a 30-second clip becomes someone who watched a 20-minute mini-doc — and then someone who subscribes to follow every drop.</w:t>
      </w:r>
    </w:p>
    <w:p>
      <w:pPr>
        <w:spacing w:after="80" w:before="220"/>
      </w:pPr>
      <w:r>
        <w:rPr>
          <w:rFonts w:ascii="Arial" w:cs="Arial" w:eastAsia="Arial" w:hAnsi="Arial"/>
          <w:b/>
          <w:bCs/>
          <w:color w:val="F1A208"/>
          <w:spacing w:val="40"/>
          <w:sz w:val="22"/>
          <w:szCs w:val="22"/>
        </w:rPr>
        <w:t xml:space="preserve">LAYER 03 · OWNED — BOTTOM OF FUNNEL · CONVERSION</w:t>
      </w:r>
    </w:p>
    <w:p>
      <w:pPr>
        <w:spacing w:after="140" w:before="0"/>
      </w:pPr>
      <w:r>
        <w:rPr>
          <w:rFonts w:ascii="Arial" w:cs="Arial" w:eastAsia="Arial" w:hAnsi="Arial"/>
          <w:color w:val="0A0A12"/>
          <w:sz w:val="22"/>
          <w:szCs w:val="22"/>
        </w:rPr>
        <w:t xml:space="preserve">Platforms: Newsletter (Beehiiv), Discord community, Membership program.</w:t>
      </w:r>
    </w:p>
    <w:p>
      <w:pPr>
        <w:spacing w:after="140" w:before="0"/>
      </w:pPr>
      <w:r>
        <w:rPr>
          <w:rFonts w:ascii="Arial" w:cs="Arial" w:eastAsia="Arial" w:hAnsi="Arial"/>
          <w:color w:val="0A0A12"/>
          <w:sz w:val="22"/>
          <w:szCs w:val="22"/>
        </w:rPr>
        <w:t xml:space="preserve">Purpose: Audiences we own. Algorithm-proof. The asset that monetizes and de-risks the whole business. If TikTok dies tomorrow, the email list and Discord remain. This is the layer that turns attention into a long-term company asset.</w:t>
      </w:r>
    </w:p>
    <w:p>
      <w:pPr>
        <w:spacing w:after="140" w:before="200"/>
      </w:pPr>
      <w:r>
        <w:rPr>
          <w:rFonts w:ascii="Arial" w:cs="Arial" w:eastAsia="Arial" w:hAnsi="Arial"/>
          <w:color w:val="0A0A12"/>
          <w:sz w:val="22"/>
          <w:szCs w:val="22"/>
        </w:rPr>
        <w:t xml:space="preserve">All three layers feed the monetization engine — and the monetization engine feeds back into the show through audience data, sponsor relationships, and talent discovery. The loop closes.</w:t>
      </w:r>
    </w:p>
    <w:p>
      <w:pPr>
        <w:pBdr>
          <w:left w:val="single" w:color="F1A208" w:sz="12" w:space="12"/>
        </w:pBdr>
        <w:spacing w:after="120" w:before="120"/>
        <w:ind w:left="200"/>
      </w:pPr>
      <w:r>
        <w:rPr>
          <w:rFonts w:ascii="Arial" w:cs="Arial" w:eastAsia="Arial" w:hAnsi="Arial"/>
          <w:b/>
          <w:bCs/>
          <w:color w:val="F1A208"/>
          <w:spacing w:val="40"/>
          <w:sz w:val="18"/>
          <w:szCs w:val="18"/>
        </w:rPr>
        <w:t xml:space="preserve">VISUAL NOTE: </w:t>
      </w:r>
      <w:r>
        <w:rPr>
          <w:rFonts w:ascii="Arial" w:cs="Arial" w:eastAsia="Arial" w:hAnsi="Arial"/>
          <w:i/>
          <w:iCs/>
          <w:color w:val="5A5A6B"/>
          <w:sz w:val="20"/>
          <w:szCs w:val="20"/>
        </w:rPr>
        <w:t xml:space="preserve">Visual: Three large vertical columns, side by side. Each column has a layer name in bold caps at top with a colored accent (red, amber, white), then the platform icons, then the description. Below the three columns: a single horizontal flow arrow with the text 'All three feed the monetization layer — and back into the show.'</w:t>
      </w:r>
    </w:p>
    <w:p>
      <w:pPr>
        <w:pBdr>
          <w:top w:val="single" w:color="E63946" w:sz="12" w:space="6"/>
        </w:pBdr>
        <w:spacing w:after="60" w:before="600"/>
      </w:pPr>
      <w:r>
        <w:rPr>
          <w:rFonts w:ascii="Arial" w:cs="Arial" w:eastAsia="Arial" w:hAnsi="Arial"/>
          <w:b/>
          <w:bCs/>
          <w:color w:val="5A5A6B"/>
          <w:spacing w:val="80"/>
          <w:sz w:val="18"/>
          <w:szCs w:val="18"/>
        </w:rPr>
        <w:t xml:space="preserve">SLIDE 08 / 14</w:t>
      </w:r>
    </w:p>
    <w:p>
      <w:pPr>
        <w:spacing w:after="120" w:before="480"/>
      </w:pPr>
      <w:r>
        <w:rPr>
          <w:rFonts w:ascii="Arial" w:cs="Arial" w:eastAsia="Arial" w:hAnsi="Arial"/>
          <w:b/>
          <w:bCs/>
          <w:color w:val="E63946"/>
          <w:spacing w:val="60"/>
          <w:sz w:val="18"/>
          <w:szCs w:val="18"/>
        </w:rPr>
        <w:t xml:space="preserve">INSIDE THE FRAMEWORK</w:t>
      </w:r>
    </w:p>
    <w:p>
      <w:pPr>
        <w:pStyle w:val="Heading1"/>
        <w:spacing w:after="160" w:before="80"/>
      </w:pPr>
      <w:r>
        <w:rPr>
          <w:rFonts w:ascii="Arial" w:cs="Arial" w:eastAsia="Arial" w:hAnsi="Arial"/>
          <w:b/>
          <w:bCs/>
          <w:color w:val="0A0A12"/>
          <w:sz w:val="40"/>
          <w:szCs w:val="40"/>
        </w:rPr>
        <w:t xml:space="preserve">Six content pillars. Endless permutations.</w:t>
      </w:r>
    </w:p>
    <w:p>
      <w:pPr>
        <w:spacing w:after="140" w:before="0"/>
      </w:pPr>
      <w:r>
        <w:rPr>
          <w:rFonts w:ascii="Arial" w:cs="Arial" w:eastAsia="Arial" w:hAnsi="Arial"/>
          <w:color w:val="0A0A12"/>
          <w:sz w:val="22"/>
          <w:szCs w:val="22"/>
        </w:rPr>
        <w:t xml:space="preserve">Every piece of content we produce falls into one of six pillars. The pillars are the repeatable formats; the permutations are the specific clips, episodes, interviews, and posts that fill them. By committing to a defined set of pillars, the production team can move fast — and the audience knows what to expect from us.</w:t>
      </w:r>
    </w:p>
    <w:p>
      <w:pPr>
        <w:spacing w:after="80" w:before="220"/>
      </w:pPr>
      <w:r>
        <w:rPr>
          <w:rFonts w:ascii="Arial" w:cs="Arial" w:eastAsia="Arial" w:hAnsi="Arial"/>
          <w:b/>
          <w:bCs/>
          <w:color w:val="F1A208"/>
          <w:spacing w:val="40"/>
          <w:sz w:val="22"/>
          <w:szCs w:val="22"/>
        </w:rPr>
        <w:t xml:space="preserve">01 · BEHIND THE SCENES</w:t>
      </w:r>
    </w:p>
    <w:p>
      <w:pPr>
        <w:spacing w:after="140" w:before="0"/>
      </w:pPr>
      <w:r>
        <w:rPr>
          <w:rFonts w:ascii="Arial" w:cs="Arial" w:eastAsia="Arial" w:hAnsi="Arial"/>
          <w:color w:val="0A0A12"/>
          <w:sz w:val="22"/>
          <w:szCs w:val="22"/>
        </w:rPr>
        <w:t xml:space="preserve">Cinematic behind-the-scenes content shot with feature-film production value. The band rehearsal room. The coach's pep talk before a show. The argument over song choice. The moment a basement musician realizes they can actually do this. Most reality shows have phone-quality BTS. Ours will look like A24.</w:t>
      </w:r>
    </w:p>
    <w:p>
      <w:pPr>
        <w:spacing w:after="80" w:before="220"/>
      </w:pPr>
      <w:r>
        <w:rPr>
          <w:rFonts w:ascii="Arial" w:cs="Arial" w:eastAsia="Arial" w:hAnsi="Arial"/>
          <w:b/>
          <w:bCs/>
          <w:color w:val="F1A208"/>
          <w:spacing w:val="40"/>
          <w:sz w:val="22"/>
          <w:szCs w:val="22"/>
        </w:rPr>
        <w:t xml:space="preserve">02 · OUTTAKES FROM THE SHOW</w:t>
      </w:r>
    </w:p>
    <w:p>
      <w:pPr>
        <w:spacing w:after="140" w:before="0"/>
      </w:pPr>
      <w:r>
        <w:rPr>
          <w:rFonts w:ascii="Arial" w:cs="Arial" w:eastAsia="Arial" w:hAnsi="Arial"/>
          <w:color w:val="0A0A12"/>
          <w:sz w:val="22"/>
          <w:szCs w:val="22"/>
        </w:rPr>
        <w:t xml:space="preserve">The shareable, viral-by-design moments that didn't quite fit the broadcast cut. Quick hits. Surprise reactions. The line nobody expected. Outtakes have a different psychology than the show itself — they feel like an inside joke shared between the audience and the production, which deepens the bond.</w:t>
      </w:r>
    </w:p>
    <w:p>
      <w:pPr>
        <w:spacing w:after="80" w:before="220"/>
      </w:pPr>
      <w:r>
        <w:rPr>
          <w:rFonts w:ascii="Arial" w:cs="Arial" w:eastAsia="Arial" w:hAnsi="Arial"/>
          <w:b/>
          <w:bCs/>
          <w:color w:val="F1A208"/>
          <w:spacing w:val="40"/>
          <w:sz w:val="22"/>
          <w:szCs w:val="22"/>
        </w:rPr>
        <w:t xml:space="preserve">03 · INTERVIEWS</w:t>
      </w:r>
    </w:p>
    <w:p>
      <w:pPr>
        <w:spacing w:after="140" w:before="0"/>
      </w:pPr>
      <w:r>
        <w:rPr>
          <w:rFonts w:ascii="Arial" w:cs="Arial" w:eastAsia="Arial" w:hAnsi="Arial"/>
          <w:color w:val="0A0A12"/>
          <w:sz w:val="22"/>
          <w:szCs w:val="22"/>
        </w:rPr>
        <w:t xml:space="preserve">Long-form sit-down interviews with coaches, contestants, and guest artists. Masterclass-style breakdowns. Stories from 40 years of rock history. The 'how I really got here' conversations. These build parasocial depth and become evergreen content — searchable, sharable, returnable to long after a season ends.</w:t>
      </w:r>
    </w:p>
    <w:p>
      <w:pPr>
        <w:spacing w:after="80" w:before="220"/>
      </w:pPr>
      <w:r>
        <w:rPr>
          <w:rFonts w:ascii="Arial" w:cs="Arial" w:eastAsia="Arial" w:hAnsi="Arial"/>
          <w:b/>
          <w:bCs/>
          <w:color w:val="F1A208"/>
          <w:spacing w:val="40"/>
          <w:sz w:val="22"/>
          <w:szCs w:val="22"/>
        </w:rPr>
        <w:t xml:space="preserve">04 · BACKSTORIES FROM THE CONTESTANTS</w:t>
      </w:r>
    </w:p>
    <w:p>
      <w:pPr>
        <w:spacing w:after="140" w:before="0"/>
      </w:pPr>
      <w:r>
        <w:rPr>
          <w:rFonts w:ascii="Arial" w:cs="Arial" w:eastAsia="Arial" w:hAnsi="Arial"/>
          <w:color w:val="0A0A12"/>
          <w:sz w:val="22"/>
          <w:szCs w:val="22"/>
        </w:rPr>
        <w:t xml:space="preserve">The emotional engine of the entire ecosystem. Mini-documentaries on each band member: the Reluctant Rocker, the Shy Singer, the Basement Musician. The 'why I never did this' becomes the show's emotional core online — often more important than the performances themselves in driving fan investment.</w:t>
      </w:r>
    </w:p>
    <w:p>
      <w:pPr>
        <w:spacing w:after="80" w:before="220"/>
      </w:pPr>
      <w:r>
        <w:rPr>
          <w:rFonts w:ascii="Arial" w:cs="Arial" w:eastAsia="Arial" w:hAnsi="Arial"/>
          <w:b/>
          <w:bCs/>
          <w:color w:val="F1A208"/>
          <w:spacing w:val="40"/>
          <w:sz w:val="22"/>
          <w:szCs w:val="22"/>
        </w:rPr>
        <w:t xml:space="preserve">05 · FULL PERFORMANCES FROM THE MUSICIANS ON THE SHOW</w:t>
      </w:r>
    </w:p>
    <w:p>
      <w:pPr>
        <w:spacing w:after="140" w:before="0"/>
      </w:pPr>
      <w:r>
        <w:rPr>
          <w:rFonts w:ascii="Arial" w:cs="Arial" w:eastAsia="Arial" w:hAnsi="Arial"/>
          <w:color w:val="0A0A12"/>
          <w:sz w:val="22"/>
          <w:szCs w:val="22"/>
        </w:rPr>
        <w:t xml:space="preserve">Every band's full live set. Every coach's session. The unreleased rehearsal-room take. The acoustic version of the season's anthem. Music performances are the most universally shareable content format that exists — language-agnostic, emotion-driven, infinitely re-postable. This is the Tiny Desk / COLORS playbook, applied to League of Rock.</w:t>
      </w:r>
    </w:p>
    <w:p>
      <w:pPr>
        <w:spacing w:after="80" w:before="220"/>
      </w:pPr>
      <w:r>
        <w:rPr>
          <w:rFonts w:ascii="Arial" w:cs="Arial" w:eastAsia="Arial" w:hAnsi="Arial"/>
          <w:b/>
          <w:bCs/>
          <w:color w:val="F1A208"/>
          <w:spacing w:val="40"/>
          <w:sz w:val="22"/>
          <w:szCs w:val="22"/>
        </w:rPr>
        <w:t xml:space="preserve">06 · FUNNY MOMENTS</w:t>
      </w:r>
    </w:p>
    <w:p>
      <w:pPr>
        <w:spacing w:after="140" w:before="0"/>
      </w:pPr>
      <w:r>
        <w:rPr>
          <w:rFonts w:ascii="Arial" w:cs="Arial" w:eastAsia="Arial" w:hAnsi="Arial"/>
          <w:color w:val="0A0A12"/>
          <w:sz w:val="22"/>
          <w:szCs w:val="22"/>
        </w:rPr>
        <w:t xml:space="preserve">The clippable, repeatable, share-worthy comedic beats. What gets screenshot. What becomes the meme. Humor is the highest-velocity content category on every platform — and band dynamics produce comedy gold organically. We don't have to manufacture it. We just have to catch it.</w:t>
      </w:r>
    </w:p>
    <w:p>
      <w:pPr>
        <w:pBdr>
          <w:left w:val="single" w:color="F1A208" w:sz="12" w:space="12"/>
        </w:pBdr>
        <w:spacing w:after="120" w:before="120"/>
        <w:ind w:left="200"/>
      </w:pPr>
      <w:r>
        <w:rPr>
          <w:rFonts w:ascii="Arial" w:cs="Arial" w:eastAsia="Arial" w:hAnsi="Arial"/>
          <w:b/>
          <w:bCs/>
          <w:color w:val="F1A208"/>
          <w:spacing w:val="40"/>
          <w:sz w:val="18"/>
          <w:szCs w:val="18"/>
        </w:rPr>
        <w:t xml:space="preserve">VISUAL NOTE: </w:t>
      </w:r>
      <w:r>
        <w:rPr>
          <w:rFonts w:ascii="Arial" w:cs="Arial" w:eastAsia="Arial" w:hAnsi="Arial"/>
          <w:i/>
          <w:iCs/>
          <w:color w:val="5A5A6B"/>
          <w:sz w:val="20"/>
          <w:szCs w:val="20"/>
        </w:rPr>
        <w:t xml:space="preserve">Visual: 3x2 grid of pillar cards. Each card with a numbered header, an icon (record/film/heart/mic/star/laugh), and the body description. Use the amber accent for icons. This is the 'what's inside' slide — partners need to clearly see all six pillars.</w:t>
      </w:r>
    </w:p>
    <w:p>
      <w:pPr>
        <w:pBdr>
          <w:top w:val="single" w:color="E63946" w:sz="12" w:space="6"/>
        </w:pBdr>
        <w:spacing w:after="60" w:before="600"/>
      </w:pPr>
      <w:r>
        <w:rPr>
          <w:rFonts w:ascii="Arial" w:cs="Arial" w:eastAsia="Arial" w:hAnsi="Arial"/>
          <w:b/>
          <w:bCs/>
          <w:color w:val="5A5A6B"/>
          <w:spacing w:val="80"/>
          <w:sz w:val="18"/>
          <w:szCs w:val="18"/>
        </w:rPr>
        <w:t xml:space="preserve">SLIDE 09 / 14</w:t>
      </w:r>
    </w:p>
    <w:p>
      <w:pPr>
        <w:spacing w:after="120" w:before="480"/>
      </w:pPr>
      <w:r>
        <w:rPr>
          <w:rFonts w:ascii="Arial" w:cs="Arial" w:eastAsia="Arial" w:hAnsi="Arial"/>
          <w:b/>
          <w:bCs/>
          <w:color w:val="E63946"/>
          <w:spacing w:val="60"/>
          <w:sz w:val="18"/>
          <w:szCs w:val="18"/>
        </w:rPr>
        <w:t xml:space="preserve">THE FUNNEL</w:t>
      </w:r>
    </w:p>
    <w:p>
      <w:pPr>
        <w:pStyle w:val="Heading1"/>
        <w:spacing w:after="160" w:before="80"/>
      </w:pPr>
      <w:r>
        <w:rPr>
          <w:rFonts w:ascii="Arial" w:cs="Arial" w:eastAsia="Arial" w:hAnsi="Arial"/>
          <w:b/>
          <w:bCs/>
          <w:color w:val="0A0A12"/>
          <w:sz w:val="40"/>
          <w:szCs w:val="40"/>
        </w:rPr>
        <w:t xml:space="preserve">How strangers become super-fans.</w:t>
      </w:r>
    </w:p>
    <w:p>
      <w:pPr>
        <w:spacing w:after="140" w:before="0"/>
      </w:pPr>
      <w:r>
        <w:rPr>
          <w:rFonts w:ascii="Arial" w:cs="Arial" w:eastAsia="Arial" w:hAnsi="Arial"/>
          <w:color w:val="0A0A12"/>
          <w:sz w:val="22"/>
          <w:szCs w:val="22"/>
        </w:rPr>
        <w:t xml:space="preserve">Every short-form view feeds long-form. Every long-form view feeds email. Every subscriber feeds community. Every community member feeds revenue. Each stage compounds — and our existing alumni base seeds the bottom of the funnel from day one.</w:t>
      </w:r>
    </w:p>
    <w:p>
      <w:pPr>
        <w:spacing w:after="80" w:before="220"/>
      </w:pPr>
      <w:r>
        <w:rPr>
          <w:rFonts w:ascii="Arial" w:cs="Arial" w:eastAsia="Arial" w:hAnsi="Arial"/>
          <w:b/>
          <w:bCs/>
          <w:color w:val="F1A208"/>
          <w:spacing w:val="40"/>
          <w:sz w:val="22"/>
          <w:szCs w:val="22"/>
        </w:rPr>
        <w:t xml:space="preserve">THE SIX STAGES</w:t>
      </w:r>
    </w:p>
    <w:p>
      <w:pPr>
        <w:pStyle w:val="ListParagraph"/>
        <w:numPr>
          <w:ilvl w:val="0"/>
          <w:numId w:val="2"/>
        </w:numPr>
        <w:spacing w:after="60" w:before="0"/>
      </w:pPr>
      <w:r>
        <w:rPr>
          <w:rFonts w:ascii="Arial" w:cs="Arial" w:eastAsia="Arial" w:hAnsi="Arial"/>
          <w:b/>
          <w:bCs/>
          <w:color w:val="5A5A6B"/>
          <w:sz w:val="22"/>
          <w:szCs w:val="22"/>
        </w:rPr>
        <w:t xml:space="preserve">01  STRANGER  </w:t>
      </w:r>
      <w:r>
        <w:rPr>
          <w:rFonts w:ascii="Arial" w:cs="Arial" w:eastAsia="Arial" w:hAnsi="Arial"/>
          <w:color w:val="0A0A12"/>
          <w:sz w:val="22"/>
          <w:szCs w:val="22"/>
        </w:rPr>
        <w:t xml:space="preserve">Sees a clip. The first 1.5 seconds decide everything.</w:t>
      </w:r>
    </w:p>
    <w:p>
      <w:pPr>
        <w:pStyle w:val="ListParagraph"/>
        <w:numPr>
          <w:ilvl w:val="0"/>
          <w:numId w:val="2"/>
        </w:numPr>
        <w:spacing w:after="60" w:before="0"/>
      </w:pPr>
      <w:r>
        <w:rPr>
          <w:rFonts w:ascii="Arial" w:cs="Arial" w:eastAsia="Arial" w:hAnsi="Arial"/>
          <w:b/>
          <w:bCs/>
          <w:color w:val="5A5A6B"/>
          <w:sz w:val="22"/>
          <w:szCs w:val="22"/>
        </w:rPr>
        <w:t xml:space="preserve">02  FOLLOWER  </w:t>
      </w:r>
      <w:r>
        <w:rPr>
          <w:rFonts w:ascii="Arial" w:cs="Arial" w:eastAsia="Arial" w:hAnsi="Arial"/>
          <w:color w:val="0A0A12"/>
          <w:sz w:val="22"/>
          <w:szCs w:val="22"/>
        </w:rPr>
        <w:t xml:space="preserve">Hits follow. We have a chance to reach them again — algorithm permitting.</w:t>
      </w:r>
    </w:p>
    <w:p>
      <w:pPr>
        <w:pStyle w:val="ListParagraph"/>
        <w:numPr>
          <w:ilvl w:val="0"/>
          <w:numId w:val="2"/>
        </w:numPr>
        <w:spacing w:after="60" w:before="0"/>
      </w:pPr>
      <w:r>
        <w:rPr>
          <w:rFonts w:ascii="Arial" w:cs="Arial" w:eastAsia="Arial" w:hAnsi="Arial"/>
          <w:b/>
          <w:bCs/>
          <w:color w:val="F1A208"/>
          <w:sz w:val="22"/>
          <w:szCs w:val="22"/>
        </w:rPr>
        <w:t xml:space="preserve">03  VIEWER  </w:t>
      </w:r>
      <w:r>
        <w:rPr>
          <w:rFonts w:ascii="Arial" w:cs="Arial" w:eastAsia="Arial" w:hAnsi="Arial"/>
          <w:color w:val="0A0A12"/>
          <w:sz w:val="22"/>
          <w:szCs w:val="22"/>
        </w:rPr>
        <w:t xml:space="preserve">Watches long-form. Now they know the people, the show, the world.</w:t>
      </w:r>
    </w:p>
    <w:p>
      <w:pPr>
        <w:pStyle w:val="ListParagraph"/>
        <w:numPr>
          <w:ilvl w:val="0"/>
          <w:numId w:val="2"/>
        </w:numPr>
        <w:spacing w:after="60" w:before="0"/>
      </w:pPr>
      <w:r>
        <w:rPr>
          <w:rFonts w:ascii="Arial" w:cs="Arial" w:eastAsia="Arial" w:hAnsi="Arial"/>
          <w:b/>
          <w:bCs/>
          <w:color w:val="F1A208"/>
          <w:sz w:val="22"/>
          <w:szCs w:val="22"/>
        </w:rPr>
        <w:t xml:space="preserve">04  SUBSCRIBER  </w:t>
      </w:r>
      <w:r>
        <w:rPr>
          <w:rFonts w:ascii="Arial" w:cs="Arial" w:eastAsia="Arial" w:hAnsi="Arial"/>
          <w:color w:val="0A0A12"/>
          <w:sz w:val="22"/>
          <w:szCs w:val="22"/>
        </w:rPr>
        <w:t xml:space="preserve">Joins email list. We own this relationship outright. No algorithm in between.</w:t>
      </w:r>
    </w:p>
    <w:p>
      <w:pPr>
        <w:pStyle w:val="ListParagraph"/>
        <w:numPr>
          <w:ilvl w:val="0"/>
          <w:numId w:val="2"/>
        </w:numPr>
        <w:spacing w:after="60" w:before="0"/>
      </w:pPr>
      <w:r>
        <w:rPr>
          <w:rFonts w:ascii="Arial" w:cs="Arial" w:eastAsia="Arial" w:hAnsi="Arial"/>
          <w:b/>
          <w:bCs/>
          <w:color w:val="E63946"/>
          <w:sz w:val="22"/>
          <w:szCs w:val="22"/>
        </w:rPr>
        <w:t xml:space="preserve">05  MEMBER  </w:t>
      </w:r>
      <w:r>
        <w:rPr>
          <w:rFonts w:ascii="Arial" w:cs="Arial" w:eastAsia="Arial" w:hAnsi="Arial"/>
          <w:color w:val="0A0A12"/>
          <w:sz w:val="22"/>
          <w:szCs w:val="22"/>
        </w:rPr>
        <w:t xml:space="preserve">Joins community (Discord). Now they're talking to other fans — the bond deepens.</w:t>
      </w:r>
    </w:p>
    <w:p>
      <w:pPr>
        <w:pStyle w:val="ListParagraph"/>
        <w:numPr>
          <w:ilvl w:val="0"/>
          <w:numId w:val="2"/>
        </w:numPr>
        <w:spacing w:after="60" w:before="0"/>
      </w:pPr>
      <w:r>
        <w:rPr>
          <w:rFonts w:ascii="Arial" w:cs="Arial" w:eastAsia="Arial" w:hAnsi="Arial"/>
          <w:b/>
          <w:bCs/>
          <w:color w:val="E63946"/>
          <w:sz w:val="22"/>
          <w:szCs w:val="22"/>
        </w:rPr>
        <w:t xml:space="preserve">06  SUPER-FAN  </w:t>
      </w:r>
      <w:r>
        <w:rPr>
          <w:rFonts w:ascii="Arial" w:cs="Arial" w:eastAsia="Arial" w:hAnsi="Arial"/>
          <w:color w:val="0A0A12"/>
          <w:sz w:val="22"/>
          <w:szCs w:val="22"/>
        </w:rPr>
        <w:t xml:space="preserve">Pays for membership. Buys merch. Attends live events. Brings the next stranger in.</w:t>
      </w:r>
    </w:p>
    <w:p>
      <w:pPr>
        <w:spacing w:after="80" w:before="220"/>
      </w:pPr>
      <w:r>
        <w:rPr>
          <w:rFonts w:ascii="Arial" w:cs="Arial" w:eastAsia="Arial" w:hAnsi="Arial"/>
          <w:b/>
          <w:bCs/>
          <w:color w:val="F1A208"/>
          <w:spacing w:val="40"/>
          <w:sz w:val="22"/>
          <w:szCs w:val="22"/>
        </w:rPr>
        <w:t xml:space="preserve">INDUSTRY BENCHMARKS</w:t>
      </w:r>
    </w:p>
    <w:p>
      <w:pPr>
        <w:spacing w:after="140" w:before="0"/>
      </w:pPr>
      <w:r>
        <w:rPr>
          <w:rFonts w:ascii="Arial" w:cs="Arial" w:eastAsia="Arial" w:hAnsi="Arial"/>
          <w:i/>
          <w:iCs/>
          <w:color w:val="5A5A6B"/>
          <w:sz w:val="20"/>
          <w:szCs w:val="20"/>
        </w:rPr>
        <w:t xml:space="preserve">Free-to-paid conversion in engaged communities: 4–8%. Email open rates for engaged audiences: 30–43% (Beehiiv State of Newsletters, 2026). These are the metrics that prove the funnel is working — and they're directly comparable to category-defining creator businesses.</w:t>
      </w:r>
    </w:p>
    <w:p>
      <w:pPr>
        <w:pBdr>
          <w:left w:val="single" w:color="F1A208" w:sz="12" w:space="12"/>
        </w:pBdr>
        <w:spacing w:after="120" w:before="120"/>
        <w:ind w:left="200"/>
      </w:pPr>
      <w:r>
        <w:rPr>
          <w:rFonts w:ascii="Arial" w:cs="Arial" w:eastAsia="Arial" w:hAnsi="Arial"/>
          <w:b/>
          <w:bCs/>
          <w:color w:val="F1A208"/>
          <w:spacing w:val="40"/>
          <w:sz w:val="18"/>
          <w:szCs w:val="18"/>
        </w:rPr>
        <w:t xml:space="preserve">VISUAL NOTE: </w:t>
      </w:r>
      <w:r>
        <w:rPr>
          <w:rFonts w:ascii="Arial" w:cs="Arial" w:eastAsia="Arial" w:hAnsi="Arial"/>
          <w:i/>
          <w:iCs/>
          <w:color w:val="5A5A6B"/>
          <w:sz w:val="20"/>
          <w:szCs w:val="20"/>
        </w:rPr>
        <w:t xml:space="preserve">Visual: 6 horizontal cards in a row, like a sideways funnel. Each card grows slightly more saturated as you move right (gray → amber → red). Arrows between cards pointing right. The footer carries the industry benchmark stats.</w:t>
      </w:r>
    </w:p>
    <w:p>
      <w:pPr>
        <w:pBdr>
          <w:top w:val="single" w:color="E63946" w:sz="12" w:space="6"/>
        </w:pBdr>
        <w:spacing w:after="60" w:before="600"/>
      </w:pPr>
      <w:r>
        <w:rPr>
          <w:rFonts w:ascii="Arial" w:cs="Arial" w:eastAsia="Arial" w:hAnsi="Arial"/>
          <w:b/>
          <w:bCs/>
          <w:color w:val="5A5A6B"/>
          <w:spacing w:val="80"/>
          <w:sz w:val="18"/>
          <w:szCs w:val="18"/>
        </w:rPr>
        <w:t xml:space="preserve">SLIDE 10 / 14</w:t>
      </w:r>
    </w:p>
    <w:p>
      <w:pPr>
        <w:spacing w:after="120" w:before="480"/>
      </w:pPr>
      <w:r>
        <w:rPr>
          <w:rFonts w:ascii="Arial" w:cs="Arial" w:eastAsia="Arial" w:hAnsi="Arial"/>
          <w:b/>
          <w:bCs/>
          <w:color w:val="E63946"/>
          <w:spacing w:val="60"/>
          <w:sz w:val="18"/>
          <w:szCs w:val="18"/>
        </w:rPr>
        <w:t xml:space="preserve">THE MULTIPLIERS</w:t>
      </w:r>
    </w:p>
    <w:p>
      <w:pPr>
        <w:pStyle w:val="Heading1"/>
        <w:spacing w:after="160" w:before="80"/>
      </w:pPr>
      <w:r>
        <w:rPr>
          <w:rFonts w:ascii="Arial" w:cs="Arial" w:eastAsia="Arial" w:hAnsi="Arial"/>
          <w:b/>
          <w:bCs/>
          <w:color w:val="0A0A12"/>
          <w:sz w:val="40"/>
          <w:szCs w:val="40"/>
        </w:rPr>
        <w:t xml:space="preserve">Two engines most shows don't have. We have both.</w:t>
      </w:r>
    </w:p>
    <w:p>
      <w:pPr>
        <w:spacing w:after="140" w:before="0"/>
      </w:pPr>
      <w:r>
        <w:rPr>
          <w:rFonts w:ascii="Arial" w:cs="Arial" w:eastAsia="Arial" w:hAnsi="Arial"/>
          <w:color w:val="0A0A12"/>
          <w:sz w:val="22"/>
          <w:szCs w:val="22"/>
        </w:rPr>
        <w:t xml:space="preserve">Built into the structure of League of Rock are two value-multiplying engines that compound the social ecosystem's economics far beyond what a typical TV-companion social presence achieves.</w:t>
      </w:r>
    </w:p>
    <w:p>
      <w:pPr>
        <w:spacing w:after="80" w:before="220"/>
      </w:pPr>
      <w:r>
        <w:rPr>
          <w:rFonts w:ascii="Arial" w:cs="Arial" w:eastAsia="Arial" w:hAnsi="Arial"/>
          <w:b/>
          <w:bCs/>
          <w:color w:val="F1A208"/>
          <w:spacing w:val="40"/>
          <w:sz w:val="22"/>
          <w:szCs w:val="22"/>
        </w:rPr>
        <w:t xml:space="preserve">ENGINE 01 · THE SUB-IP MULTIPLIER</w:t>
      </w:r>
    </w:p>
    <w:p>
      <w:pPr>
        <w:spacing w:after="140" w:before="0"/>
      </w:pPr>
      <w:r>
        <w:rPr>
          <w:rFonts w:ascii="Arial" w:cs="Arial" w:eastAsia="Arial" w:hAnsi="Arial"/>
          <w:color w:val="0A0A12"/>
          <w:sz w:val="22"/>
          <w:szCs w:val="22"/>
        </w:rPr>
        <w:t xml:space="preserve">Every person on screen is a sub-channel.</w:t>
      </w:r>
    </w:p>
    <w:p>
      <w:pPr>
        <w:spacing w:after="140" w:before="0"/>
      </w:pPr>
      <w:r>
        <w:rPr>
          <w:rFonts w:ascii="Arial" w:cs="Arial" w:eastAsia="Arial" w:hAnsi="Arial"/>
          <w:color w:val="0A0A12"/>
          <w:sz w:val="22"/>
          <w:szCs w:val="22"/>
        </w:rPr>
        <w:t xml:space="preserve">Stat to remember: +4,700% — the increase in daily US streams for a single artist within one week of a Tiny Desk slot. Today, that value goes entirely uncaptured by the platform that created the moment. League of Rock is designed to capture it.</w:t>
      </w:r>
    </w:p>
    <w:p>
      <w:pPr>
        <w:pStyle w:val="ListParagraph"/>
        <w:numPr>
          <w:ilvl w:val="0"/>
          <w:numId w:val="2"/>
        </w:numPr>
        <w:spacing w:after="60" w:before="0"/>
      </w:pPr>
      <w:r>
        <w:rPr>
          <w:rFonts w:ascii="Arial" w:cs="Arial" w:eastAsia="Arial" w:hAnsi="Arial"/>
          <w:b/>
          <w:bCs/>
          <w:color w:val="F1A208"/>
          <w:sz w:val="22"/>
          <w:szCs w:val="22"/>
        </w:rPr>
        <w:t xml:space="preserve">CONTESTANTS  </w:t>
      </w:r>
      <w:r>
        <w:rPr>
          <w:rFonts w:ascii="Arial" w:cs="Arial" w:eastAsia="Arial" w:hAnsi="Arial"/>
          <w:color w:val="0A0A12"/>
          <w:sz w:val="22"/>
          <w:szCs w:val="22"/>
        </w:rPr>
        <w:t xml:space="preserve">→ owned artists. Right of first refusal on releases. Seed of a future LOR Records.</w:t>
      </w:r>
    </w:p>
    <w:p>
      <w:pPr>
        <w:pStyle w:val="ListParagraph"/>
        <w:numPr>
          <w:ilvl w:val="0"/>
          <w:numId w:val="2"/>
        </w:numPr>
        <w:spacing w:after="60" w:before="0"/>
      </w:pPr>
      <w:r>
        <w:rPr>
          <w:rFonts w:ascii="Arial" w:cs="Arial" w:eastAsia="Arial" w:hAnsi="Arial"/>
          <w:b/>
          <w:bCs/>
          <w:color w:val="F1A208"/>
          <w:sz w:val="22"/>
          <w:szCs w:val="22"/>
        </w:rPr>
        <w:t xml:space="preserve">COACHES  </w:t>
      </w:r>
      <w:r>
        <w:rPr>
          <w:rFonts w:ascii="Arial" w:cs="Arial" w:eastAsia="Arial" w:hAnsi="Arial"/>
          <w:color w:val="0A0A12"/>
          <w:sz w:val="22"/>
          <w:szCs w:val="22"/>
        </w:rPr>
        <w:t xml:space="preserve">→ distribution. Each coach gets a #TeamX content track. Their audiences become ours.</w:t>
      </w:r>
    </w:p>
    <w:p>
      <w:pPr>
        <w:pStyle w:val="ListParagraph"/>
        <w:numPr>
          <w:ilvl w:val="0"/>
          <w:numId w:val="2"/>
        </w:numPr>
        <w:spacing w:after="60" w:before="0"/>
      </w:pPr>
      <w:r>
        <w:rPr>
          <w:rFonts w:ascii="Arial" w:cs="Arial" w:eastAsia="Arial" w:hAnsi="Arial"/>
          <w:b/>
          <w:bCs/>
          <w:color w:val="F1A208"/>
          <w:sz w:val="22"/>
          <w:szCs w:val="22"/>
        </w:rPr>
        <w:t xml:space="preserve">FORMATS  </w:t>
      </w:r>
      <w:r>
        <w:rPr>
          <w:rFonts w:ascii="Arial" w:cs="Arial" w:eastAsia="Arial" w:hAnsi="Arial"/>
          <w:color w:val="0A0A12"/>
          <w:sz w:val="22"/>
          <w:szCs w:val="22"/>
        </w:rPr>
        <w:t xml:space="preserve">→ multiple IPs. LOR Sessions, Unplugged, Anywhere, Live — each compounds the brand and survives any one platform's choices.</w:t>
      </w:r>
    </w:p>
    <w:p>
      <w:pPr>
        <w:spacing w:after="80" w:before="220"/>
      </w:pPr>
      <w:r>
        <w:rPr>
          <w:rFonts w:ascii="Arial" w:cs="Arial" w:eastAsia="Arial" w:hAnsi="Arial"/>
          <w:b/>
          <w:bCs/>
          <w:color w:val="F1A208"/>
          <w:spacing w:val="40"/>
          <w:sz w:val="22"/>
          <w:szCs w:val="22"/>
        </w:rPr>
        <w:t xml:space="preserve">ENGINE 02 · STRUCTURAL SPONSORSHIP</w:t>
      </w:r>
    </w:p>
    <w:p>
      <w:pPr>
        <w:spacing w:after="140" w:before="0"/>
      </w:pPr>
      <w:r>
        <w:rPr>
          <w:rFonts w:ascii="Arial" w:cs="Arial" w:eastAsia="Arial" w:hAnsi="Arial"/>
          <w:color w:val="0A0A12"/>
          <w:sz w:val="22"/>
          <w:szCs w:val="22"/>
        </w:rPr>
        <w:t xml:space="preserve">Monetization isn't bolted on. It's the format.</w:t>
      </w:r>
    </w:p>
    <w:p>
      <w:pPr>
        <w:spacing w:after="140" w:before="0"/>
      </w:pPr>
      <w:r>
        <w:rPr>
          <w:rFonts w:ascii="Arial" w:cs="Arial" w:eastAsia="Arial" w:hAnsi="Arial"/>
          <w:color w:val="0A0A12"/>
          <w:sz w:val="22"/>
          <w:szCs w:val="22"/>
        </w:rPr>
        <w:t xml:space="preserve">Each episode of the show is built around a Sponsored Challenge — a brand hosts, presents the prize, and donates to the winning band's chosen charity. The social ecosystem extends those sponsor relationships year-round, beyond the airing window, multiplying the value of every brand partnership.</w:t>
      </w:r>
    </w:p>
    <w:p>
      <w:pPr>
        <w:spacing w:after="140" w:before="0"/>
      </w:pPr>
      <w:r>
        <w:rPr>
          <w:rFonts w:ascii="Arial" w:cs="Arial" w:eastAsia="Arial" w:hAnsi="Arial"/>
          <w:color w:val="0A0A12"/>
          <w:sz w:val="22"/>
          <w:szCs w:val="22"/>
        </w:rPr>
        <w:t xml:space="preserve">Built-in sponsor categories include: Music Lifestyle Brands · Instrument Retailers · Instrument Makers · Energy Drinks · Clothing &amp; Lifestyle · Audio &amp; Tech Brands. Every challenge win triggers a charity donation — the values architecture is baked in.</w:t>
      </w:r>
    </w:p>
    <w:p>
      <w:pPr>
        <w:pBdr>
          <w:left w:val="single" w:color="F1A208" w:sz="12" w:space="12"/>
        </w:pBdr>
        <w:spacing w:after="120" w:before="120"/>
        <w:ind w:left="200"/>
      </w:pPr>
      <w:r>
        <w:rPr>
          <w:rFonts w:ascii="Arial" w:cs="Arial" w:eastAsia="Arial" w:hAnsi="Arial"/>
          <w:b/>
          <w:bCs/>
          <w:color w:val="F1A208"/>
          <w:spacing w:val="40"/>
          <w:sz w:val="18"/>
          <w:szCs w:val="18"/>
        </w:rPr>
        <w:t xml:space="preserve">VISUAL NOTE: </w:t>
      </w:r>
      <w:r>
        <w:rPr>
          <w:rFonts w:ascii="Arial" w:cs="Arial" w:eastAsia="Arial" w:hAnsi="Arial"/>
          <w:i/>
          <w:iCs/>
          <w:color w:val="5A5A6B"/>
          <w:sz w:val="20"/>
          <w:szCs w:val="20"/>
        </w:rPr>
        <w:t xml:space="preserve">Visual: Two large side-by-side panels. LEFT: 'ENGINE 01 — THE SUB-IP MULTIPLIER' with the +4,700% stat dominating, then the three sub-points below. RIGHT: 'ENGINE 02 — STRUCTURAL SPONSORSHIP' with the sponsored-challenges explanation and a built-in sponsor category list. The visual contrast between the two engines is the point.</w:t>
      </w:r>
    </w:p>
    <w:p>
      <w:pPr>
        <w:pBdr>
          <w:top w:val="single" w:color="E63946" w:sz="12" w:space="6"/>
        </w:pBdr>
        <w:spacing w:after="60" w:before="600"/>
      </w:pPr>
      <w:r>
        <w:rPr>
          <w:rFonts w:ascii="Arial" w:cs="Arial" w:eastAsia="Arial" w:hAnsi="Arial"/>
          <w:b/>
          <w:bCs/>
          <w:color w:val="5A5A6B"/>
          <w:spacing w:val="80"/>
          <w:sz w:val="18"/>
          <w:szCs w:val="18"/>
        </w:rPr>
        <w:t xml:space="preserve">SLIDE 11 / 14</w:t>
      </w:r>
    </w:p>
    <w:p>
      <w:pPr>
        <w:spacing w:after="120" w:before="480"/>
      </w:pPr>
      <w:r>
        <w:rPr>
          <w:rFonts w:ascii="Arial" w:cs="Arial" w:eastAsia="Arial" w:hAnsi="Arial"/>
          <w:b/>
          <w:bCs/>
          <w:color w:val="E63946"/>
          <w:spacing w:val="60"/>
          <w:sz w:val="18"/>
          <w:szCs w:val="18"/>
        </w:rPr>
        <w:t xml:space="preserve">MONETIZATION</w:t>
      </w:r>
    </w:p>
    <w:p>
      <w:pPr>
        <w:pStyle w:val="Heading1"/>
        <w:spacing w:after="160" w:before="80"/>
      </w:pPr>
      <w:r>
        <w:rPr>
          <w:rFonts w:ascii="Arial" w:cs="Arial" w:eastAsia="Arial" w:hAnsi="Arial"/>
          <w:b/>
          <w:bCs/>
          <w:color w:val="0A0A12"/>
          <w:sz w:val="40"/>
          <w:szCs w:val="40"/>
        </w:rPr>
        <w:t xml:space="preserve">Twelve revenue streams. One audience.</w:t>
      </w:r>
    </w:p>
    <w:p>
      <w:pPr>
        <w:spacing w:after="140" w:before="0"/>
      </w:pPr>
      <w:r>
        <w:rPr>
          <w:rFonts w:ascii="Arial" w:cs="Arial" w:eastAsia="Arial" w:hAnsi="Arial"/>
          <w:color w:val="0A0A12"/>
          <w:sz w:val="22"/>
          <w:szCs w:val="22"/>
        </w:rPr>
        <w:t xml:space="preserve">Diversified income that protects against platform volatility and compounds as the audience grows. The social ecosystem unlocks revenue lines the broadcast deal alone doesn't reach. Each tier represents a different phase of build — and each is supported by the strategy above.</w:t>
      </w:r>
    </w:p>
    <w:p>
      <w:pPr>
        <w:spacing w:after="80" w:before="220"/>
      </w:pPr>
      <w:r>
        <w:rPr>
          <w:rFonts w:ascii="Arial" w:cs="Arial" w:eastAsia="Arial" w:hAnsi="Arial"/>
          <w:b/>
          <w:bCs/>
          <w:color w:val="F1A208"/>
          <w:spacing w:val="40"/>
          <w:sz w:val="22"/>
          <w:szCs w:val="22"/>
        </w:rPr>
        <w:t xml:space="preserve">TIER 01 · BUILD FIRST</w:t>
      </w:r>
    </w:p>
    <w:p>
      <w:pPr>
        <w:pStyle w:val="ListParagraph"/>
        <w:numPr>
          <w:ilvl w:val="0"/>
          <w:numId w:val="2"/>
        </w:numPr>
        <w:spacing w:after="60" w:before="0"/>
      </w:pPr>
      <w:r>
        <w:rPr>
          <w:rFonts w:ascii="Arial" w:cs="Arial" w:eastAsia="Arial" w:hAnsi="Arial"/>
          <w:b/>
          <w:bCs/>
          <w:color w:val="E63946"/>
          <w:sz w:val="22"/>
          <w:szCs w:val="22"/>
        </w:rPr>
        <w:t xml:space="preserve">Sponsored Challenges  </w:t>
      </w:r>
      <w:r>
        <w:rPr>
          <w:rFonts w:ascii="Arial" w:cs="Arial" w:eastAsia="Arial" w:hAnsi="Arial"/>
          <w:color w:val="0A0A12"/>
          <w:sz w:val="22"/>
          <w:szCs w:val="22"/>
        </w:rPr>
        <w:t xml:space="preserve">Structural to the show; extended year-round via social.</w:t>
      </w:r>
    </w:p>
    <w:p>
      <w:pPr>
        <w:pStyle w:val="ListParagraph"/>
        <w:numPr>
          <w:ilvl w:val="0"/>
          <w:numId w:val="2"/>
        </w:numPr>
        <w:spacing w:after="60" w:before="0"/>
      </w:pPr>
      <w:r>
        <w:rPr>
          <w:rFonts w:ascii="Arial" w:cs="Arial" w:eastAsia="Arial" w:hAnsi="Arial"/>
          <w:b/>
          <w:bCs/>
          <w:color w:val="E63946"/>
          <w:sz w:val="22"/>
          <w:szCs w:val="22"/>
        </w:rPr>
        <w:t xml:space="preserve">YouTube AdSense  </w:t>
      </w:r>
      <w:r>
        <w:rPr>
          <w:rFonts w:ascii="Arial" w:cs="Arial" w:eastAsia="Arial" w:hAnsi="Arial"/>
          <w:color w:val="0A0A12"/>
          <w:sz w:val="22"/>
          <w:szCs w:val="22"/>
        </w:rPr>
        <w:t xml:space="preserve">$3–$10 RPM on long-form music/entertainment content.</w:t>
      </w:r>
    </w:p>
    <w:p>
      <w:pPr>
        <w:pStyle w:val="ListParagraph"/>
        <w:numPr>
          <w:ilvl w:val="0"/>
          <w:numId w:val="2"/>
        </w:numPr>
        <w:spacing w:after="60" w:before="0"/>
      </w:pPr>
      <w:r>
        <w:rPr>
          <w:rFonts w:ascii="Arial" w:cs="Arial" w:eastAsia="Arial" w:hAnsi="Arial"/>
          <w:b/>
          <w:bCs/>
          <w:color w:val="E63946"/>
          <w:sz w:val="22"/>
          <w:szCs w:val="22"/>
        </w:rPr>
        <w:t xml:space="preserve">Merch &amp; Drops  </w:t>
      </w:r>
      <w:r>
        <w:rPr>
          <w:rFonts w:ascii="Arial" w:cs="Arial" w:eastAsia="Arial" w:hAnsi="Arial"/>
          <w:color w:val="0A0A12"/>
          <w:sz w:val="22"/>
          <w:szCs w:val="22"/>
        </w:rPr>
        <w:t xml:space="preserve">Limited drops and team-themed apparel; drops out-perform evergreen catalog.</w:t>
      </w:r>
    </w:p>
    <w:p>
      <w:pPr>
        <w:spacing w:after="80" w:before="220"/>
      </w:pPr>
      <w:r>
        <w:rPr>
          <w:rFonts w:ascii="Arial" w:cs="Arial" w:eastAsia="Arial" w:hAnsi="Arial"/>
          <w:b/>
          <w:bCs/>
          <w:color w:val="F1A208"/>
          <w:spacing w:val="40"/>
          <w:sz w:val="22"/>
          <w:szCs w:val="22"/>
        </w:rPr>
        <w:t xml:space="preserve">TIER 02 · YEAR 1</w:t>
      </w:r>
    </w:p>
    <w:p>
      <w:pPr>
        <w:pStyle w:val="ListParagraph"/>
        <w:numPr>
          <w:ilvl w:val="0"/>
          <w:numId w:val="2"/>
        </w:numPr>
        <w:spacing w:after="60" w:before="0"/>
      </w:pPr>
      <w:r>
        <w:rPr>
          <w:rFonts w:ascii="Arial" w:cs="Arial" w:eastAsia="Arial" w:hAnsi="Arial"/>
          <w:b/>
          <w:bCs/>
          <w:color w:val="F1A208"/>
          <w:sz w:val="22"/>
          <w:szCs w:val="22"/>
        </w:rPr>
        <w:t xml:space="preserve">Live Events  </w:t>
      </w:r>
      <w:r>
        <w:rPr>
          <w:rFonts w:ascii="Arial" w:cs="Arial" w:eastAsia="Arial" w:hAnsi="Arial"/>
          <w:color w:val="0A0A12"/>
          <w:sz w:val="22"/>
          <w:szCs w:val="22"/>
        </w:rPr>
        <w:t xml:space="preserve">Annual LOR Live event; later, a multi-city tour.</w:t>
      </w:r>
    </w:p>
    <w:p>
      <w:pPr>
        <w:pStyle w:val="ListParagraph"/>
        <w:numPr>
          <w:ilvl w:val="0"/>
          <w:numId w:val="2"/>
        </w:numPr>
        <w:spacing w:after="60" w:before="0"/>
      </w:pPr>
      <w:r>
        <w:rPr>
          <w:rFonts w:ascii="Arial" w:cs="Arial" w:eastAsia="Arial" w:hAnsi="Arial"/>
          <w:b/>
          <w:bCs/>
          <w:color w:val="F1A208"/>
          <w:sz w:val="22"/>
          <w:szCs w:val="22"/>
        </w:rPr>
        <w:t xml:space="preserve">Music Rights &amp; Sync  </w:t>
      </w:r>
      <w:r>
        <w:rPr>
          <w:rFonts w:ascii="Arial" w:cs="Arial" w:eastAsia="Arial" w:hAnsi="Arial"/>
          <w:color w:val="0A0A12"/>
          <w:sz w:val="22"/>
          <w:szCs w:val="22"/>
        </w:rPr>
        <w:t xml:space="preserve">Publishing + recordings + sync licensing for performances generated by the show.</w:t>
      </w:r>
    </w:p>
    <w:p>
      <w:pPr>
        <w:pStyle w:val="ListParagraph"/>
        <w:numPr>
          <w:ilvl w:val="0"/>
          <w:numId w:val="2"/>
        </w:numPr>
        <w:spacing w:after="60" w:before="0"/>
      </w:pPr>
      <w:r>
        <w:rPr>
          <w:rFonts w:ascii="Arial" w:cs="Arial" w:eastAsia="Arial" w:hAnsi="Arial"/>
          <w:b/>
          <w:bCs/>
          <w:color w:val="F1A208"/>
          <w:sz w:val="22"/>
          <w:szCs w:val="22"/>
        </w:rPr>
        <w:t xml:space="preserve">Newsletter Sponsorships  </w:t>
      </w:r>
      <w:r>
        <w:rPr>
          <w:rFonts w:ascii="Arial" w:cs="Arial" w:eastAsia="Arial" w:hAnsi="Arial"/>
          <w:color w:val="0A0A12"/>
          <w:sz w:val="22"/>
          <w:szCs w:val="22"/>
        </w:rPr>
        <w:t xml:space="preserve">$25–$100 CPM once the list passes ~25K engaged subscribers.</w:t>
      </w:r>
    </w:p>
    <w:p>
      <w:pPr>
        <w:pStyle w:val="ListParagraph"/>
        <w:numPr>
          <w:ilvl w:val="0"/>
          <w:numId w:val="2"/>
        </w:numPr>
        <w:spacing w:after="60" w:before="0"/>
      </w:pPr>
      <w:r>
        <w:rPr>
          <w:rFonts w:ascii="Arial" w:cs="Arial" w:eastAsia="Arial" w:hAnsi="Arial"/>
          <w:b/>
          <w:bCs/>
          <w:color w:val="F1A208"/>
          <w:sz w:val="22"/>
          <w:szCs w:val="22"/>
        </w:rPr>
        <w:t xml:space="preserve">Membership Program  </w:t>
      </w:r>
      <w:r>
        <w:rPr>
          <w:rFonts w:ascii="Arial" w:cs="Arial" w:eastAsia="Arial" w:hAnsi="Arial"/>
          <w:color w:val="0A0A12"/>
          <w:sz w:val="22"/>
          <w:szCs w:val="22"/>
        </w:rPr>
        <w:t xml:space="preserve">$5.99/mo benchmark (Critical Role's Beacon model). Ad-free, exclusives, presales.</w:t>
      </w:r>
    </w:p>
    <w:p>
      <w:pPr>
        <w:spacing w:after="80" w:before="220"/>
      </w:pPr>
      <w:r>
        <w:rPr>
          <w:rFonts w:ascii="Arial" w:cs="Arial" w:eastAsia="Arial" w:hAnsi="Arial"/>
          <w:b/>
          <w:bCs/>
          <w:color w:val="F1A208"/>
          <w:spacing w:val="40"/>
          <w:sz w:val="22"/>
          <w:szCs w:val="22"/>
        </w:rPr>
        <w:t xml:space="preserve">TIER 03 · YEAR 2+</w:t>
      </w:r>
    </w:p>
    <w:p>
      <w:pPr>
        <w:pStyle w:val="ListParagraph"/>
        <w:numPr>
          <w:ilvl w:val="0"/>
          <w:numId w:val="2"/>
        </w:numPr>
        <w:spacing w:after="60" w:before="0"/>
      </w:pPr>
      <w:r>
        <w:rPr>
          <w:rFonts w:ascii="Arial" w:cs="Arial" w:eastAsia="Arial" w:hAnsi="Arial"/>
          <w:b/>
          <w:bCs/>
          <w:color w:val="0A0A12"/>
          <w:sz w:val="22"/>
          <w:szCs w:val="22"/>
        </w:rPr>
        <w:t xml:space="preserve">Record Label Arm  </w:t>
      </w:r>
      <w:r>
        <w:rPr>
          <w:rFonts w:ascii="Arial" w:cs="Arial" w:eastAsia="Arial" w:hAnsi="Arial"/>
          <w:color w:val="5A5A6B"/>
          <w:sz w:val="22"/>
          <w:szCs w:val="22"/>
        </w:rPr>
        <w:t xml:space="preserve">Artist development for breakout contestants. Long-term IP value.</w:t>
      </w:r>
    </w:p>
    <w:p>
      <w:pPr>
        <w:pStyle w:val="ListParagraph"/>
        <w:numPr>
          <w:ilvl w:val="0"/>
          <w:numId w:val="2"/>
        </w:numPr>
        <w:spacing w:after="60" w:before="0"/>
      </w:pPr>
      <w:r>
        <w:rPr>
          <w:rFonts w:ascii="Arial" w:cs="Arial" w:eastAsia="Arial" w:hAnsi="Arial"/>
          <w:b/>
          <w:bCs/>
          <w:color w:val="0A0A12"/>
          <w:sz w:val="22"/>
          <w:szCs w:val="22"/>
        </w:rPr>
        <w:t xml:space="preserve">Format Licensing  </w:t>
      </w:r>
      <w:r>
        <w:rPr>
          <w:rFonts w:ascii="Arial" w:cs="Arial" w:eastAsia="Arial" w:hAnsi="Arial"/>
          <w:color w:val="5A5A6B"/>
          <w:sz w:val="22"/>
          <w:szCs w:val="22"/>
        </w:rPr>
        <w:t xml:space="preserve">Regional and international format sales as the franchise expands.</w:t>
      </w:r>
    </w:p>
    <w:p>
      <w:pPr>
        <w:pStyle w:val="ListParagraph"/>
        <w:numPr>
          <w:ilvl w:val="0"/>
          <w:numId w:val="2"/>
        </w:numPr>
        <w:spacing w:after="60" w:before="0"/>
      </w:pPr>
      <w:r>
        <w:rPr>
          <w:rFonts w:ascii="Arial" w:cs="Arial" w:eastAsia="Arial" w:hAnsi="Arial"/>
          <w:b/>
          <w:bCs/>
          <w:color w:val="0A0A12"/>
          <w:sz w:val="22"/>
          <w:szCs w:val="22"/>
        </w:rPr>
        <w:t xml:space="preserve">Education Products  </w:t>
      </w:r>
      <w:r>
        <w:rPr>
          <w:rFonts w:ascii="Arial" w:cs="Arial" w:eastAsia="Arial" w:hAnsi="Arial"/>
          <w:color w:val="5A5A6B"/>
          <w:sz w:val="22"/>
          <w:szCs w:val="22"/>
        </w:rPr>
        <w:t xml:space="preserve">Coach Masterclasses; how-to-form-a-band courses; high-margin digital products.</w:t>
      </w:r>
    </w:p>
    <w:p>
      <w:pPr>
        <w:pStyle w:val="ListParagraph"/>
        <w:numPr>
          <w:ilvl w:val="0"/>
          <w:numId w:val="2"/>
        </w:numPr>
        <w:spacing w:after="60" w:before="0"/>
      </w:pPr>
      <w:r>
        <w:rPr>
          <w:rFonts w:ascii="Arial" w:cs="Arial" w:eastAsia="Arial" w:hAnsi="Arial"/>
          <w:b/>
          <w:bCs/>
          <w:color w:val="0A0A12"/>
          <w:sz w:val="22"/>
          <w:szCs w:val="22"/>
        </w:rPr>
        <w:t xml:space="preserve">Equity Brand Deals  </w:t>
      </w:r>
      <w:r>
        <w:rPr>
          <w:rFonts w:ascii="Arial" w:cs="Arial" w:eastAsia="Arial" w:hAnsi="Arial"/>
          <w:color w:val="5A5A6B"/>
          <w:sz w:val="22"/>
          <w:szCs w:val="22"/>
        </w:rPr>
        <w:t xml:space="preserve">Stake in the brands we partner with, rather than cash integration fees alone.</w:t>
      </w:r>
    </w:p>
    <w:p>
      <w:pPr>
        <w:pBdr>
          <w:left w:val="single" w:color="F1A208" w:sz="12" w:space="12"/>
        </w:pBdr>
        <w:spacing w:after="120" w:before="120"/>
        <w:ind w:left="200"/>
      </w:pPr>
      <w:r>
        <w:rPr>
          <w:rFonts w:ascii="Arial" w:cs="Arial" w:eastAsia="Arial" w:hAnsi="Arial"/>
          <w:b/>
          <w:bCs/>
          <w:color w:val="F1A208"/>
          <w:spacing w:val="40"/>
          <w:sz w:val="18"/>
          <w:szCs w:val="18"/>
        </w:rPr>
        <w:t xml:space="preserve">VISUAL NOTE: </w:t>
      </w:r>
      <w:r>
        <w:rPr>
          <w:rFonts w:ascii="Arial" w:cs="Arial" w:eastAsia="Arial" w:hAnsi="Arial"/>
          <w:i/>
          <w:iCs/>
          <w:color w:val="5A5A6B"/>
          <w:sz w:val="20"/>
          <w:szCs w:val="20"/>
        </w:rPr>
        <w:t xml:space="preserve">Visual: Three vertical tier columns side by side, colored red (Tier 1), amber (Tier 2), and white (Tier 3). Each tier card lists its revenue lines with brief notes. The progression — from immediately monetizable to long-term — should be clear visually.</w:t>
      </w:r>
    </w:p>
    <w:p>
      <w:pPr>
        <w:pBdr>
          <w:top w:val="single" w:color="E63946" w:sz="12" w:space="6"/>
        </w:pBdr>
        <w:spacing w:after="60" w:before="600"/>
      </w:pPr>
      <w:r>
        <w:rPr>
          <w:rFonts w:ascii="Arial" w:cs="Arial" w:eastAsia="Arial" w:hAnsi="Arial"/>
          <w:b/>
          <w:bCs/>
          <w:color w:val="5A5A6B"/>
          <w:spacing w:val="80"/>
          <w:sz w:val="18"/>
          <w:szCs w:val="18"/>
        </w:rPr>
        <w:t xml:space="preserve">SLIDE 12 / 14</w:t>
      </w:r>
    </w:p>
    <w:p>
      <w:pPr>
        <w:spacing w:after="120" w:before="480"/>
      </w:pPr>
      <w:r>
        <w:rPr>
          <w:rFonts w:ascii="Arial" w:cs="Arial" w:eastAsia="Arial" w:hAnsi="Arial"/>
          <w:b/>
          <w:bCs/>
          <w:color w:val="E63946"/>
          <w:spacing w:val="60"/>
          <w:sz w:val="18"/>
          <w:szCs w:val="18"/>
        </w:rPr>
        <w:t xml:space="preserve">IMPLEMENTATION</w:t>
      </w:r>
    </w:p>
    <w:p>
      <w:pPr>
        <w:pStyle w:val="Heading1"/>
        <w:spacing w:after="160" w:before="80"/>
      </w:pPr>
      <w:r>
        <w:rPr>
          <w:rFonts w:ascii="Arial" w:cs="Arial" w:eastAsia="Arial" w:hAnsi="Arial"/>
          <w:b/>
          <w:bCs/>
          <w:color w:val="0A0A12"/>
          <w:sz w:val="40"/>
          <w:szCs w:val="40"/>
        </w:rPr>
        <w:t xml:space="preserve">How we build it.</w:t>
      </w:r>
    </w:p>
    <w:p>
      <w:pPr>
        <w:spacing w:after="140" w:before="0"/>
      </w:pPr>
      <w:r>
        <w:rPr>
          <w:rFonts w:ascii="Arial" w:cs="Arial" w:eastAsia="Arial" w:hAnsi="Arial"/>
          <w:color w:val="0A0A12"/>
          <w:sz w:val="22"/>
          <w:szCs w:val="22"/>
        </w:rPr>
        <w:t xml:space="preserve">The social ecosystem rolls out in four phases — each one feeding into the next. The earliest phase begins months before the show airs; the latest phase compounds for years after.</w:t>
      </w:r>
    </w:p>
    <w:p>
      <w:pPr>
        <w:spacing w:after="80" w:before="220"/>
      </w:pPr>
      <w:r>
        <w:rPr>
          <w:rFonts w:ascii="Arial" w:cs="Arial" w:eastAsia="Arial" w:hAnsi="Arial"/>
          <w:b/>
          <w:bCs/>
          <w:color w:val="F1A208"/>
          <w:spacing w:val="40"/>
          <w:sz w:val="22"/>
          <w:szCs w:val="22"/>
        </w:rPr>
        <w:t xml:space="preserve">PHASE 0 · PRE-LAUNCH  (3–6 MONTHS BEFORE SHOW AIRS)</w:t>
      </w:r>
    </w:p>
    <w:p>
      <w:pPr>
        <w:spacing w:after="140" w:before="0"/>
      </w:pPr>
      <w:r>
        <w:rPr>
          <w:rFonts w:ascii="Arial" w:cs="Arial" w:eastAsia="Arial" w:hAnsi="Arial"/>
          <w:color w:val="0A0A12"/>
          <w:sz w:val="22"/>
          <w:szCs w:val="22"/>
        </w:rPr>
        <w:t xml:space="preserve">Brand identity locked. Newsletter live, capturing existing alumni. The LOR Sessions — our flagship performance format, in the spirit of Tiny Desk or COLORS — launches as an independent IP, building industry credibility and a subscriber base entirely separate from the show. The foundation is laid before the spotlight is on.</w:t>
      </w:r>
    </w:p>
    <w:p>
      <w:pPr>
        <w:spacing w:after="80" w:before="220"/>
      </w:pPr>
      <w:r>
        <w:rPr>
          <w:rFonts w:ascii="Arial" w:cs="Arial" w:eastAsia="Arial" w:hAnsi="Arial"/>
          <w:b/>
          <w:bCs/>
          <w:color w:val="F1A208"/>
          <w:spacing w:val="40"/>
          <w:sz w:val="22"/>
          <w:szCs w:val="22"/>
        </w:rPr>
        <w:t xml:space="preserve">PHASE 1 · SOFT LAUNCH  (3 MONTHS BEFORE AIRING)</w:t>
      </w:r>
    </w:p>
    <w:p>
      <w:pPr>
        <w:spacing w:after="140" w:before="0"/>
      </w:pPr>
      <w:r>
        <w:rPr>
          <w:rFonts w:ascii="Arial" w:cs="Arial" w:eastAsia="Arial" w:hAnsi="Arial"/>
          <w:color w:val="0A0A12"/>
          <w:sz w:val="22"/>
          <w:szCs w:val="22"/>
        </w:rPr>
        <w:t xml:space="preserve">Cinematic casting reveals begin dropping. Coach announcements treated as brand drops. The LOR Sessions now has an established subscriber base — we use it to break the show's news. The newsletter audience deepens with insider content about the build. We control the narrative before the show ever airs.</w:t>
      </w:r>
    </w:p>
    <w:p>
      <w:pPr>
        <w:spacing w:after="80" w:before="220"/>
      </w:pPr>
      <w:r>
        <w:rPr>
          <w:rFonts w:ascii="Arial" w:cs="Arial" w:eastAsia="Arial" w:hAnsi="Arial"/>
          <w:b/>
          <w:bCs/>
          <w:color w:val="F1A208"/>
          <w:spacing w:val="40"/>
          <w:sz w:val="22"/>
          <w:szCs w:val="22"/>
        </w:rPr>
        <w:t xml:space="preserve">PHASE 2 · SHOW LAUNCH  (THE SHOW AIRS)</w:t>
      </w:r>
    </w:p>
    <w:p>
      <w:pPr>
        <w:spacing w:after="140" w:before="0"/>
      </w:pPr>
      <w:r>
        <w:rPr>
          <w:rFonts w:ascii="Arial" w:cs="Arial" w:eastAsia="Arial" w:hAnsi="Arial"/>
          <w:color w:val="0A0A12"/>
          <w:sz w:val="22"/>
          <w:szCs w:val="22"/>
        </w:rPr>
        <w:t xml:space="preserve">Daily short-form content during airing windows. Weekly podcast the day after each episode. Discord watch parties. Live coach Q&amp;As. Every episode of the show becomes an 8–12 piece content cluster across all platforms. The social ecosystem fully activates as the show's amplifier and conversation engine.</w:t>
      </w:r>
    </w:p>
    <w:p>
      <w:pPr>
        <w:spacing w:after="80" w:before="220"/>
      </w:pPr>
      <w:r>
        <w:rPr>
          <w:rFonts w:ascii="Arial" w:cs="Arial" w:eastAsia="Arial" w:hAnsi="Arial"/>
          <w:b/>
          <w:bCs/>
          <w:color w:val="F1A208"/>
          <w:spacing w:val="40"/>
          <w:sz w:val="22"/>
          <w:szCs w:val="22"/>
        </w:rPr>
        <w:t xml:space="preserve">PHASE 3 · OFF-SEASON &amp; SEASON 2  (BETWEEN SEASONS)</w:t>
      </w:r>
    </w:p>
    <w:p>
      <w:pPr>
        <w:spacing w:after="140" w:before="0"/>
      </w:pPr>
      <w:r>
        <w:rPr>
          <w:rFonts w:ascii="Arial" w:cs="Arial" w:eastAsia="Arial" w:hAnsi="Arial"/>
          <w:color w:val="0A0A12"/>
          <w:sz w:val="22"/>
          <w:szCs w:val="22"/>
        </w:rPr>
        <w:t xml:space="preserve">The LOR Sessions becomes the year-round engine. Contestant follow-ups document their careers post-show. The first annual LOR Live event happens in the gap between seasons. Membership program launches. Format licensing conversations begin. The flywheel is fully spinning — the brand grows even when the show isn't on air.</w:t>
      </w:r>
    </w:p>
    <w:p>
      <w:pPr>
        <w:pBdr>
          <w:left w:val="single" w:color="F1A208" w:sz="12" w:space="12"/>
        </w:pBdr>
        <w:spacing w:after="120" w:before="120"/>
        <w:ind w:left="200"/>
      </w:pPr>
      <w:r>
        <w:rPr>
          <w:rFonts w:ascii="Arial" w:cs="Arial" w:eastAsia="Arial" w:hAnsi="Arial"/>
          <w:b/>
          <w:bCs/>
          <w:color w:val="F1A208"/>
          <w:spacing w:val="40"/>
          <w:sz w:val="18"/>
          <w:szCs w:val="18"/>
        </w:rPr>
        <w:t xml:space="preserve">VISUAL NOTE: </w:t>
      </w:r>
      <w:r>
        <w:rPr>
          <w:rFonts w:ascii="Arial" w:cs="Arial" w:eastAsia="Arial" w:hAnsi="Arial"/>
          <w:i/>
          <w:iCs/>
          <w:color w:val="5A5A6B"/>
          <w:sz w:val="20"/>
          <w:szCs w:val="20"/>
        </w:rPr>
        <w:t xml:space="preserve">Visual: 4 horizontal phase cards in a row — Phase 0 / 1 / 2 / 3. Each card has a colored header band, a phase title, a timeline marker, and the body description. Progress visually intensifies from phase 0 (subtle) to phase 3 (saturated).</w:t>
      </w:r>
    </w:p>
    <w:p>
      <w:pPr>
        <w:pBdr>
          <w:top w:val="single" w:color="E63946" w:sz="12" w:space="6"/>
        </w:pBdr>
        <w:spacing w:after="60" w:before="600"/>
      </w:pPr>
      <w:r>
        <w:rPr>
          <w:rFonts w:ascii="Arial" w:cs="Arial" w:eastAsia="Arial" w:hAnsi="Arial"/>
          <w:b/>
          <w:bCs/>
          <w:color w:val="5A5A6B"/>
          <w:spacing w:val="80"/>
          <w:sz w:val="18"/>
          <w:szCs w:val="18"/>
        </w:rPr>
        <w:t xml:space="preserve">SLIDE 13 / 14</w:t>
      </w:r>
    </w:p>
    <w:p>
      <w:pPr>
        <w:spacing w:after="120" w:before="480"/>
      </w:pPr>
      <w:r>
        <w:rPr>
          <w:rFonts w:ascii="Arial" w:cs="Arial" w:eastAsia="Arial" w:hAnsi="Arial"/>
          <w:b/>
          <w:bCs/>
          <w:color w:val="E63946"/>
          <w:spacing w:val="60"/>
          <w:sz w:val="18"/>
          <w:szCs w:val="18"/>
        </w:rPr>
        <w:t xml:space="preserve">HOW WE KEEP SCORE</w:t>
      </w:r>
    </w:p>
    <w:p>
      <w:pPr>
        <w:pStyle w:val="Heading1"/>
        <w:spacing w:after="160" w:before="80"/>
      </w:pPr>
      <w:r>
        <w:rPr>
          <w:rFonts w:ascii="Arial" w:cs="Arial" w:eastAsia="Arial" w:hAnsi="Arial"/>
          <w:b/>
          <w:bCs/>
          <w:color w:val="0A0A12"/>
          <w:sz w:val="40"/>
          <w:szCs w:val="40"/>
        </w:rPr>
        <w:t xml:space="preserve">Targets that prove the asset is real.</w:t>
      </w:r>
    </w:p>
    <w:p>
      <w:pPr>
        <w:spacing w:after="140" w:before="0"/>
      </w:pPr>
      <w:r>
        <w:rPr>
          <w:rFonts w:ascii="Arial" w:cs="Arial" w:eastAsia="Arial" w:hAnsi="Arial"/>
          <w:color w:val="0A0A12"/>
          <w:sz w:val="22"/>
          <w:szCs w:val="22"/>
        </w:rPr>
        <w:t xml:space="preserve">Conservative organic targets, sized to be realistic against the show's amplification. With the broadcast deal driving top-of-funnel traffic, all numbers are likely to outperform these benchmarks meaningfully.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none" w:sz="0"/>
              <w:left w:val="none" w:sz="0"/>
              <w:bottom w:val="none" w:sz="0"/>
              <w:right w:val="none" w:sz="0"/>
            </w:tcBorders>
            <w:shd w:fill="E63946" w:color="auto" w:val="clear"/>
            <w:tcMar>
              <w:top w:type="dxa" w:w="80"/>
              <w:left w:type="dxa" w:w="160"/>
              <w:bottom w:type="dxa" w:w="80"/>
              <w:right w:type="dxa" w:w="80"/>
            </w:tcMar>
          </w:tcPr>
          <w:p>
            <w:r>
              <w:rPr>
                <w:rFonts w:ascii="Arial" w:cs="Arial" w:eastAsia="Arial" w:hAnsi="Arial"/>
                <w:b/>
                <w:bCs/>
                <w:color w:val="FFFFFF"/>
                <w:spacing w:val="40"/>
                <w:sz w:val="20"/>
                <w:szCs w:val="20"/>
              </w:rPr>
              <w:t xml:space="preserve">METRIC</w:t>
            </w:r>
          </w:p>
        </w:tc>
        <w:tc>
          <w:tcPr>
            <w:tcW w:type="dxa" w:w="1800"/>
            <w:tcBorders>
              <w:top w:val="none" w:sz="0"/>
              <w:left w:val="none" w:sz="0"/>
              <w:bottom w:val="none" w:sz="0"/>
              <w:right w:val="none" w:sz="0"/>
            </w:tcBorders>
            <w:shd w:fill="E63946" w:color="auto" w:val="clear"/>
            <w:tcMar>
              <w:top w:type="dxa" w:w="80"/>
              <w:left w:type="dxa" w:w="80"/>
              <w:bottom w:type="dxa" w:w="80"/>
              <w:right w:type="dxa" w:w="80"/>
            </w:tcMar>
          </w:tcPr>
          <w:p>
            <w:pPr>
              <w:jc w:val="center"/>
            </w:pPr>
            <w:r>
              <w:rPr>
                <w:rFonts w:ascii="Arial" w:cs="Arial" w:eastAsia="Arial" w:hAnsi="Arial"/>
                <w:b/>
                <w:bCs/>
                <w:color w:val="FFFFFF"/>
                <w:spacing w:val="40"/>
                <w:sz w:val="20"/>
                <w:szCs w:val="20"/>
              </w:rPr>
              <w:t xml:space="preserve">6 MONTHS</w:t>
            </w:r>
          </w:p>
        </w:tc>
        <w:tc>
          <w:tcPr>
            <w:tcW w:type="dxa" w:w="1800"/>
            <w:tcBorders>
              <w:top w:val="none" w:sz="0"/>
              <w:left w:val="none" w:sz="0"/>
              <w:bottom w:val="none" w:sz="0"/>
              <w:right w:val="none" w:sz="0"/>
            </w:tcBorders>
            <w:shd w:fill="E63946" w:color="auto" w:val="clear"/>
            <w:tcMar>
              <w:top w:type="dxa" w:w="80"/>
              <w:left w:type="dxa" w:w="80"/>
              <w:bottom w:type="dxa" w:w="80"/>
              <w:right w:type="dxa" w:w="80"/>
            </w:tcMar>
          </w:tcPr>
          <w:p>
            <w:pPr>
              <w:jc w:val="center"/>
            </w:pPr>
            <w:r>
              <w:rPr>
                <w:rFonts w:ascii="Arial" w:cs="Arial" w:eastAsia="Arial" w:hAnsi="Arial"/>
                <w:b/>
                <w:bCs/>
                <w:color w:val="FFFFFF"/>
                <w:spacing w:val="40"/>
                <w:sz w:val="20"/>
                <w:szCs w:val="20"/>
              </w:rPr>
              <w:t xml:space="preserve">12 MONTHS</w:t>
            </w:r>
          </w:p>
        </w:tc>
        <w:tc>
          <w:tcPr>
            <w:tcW w:type="dxa" w:w="1800"/>
            <w:tcBorders>
              <w:top w:val="none" w:sz="0"/>
              <w:left w:val="none" w:sz="0"/>
              <w:bottom w:val="none" w:sz="0"/>
              <w:right w:val="none" w:sz="0"/>
            </w:tcBorders>
            <w:shd w:fill="E63946" w:color="auto" w:val="clear"/>
            <w:tcMar>
              <w:top w:type="dxa" w:w="80"/>
              <w:left w:type="dxa" w:w="80"/>
              <w:bottom w:type="dxa" w:w="80"/>
              <w:right w:type="dxa" w:w="80"/>
            </w:tcMar>
          </w:tcPr>
          <w:p>
            <w:pPr>
              <w:jc w:val="center"/>
            </w:pPr>
            <w:r>
              <w:rPr>
                <w:rFonts w:ascii="Arial" w:cs="Arial" w:eastAsia="Arial" w:hAnsi="Arial"/>
                <w:b/>
                <w:bCs/>
                <w:color w:val="FFFFFF"/>
                <w:spacing w:val="40"/>
                <w:sz w:val="20"/>
                <w:szCs w:val="20"/>
              </w:rPr>
              <w:t xml:space="preserve">24 MONTHS</w:t>
            </w:r>
          </w:p>
        </w:tc>
      </w:tr>
      <w:tr>
        <w:tc>
          <w:tcPr>
            <w:tcW w:type="dxa" w:w="3960"/>
            <w:tcBorders>
              <w:top w:val="single" w:color="CCCCCC" w:sz="4"/>
              <w:left w:val="none" w:sz="0"/>
              <w:bottom w:val="single" w:color="CCCCCC" w:sz="4"/>
              <w:right w:val="none" w:sz="0"/>
            </w:tcBorders>
            <w:shd w:fill="F4F4F6" w:color="auto" w:val="clear"/>
            <w:tcMar>
              <w:top w:type="dxa" w:w="80"/>
              <w:left w:type="dxa" w:w="160"/>
              <w:bottom w:type="dxa" w:w="80"/>
              <w:right w:type="dxa" w:w="80"/>
            </w:tcMar>
          </w:tcPr>
          <w:p>
            <w:r>
              <w:rPr>
                <w:rFonts w:ascii="Arial" w:cs="Arial" w:eastAsia="Arial" w:hAnsi="Arial"/>
                <w:color w:val="0A0A12"/>
                <w:sz w:val="22"/>
                <w:szCs w:val="22"/>
              </w:rPr>
              <w:t xml:space="preserve">Short-form followers (combined)</w:t>
            </w:r>
          </w:p>
        </w:tc>
        <w:tc>
          <w:tcPr>
            <w:tcW w:type="dxa" w:w="1800"/>
            <w:tcBorders>
              <w:top w:val="single" w:color="CCCCCC" w:sz="4"/>
              <w:left w:val="none" w:sz="0"/>
              <w:bottom w:val="single" w:color="CCCCCC" w:sz="4"/>
              <w:right w:val="none" w:sz="0"/>
            </w:tcBorders>
            <w:shd w:fill="F4F4F6" w:color="auto" w:val="clear"/>
            <w:tcMar>
              <w:top w:type="dxa" w:w="80"/>
              <w:left w:type="dxa" w:w="80"/>
              <w:bottom w:type="dxa" w:w="80"/>
              <w:right w:type="dxa" w:w="80"/>
            </w:tcMar>
          </w:tcPr>
          <w:p>
            <w:pPr>
              <w:jc w:val="center"/>
            </w:pPr>
            <w:r>
              <w:rPr>
                <w:rFonts w:ascii="Arial" w:cs="Arial" w:eastAsia="Arial" w:hAnsi="Arial"/>
                <w:b/>
                <w:bCs/>
                <w:color w:val="F1A208"/>
                <w:sz w:val="26"/>
                <w:szCs w:val="26"/>
              </w:rPr>
              <w:t xml:space="preserve">250K</w:t>
            </w:r>
          </w:p>
        </w:tc>
        <w:tc>
          <w:tcPr>
            <w:tcW w:type="dxa" w:w="1800"/>
            <w:tcBorders>
              <w:top w:val="single" w:color="CCCCCC" w:sz="4"/>
              <w:left w:val="none" w:sz="0"/>
              <w:bottom w:val="single" w:color="CCCCCC" w:sz="4"/>
              <w:right w:val="none" w:sz="0"/>
            </w:tcBorders>
            <w:shd w:fill="F4F4F6" w:color="auto" w:val="clear"/>
            <w:tcMar>
              <w:top w:type="dxa" w:w="80"/>
              <w:left w:type="dxa" w:w="80"/>
              <w:bottom w:type="dxa" w:w="80"/>
              <w:right w:type="dxa" w:w="80"/>
            </w:tcMar>
          </w:tcPr>
          <w:p>
            <w:pPr>
              <w:jc w:val="center"/>
            </w:pPr>
            <w:r>
              <w:rPr>
                <w:rFonts w:ascii="Arial" w:cs="Arial" w:eastAsia="Arial" w:hAnsi="Arial"/>
                <w:b/>
                <w:bCs/>
                <w:color w:val="F1A208"/>
                <w:sz w:val="26"/>
                <w:szCs w:val="26"/>
              </w:rPr>
              <w:t xml:space="preserve">1.5M</w:t>
            </w:r>
          </w:p>
        </w:tc>
        <w:tc>
          <w:tcPr>
            <w:tcW w:type="dxa" w:w="1800"/>
            <w:tcBorders>
              <w:top w:val="single" w:color="CCCCCC" w:sz="4"/>
              <w:left w:val="none" w:sz="0"/>
              <w:bottom w:val="single" w:color="CCCCCC" w:sz="4"/>
              <w:right w:val="none" w:sz="0"/>
            </w:tcBorders>
            <w:shd w:fill="F4F4F6" w:color="auto" w:val="clear"/>
            <w:tcMar>
              <w:top w:type="dxa" w:w="80"/>
              <w:left w:type="dxa" w:w="80"/>
              <w:bottom w:type="dxa" w:w="80"/>
              <w:right w:type="dxa" w:w="80"/>
            </w:tcMar>
          </w:tcPr>
          <w:p>
            <w:pPr>
              <w:jc w:val="center"/>
            </w:pPr>
            <w:r>
              <w:rPr>
                <w:rFonts w:ascii="Arial" w:cs="Arial" w:eastAsia="Arial" w:hAnsi="Arial"/>
                <w:b/>
                <w:bCs/>
                <w:color w:val="F1A208"/>
                <w:sz w:val="26"/>
                <w:szCs w:val="26"/>
              </w:rPr>
              <w:t xml:space="preserve">5M+</w:t>
            </w:r>
          </w:p>
        </w:tc>
      </w:tr>
      <w:tr>
        <w:tc>
          <w:tcPr>
            <w:tcW w:type="dxa" w:w="3960"/>
            <w:tcBorders>
              <w:top w:val="single" w:color="CCCCCC" w:sz="4"/>
              <w:left w:val="none" w:sz="0"/>
              <w:bottom w:val="single" w:color="CCCCCC" w:sz="4"/>
              <w:right w:val="none" w:sz="0"/>
            </w:tcBorders>
            <w:shd w:fill="FFFFFF" w:color="auto" w:val="clear"/>
            <w:tcMar>
              <w:top w:type="dxa" w:w="80"/>
              <w:left w:type="dxa" w:w="160"/>
              <w:bottom w:type="dxa" w:w="80"/>
              <w:right w:type="dxa" w:w="80"/>
            </w:tcMar>
          </w:tcPr>
          <w:p>
            <w:r>
              <w:rPr>
                <w:rFonts w:ascii="Arial" w:cs="Arial" w:eastAsia="Arial" w:hAnsi="Arial"/>
                <w:color w:val="0A0A12"/>
                <w:sz w:val="22"/>
                <w:szCs w:val="22"/>
              </w:rPr>
              <w:t xml:space="preserve">YouTube subscribers</w:t>
            </w:r>
          </w:p>
        </w:tc>
        <w:tc>
          <w:tcPr>
            <w:tcW w:type="dxa" w:w="1800"/>
            <w:tcBorders>
              <w:top w:val="single" w:color="CCCCCC" w:sz="4"/>
              <w:left w:val="none" w:sz="0"/>
              <w:bottom w:val="single" w:color="CCCCCC" w:sz="4"/>
              <w:right w:val="none" w:sz="0"/>
            </w:tcBorders>
            <w:shd w:fill="FFFFFF" w:color="auto" w:val="clear"/>
            <w:tcMar>
              <w:top w:type="dxa" w:w="80"/>
              <w:left w:type="dxa" w:w="80"/>
              <w:bottom w:type="dxa" w:w="80"/>
              <w:right w:type="dxa" w:w="80"/>
            </w:tcMar>
          </w:tcPr>
          <w:p>
            <w:pPr>
              <w:jc w:val="center"/>
            </w:pPr>
            <w:r>
              <w:rPr>
                <w:rFonts w:ascii="Arial" w:cs="Arial" w:eastAsia="Arial" w:hAnsi="Arial"/>
                <w:b/>
                <w:bCs/>
                <w:color w:val="F1A208"/>
                <w:sz w:val="26"/>
                <w:szCs w:val="26"/>
              </w:rPr>
              <w:t xml:space="preserve">50K</w:t>
            </w:r>
          </w:p>
        </w:tc>
        <w:tc>
          <w:tcPr>
            <w:tcW w:type="dxa" w:w="1800"/>
            <w:tcBorders>
              <w:top w:val="single" w:color="CCCCCC" w:sz="4"/>
              <w:left w:val="none" w:sz="0"/>
              <w:bottom w:val="single" w:color="CCCCCC" w:sz="4"/>
              <w:right w:val="none" w:sz="0"/>
            </w:tcBorders>
            <w:shd w:fill="FFFFFF" w:color="auto" w:val="clear"/>
            <w:tcMar>
              <w:top w:type="dxa" w:w="80"/>
              <w:left w:type="dxa" w:w="80"/>
              <w:bottom w:type="dxa" w:w="80"/>
              <w:right w:type="dxa" w:w="80"/>
            </w:tcMar>
          </w:tcPr>
          <w:p>
            <w:pPr>
              <w:jc w:val="center"/>
            </w:pPr>
            <w:r>
              <w:rPr>
                <w:rFonts w:ascii="Arial" w:cs="Arial" w:eastAsia="Arial" w:hAnsi="Arial"/>
                <w:b/>
                <w:bCs/>
                <w:color w:val="F1A208"/>
                <w:sz w:val="26"/>
                <w:szCs w:val="26"/>
              </w:rPr>
              <w:t xml:space="preserve">300K</w:t>
            </w:r>
          </w:p>
        </w:tc>
        <w:tc>
          <w:tcPr>
            <w:tcW w:type="dxa" w:w="1800"/>
            <w:tcBorders>
              <w:top w:val="single" w:color="CCCCCC" w:sz="4"/>
              <w:left w:val="none" w:sz="0"/>
              <w:bottom w:val="single" w:color="CCCCCC" w:sz="4"/>
              <w:right w:val="none" w:sz="0"/>
            </w:tcBorders>
            <w:shd w:fill="FFFFFF" w:color="auto" w:val="clear"/>
            <w:tcMar>
              <w:top w:type="dxa" w:w="80"/>
              <w:left w:type="dxa" w:w="80"/>
              <w:bottom w:type="dxa" w:w="80"/>
              <w:right w:type="dxa" w:w="80"/>
            </w:tcMar>
          </w:tcPr>
          <w:p>
            <w:pPr>
              <w:jc w:val="center"/>
            </w:pPr>
            <w:r>
              <w:rPr>
                <w:rFonts w:ascii="Arial" w:cs="Arial" w:eastAsia="Arial" w:hAnsi="Arial"/>
                <w:b/>
                <w:bCs/>
                <w:color w:val="F1A208"/>
                <w:sz w:val="26"/>
                <w:szCs w:val="26"/>
              </w:rPr>
              <w:t xml:space="preserve">1M+</w:t>
            </w:r>
          </w:p>
        </w:tc>
      </w:tr>
      <w:tr>
        <w:tc>
          <w:tcPr>
            <w:tcW w:type="dxa" w:w="3960"/>
            <w:tcBorders>
              <w:top w:val="single" w:color="CCCCCC" w:sz="4"/>
              <w:left w:val="none" w:sz="0"/>
              <w:bottom w:val="single" w:color="CCCCCC" w:sz="4"/>
              <w:right w:val="none" w:sz="0"/>
            </w:tcBorders>
            <w:shd w:fill="F4F4F6" w:color="auto" w:val="clear"/>
            <w:tcMar>
              <w:top w:type="dxa" w:w="80"/>
              <w:left w:type="dxa" w:w="160"/>
              <w:bottom w:type="dxa" w:w="80"/>
              <w:right w:type="dxa" w:w="80"/>
            </w:tcMar>
          </w:tcPr>
          <w:p>
            <w:r>
              <w:rPr>
                <w:rFonts w:ascii="Arial" w:cs="Arial" w:eastAsia="Arial" w:hAnsi="Arial"/>
                <w:color w:val="0A0A12"/>
                <w:sz w:val="22"/>
                <w:szCs w:val="22"/>
              </w:rPr>
              <w:t xml:space="preserve">Newsletter subscribers</w:t>
            </w:r>
          </w:p>
        </w:tc>
        <w:tc>
          <w:tcPr>
            <w:tcW w:type="dxa" w:w="1800"/>
            <w:tcBorders>
              <w:top w:val="single" w:color="CCCCCC" w:sz="4"/>
              <w:left w:val="none" w:sz="0"/>
              <w:bottom w:val="single" w:color="CCCCCC" w:sz="4"/>
              <w:right w:val="none" w:sz="0"/>
            </w:tcBorders>
            <w:shd w:fill="F4F4F6" w:color="auto" w:val="clear"/>
            <w:tcMar>
              <w:top w:type="dxa" w:w="80"/>
              <w:left w:type="dxa" w:w="80"/>
              <w:bottom w:type="dxa" w:w="80"/>
              <w:right w:type="dxa" w:w="80"/>
            </w:tcMar>
          </w:tcPr>
          <w:p>
            <w:pPr>
              <w:jc w:val="center"/>
            </w:pPr>
            <w:r>
              <w:rPr>
                <w:rFonts w:ascii="Arial" w:cs="Arial" w:eastAsia="Arial" w:hAnsi="Arial"/>
                <w:b/>
                <w:bCs/>
                <w:color w:val="F1A208"/>
                <w:sz w:val="26"/>
                <w:szCs w:val="26"/>
              </w:rPr>
              <w:t xml:space="preserve">5K</w:t>
            </w:r>
          </w:p>
        </w:tc>
        <w:tc>
          <w:tcPr>
            <w:tcW w:type="dxa" w:w="1800"/>
            <w:tcBorders>
              <w:top w:val="single" w:color="CCCCCC" w:sz="4"/>
              <w:left w:val="none" w:sz="0"/>
              <w:bottom w:val="single" w:color="CCCCCC" w:sz="4"/>
              <w:right w:val="none" w:sz="0"/>
            </w:tcBorders>
            <w:shd w:fill="F4F4F6" w:color="auto" w:val="clear"/>
            <w:tcMar>
              <w:top w:type="dxa" w:w="80"/>
              <w:left w:type="dxa" w:w="80"/>
              <w:bottom w:type="dxa" w:w="80"/>
              <w:right w:type="dxa" w:w="80"/>
            </w:tcMar>
          </w:tcPr>
          <w:p>
            <w:pPr>
              <w:jc w:val="center"/>
            </w:pPr>
            <w:r>
              <w:rPr>
                <w:rFonts w:ascii="Arial" w:cs="Arial" w:eastAsia="Arial" w:hAnsi="Arial"/>
                <w:b/>
                <w:bCs/>
                <w:color w:val="F1A208"/>
                <w:sz w:val="26"/>
                <w:szCs w:val="26"/>
              </w:rPr>
              <w:t xml:space="preserve">25K</w:t>
            </w:r>
          </w:p>
        </w:tc>
        <w:tc>
          <w:tcPr>
            <w:tcW w:type="dxa" w:w="1800"/>
            <w:tcBorders>
              <w:top w:val="single" w:color="CCCCCC" w:sz="4"/>
              <w:left w:val="none" w:sz="0"/>
              <w:bottom w:val="single" w:color="CCCCCC" w:sz="4"/>
              <w:right w:val="none" w:sz="0"/>
            </w:tcBorders>
            <w:shd w:fill="F4F4F6" w:color="auto" w:val="clear"/>
            <w:tcMar>
              <w:top w:type="dxa" w:w="80"/>
              <w:left w:type="dxa" w:w="80"/>
              <w:bottom w:type="dxa" w:w="80"/>
              <w:right w:type="dxa" w:w="80"/>
            </w:tcMar>
          </w:tcPr>
          <w:p>
            <w:pPr>
              <w:jc w:val="center"/>
            </w:pPr>
            <w:r>
              <w:rPr>
                <w:rFonts w:ascii="Arial" w:cs="Arial" w:eastAsia="Arial" w:hAnsi="Arial"/>
                <w:b/>
                <w:bCs/>
                <w:color w:val="F1A208"/>
                <w:sz w:val="26"/>
                <w:szCs w:val="26"/>
              </w:rPr>
              <w:t xml:space="preserve">100K</w:t>
            </w:r>
          </w:p>
        </w:tc>
      </w:tr>
      <w:tr>
        <w:tc>
          <w:tcPr>
            <w:tcW w:type="dxa" w:w="3960"/>
            <w:tcBorders>
              <w:top w:val="single" w:color="CCCCCC" w:sz="4"/>
              <w:left w:val="none" w:sz="0"/>
              <w:bottom w:val="single" w:color="CCCCCC" w:sz="4"/>
              <w:right w:val="none" w:sz="0"/>
            </w:tcBorders>
            <w:shd w:fill="FFFFFF" w:color="auto" w:val="clear"/>
            <w:tcMar>
              <w:top w:type="dxa" w:w="80"/>
              <w:left w:type="dxa" w:w="160"/>
              <w:bottom w:type="dxa" w:w="80"/>
              <w:right w:type="dxa" w:w="80"/>
            </w:tcMar>
          </w:tcPr>
          <w:p>
            <w:r>
              <w:rPr>
                <w:rFonts w:ascii="Arial" w:cs="Arial" w:eastAsia="Arial" w:hAnsi="Arial"/>
                <w:color w:val="0A0A12"/>
                <w:sz w:val="22"/>
                <w:szCs w:val="22"/>
              </w:rPr>
              <w:t xml:space="preserve">Discord active members</w:t>
            </w:r>
          </w:p>
        </w:tc>
        <w:tc>
          <w:tcPr>
            <w:tcW w:type="dxa" w:w="1800"/>
            <w:tcBorders>
              <w:top w:val="single" w:color="CCCCCC" w:sz="4"/>
              <w:left w:val="none" w:sz="0"/>
              <w:bottom w:val="single" w:color="CCCCCC" w:sz="4"/>
              <w:right w:val="none" w:sz="0"/>
            </w:tcBorders>
            <w:shd w:fill="FFFFFF" w:color="auto" w:val="clear"/>
            <w:tcMar>
              <w:top w:type="dxa" w:w="80"/>
              <w:left w:type="dxa" w:w="80"/>
              <w:bottom w:type="dxa" w:w="80"/>
              <w:right w:type="dxa" w:w="80"/>
            </w:tcMar>
          </w:tcPr>
          <w:p>
            <w:pPr>
              <w:jc w:val="center"/>
            </w:pPr>
            <w:r>
              <w:rPr>
                <w:rFonts w:ascii="Arial" w:cs="Arial" w:eastAsia="Arial" w:hAnsi="Arial"/>
                <w:b/>
                <w:bCs/>
                <w:color w:val="F1A208"/>
                <w:sz w:val="26"/>
                <w:szCs w:val="26"/>
              </w:rPr>
              <w:t xml:space="preserve">1K</w:t>
            </w:r>
          </w:p>
        </w:tc>
        <w:tc>
          <w:tcPr>
            <w:tcW w:type="dxa" w:w="1800"/>
            <w:tcBorders>
              <w:top w:val="single" w:color="CCCCCC" w:sz="4"/>
              <w:left w:val="none" w:sz="0"/>
              <w:bottom w:val="single" w:color="CCCCCC" w:sz="4"/>
              <w:right w:val="none" w:sz="0"/>
            </w:tcBorders>
            <w:shd w:fill="FFFFFF" w:color="auto" w:val="clear"/>
            <w:tcMar>
              <w:top w:type="dxa" w:w="80"/>
              <w:left w:type="dxa" w:w="80"/>
              <w:bottom w:type="dxa" w:w="80"/>
              <w:right w:type="dxa" w:w="80"/>
            </w:tcMar>
          </w:tcPr>
          <w:p>
            <w:pPr>
              <w:jc w:val="center"/>
            </w:pPr>
            <w:r>
              <w:rPr>
                <w:rFonts w:ascii="Arial" w:cs="Arial" w:eastAsia="Arial" w:hAnsi="Arial"/>
                <w:b/>
                <w:bCs/>
                <w:color w:val="F1A208"/>
                <w:sz w:val="26"/>
                <w:szCs w:val="26"/>
              </w:rPr>
              <w:t xml:space="preserve">5K</w:t>
            </w:r>
          </w:p>
        </w:tc>
        <w:tc>
          <w:tcPr>
            <w:tcW w:type="dxa" w:w="1800"/>
            <w:tcBorders>
              <w:top w:val="single" w:color="CCCCCC" w:sz="4"/>
              <w:left w:val="none" w:sz="0"/>
              <w:bottom w:val="single" w:color="CCCCCC" w:sz="4"/>
              <w:right w:val="none" w:sz="0"/>
            </w:tcBorders>
            <w:shd w:fill="FFFFFF" w:color="auto" w:val="clear"/>
            <w:tcMar>
              <w:top w:type="dxa" w:w="80"/>
              <w:left w:type="dxa" w:w="80"/>
              <w:bottom w:type="dxa" w:w="80"/>
              <w:right w:type="dxa" w:w="80"/>
            </w:tcMar>
          </w:tcPr>
          <w:p>
            <w:pPr>
              <w:jc w:val="center"/>
            </w:pPr>
            <w:r>
              <w:rPr>
                <w:rFonts w:ascii="Arial" w:cs="Arial" w:eastAsia="Arial" w:hAnsi="Arial"/>
                <w:b/>
                <w:bCs/>
                <w:color w:val="F1A208"/>
                <w:sz w:val="26"/>
                <w:szCs w:val="26"/>
              </w:rPr>
              <w:t xml:space="preserve">25K</w:t>
            </w:r>
          </w:p>
        </w:tc>
      </w:tr>
      <w:tr>
        <w:tc>
          <w:tcPr>
            <w:tcW w:type="dxa" w:w="3960"/>
            <w:tcBorders>
              <w:top w:val="single" w:color="CCCCCC" w:sz="4"/>
              <w:left w:val="none" w:sz="0"/>
              <w:bottom w:val="single" w:color="CCCCCC" w:sz="4"/>
              <w:right w:val="none" w:sz="0"/>
            </w:tcBorders>
            <w:shd w:fill="F4F4F6" w:color="auto" w:val="clear"/>
            <w:tcMar>
              <w:top w:type="dxa" w:w="80"/>
              <w:left w:type="dxa" w:w="160"/>
              <w:bottom w:type="dxa" w:w="80"/>
              <w:right w:type="dxa" w:w="80"/>
            </w:tcMar>
          </w:tcPr>
          <w:p>
            <w:r>
              <w:rPr>
                <w:rFonts w:ascii="Arial" w:cs="Arial" w:eastAsia="Arial" w:hAnsi="Arial"/>
                <w:color w:val="0A0A12"/>
                <w:sz w:val="22"/>
                <w:szCs w:val="22"/>
              </w:rPr>
              <w:t xml:space="preserve">Paid members</w:t>
            </w:r>
          </w:p>
        </w:tc>
        <w:tc>
          <w:tcPr>
            <w:tcW w:type="dxa" w:w="1800"/>
            <w:tcBorders>
              <w:top w:val="single" w:color="CCCCCC" w:sz="4"/>
              <w:left w:val="none" w:sz="0"/>
              <w:bottom w:val="single" w:color="CCCCCC" w:sz="4"/>
              <w:right w:val="none" w:sz="0"/>
            </w:tcBorders>
            <w:shd w:fill="F4F4F6" w:color="auto" w:val="clear"/>
            <w:tcMar>
              <w:top w:type="dxa" w:w="80"/>
              <w:left w:type="dxa" w:w="80"/>
              <w:bottom w:type="dxa" w:w="80"/>
              <w:right w:type="dxa" w:w="80"/>
            </w:tcMar>
          </w:tcPr>
          <w:p>
            <w:pPr>
              <w:jc w:val="center"/>
            </w:pPr>
            <w:r>
              <w:rPr>
                <w:rFonts w:ascii="Arial" w:cs="Arial" w:eastAsia="Arial" w:hAnsi="Arial"/>
                <w:b/>
                <w:bCs/>
                <w:color w:val="F1A208"/>
                <w:sz w:val="26"/>
                <w:szCs w:val="26"/>
              </w:rPr>
              <w:t xml:space="preserve">—</w:t>
            </w:r>
          </w:p>
        </w:tc>
        <w:tc>
          <w:tcPr>
            <w:tcW w:type="dxa" w:w="1800"/>
            <w:tcBorders>
              <w:top w:val="single" w:color="CCCCCC" w:sz="4"/>
              <w:left w:val="none" w:sz="0"/>
              <w:bottom w:val="single" w:color="CCCCCC" w:sz="4"/>
              <w:right w:val="none" w:sz="0"/>
            </w:tcBorders>
            <w:shd w:fill="F4F4F6" w:color="auto" w:val="clear"/>
            <w:tcMar>
              <w:top w:type="dxa" w:w="80"/>
              <w:left w:type="dxa" w:w="80"/>
              <w:bottom w:type="dxa" w:w="80"/>
              <w:right w:type="dxa" w:w="80"/>
            </w:tcMar>
          </w:tcPr>
          <w:p>
            <w:pPr>
              <w:jc w:val="center"/>
            </w:pPr>
            <w:r>
              <w:rPr>
                <w:rFonts w:ascii="Arial" w:cs="Arial" w:eastAsia="Arial" w:hAnsi="Arial"/>
                <w:b/>
                <w:bCs/>
                <w:color w:val="F1A208"/>
                <w:sz w:val="26"/>
                <w:szCs w:val="26"/>
              </w:rPr>
              <w:t xml:space="preserve">500</w:t>
            </w:r>
          </w:p>
        </w:tc>
        <w:tc>
          <w:tcPr>
            <w:tcW w:type="dxa" w:w="1800"/>
            <w:tcBorders>
              <w:top w:val="single" w:color="CCCCCC" w:sz="4"/>
              <w:left w:val="none" w:sz="0"/>
              <w:bottom w:val="single" w:color="CCCCCC" w:sz="4"/>
              <w:right w:val="none" w:sz="0"/>
            </w:tcBorders>
            <w:shd w:fill="F4F4F6" w:color="auto" w:val="clear"/>
            <w:tcMar>
              <w:top w:type="dxa" w:w="80"/>
              <w:left w:type="dxa" w:w="80"/>
              <w:bottom w:type="dxa" w:w="80"/>
              <w:right w:type="dxa" w:w="80"/>
            </w:tcMar>
          </w:tcPr>
          <w:p>
            <w:pPr>
              <w:jc w:val="center"/>
            </w:pPr>
            <w:r>
              <w:rPr>
                <w:rFonts w:ascii="Arial" w:cs="Arial" w:eastAsia="Arial" w:hAnsi="Arial"/>
                <w:b/>
                <w:bCs/>
                <w:color w:val="F1A208"/>
                <w:sz w:val="26"/>
                <w:szCs w:val="26"/>
              </w:rPr>
              <w:t xml:space="preserve">5K</w:t>
            </w:r>
          </w:p>
        </w:tc>
      </w:tr>
    </w:tbl>
    <w:p>
      <w:pPr>
        <w:spacing w:after="80" w:before="220"/>
      </w:pPr>
      <w:r>
        <w:rPr>
          <w:rFonts w:ascii="Arial" w:cs="Arial" w:eastAsia="Arial" w:hAnsi="Arial"/>
          <w:b/>
          <w:bCs/>
          <w:color w:val="F1A208"/>
          <w:spacing w:val="40"/>
          <w:sz w:val="22"/>
          <w:szCs w:val="22"/>
        </w:rPr>
        <w:t xml:space="preserve">THE NORTH-STAR METRIC</w:t>
      </w:r>
    </w:p>
    <w:p>
      <w:pPr>
        <w:spacing w:after="140" w:before="0"/>
      </w:pPr>
      <w:r>
        <w:rPr>
          <w:rFonts w:ascii="Arial" w:cs="Arial" w:eastAsia="Arial" w:hAnsi="Arial"/>
          <w:color w:val="0A0A12"/>
          <w:sz w:val="22"/>
          <w:szCs w:val="22"/>
        </w:rPr>
        <w:t xml:space="preserve">Revenue per Audience Member (RPAM) — total revenue divided by total reachable audience. This is the single best long-term efficiency measure of whether the ecosystem is monetizing. As RPAM grows, the social arm becomes more valuable per follower; as it stagnates, we know we're growing audience without value capture.</w:t>
      </w:r>
    </w:p>
    <w:p>
      <w:pPr>
        <w:pBdr>
          <w:left w:val="single" w:color="F1A208" w:sz="12" w:space="12"/>
        </w:pBdr>
        <w:spacing w:after="120" w:before="120"/>
        <w:ind w:left="200"/>
      </w:pPr>
      <w:r>
        <w:rPr>
          <w:rFonts w:ascii="Arial" w:cs="Arial" w:eastAsia="Arial" w:hAnsi="Arial"/>
          <w:b/>
          <w:bCs/>
          <w:color w:val="F1A208"/>
          <w:spacing w:val="40"/>
          <w:sz w:val="18"/>
          <w:szCs w:val="18"/>
        </w:rPr>
        <w:t xml:space="preserve">VISUAL NOTE: </w:t>
      </w:r>
      <w:r>
        <w:rPr>
          <w:rFonts w:ascii="Arial" w:cs="Arial" w:eastAsia="Arial" w:hAnsi="Arial"/>
          <w:i/>
          <w:iCs/>
          <w:color w:val="5A5A6B"/>
          <w:sz w:val="20"/>
          <w:szCs w:val="20"/>
        </w:rPr>
        <w:t xml:space="preserve">Visual: KPI table dominates the slide. Headers in red bar. Numbers in big amber/gold. Below the table: a single highlight box with 'The North-Star Metric' — RPAM definition. The table should feel like a scorecard, not a forecast.</w:t>
      </w:r>
    </w:p>
    <w:p>
      <w:pPr>
        <w:pBdr>
          <w:top w:val="single" w:color="E63946" w:sz="12" w:space="6"/>
        </w:pBdr>
        <w:spacing w:after="60" w:before="600"/>
      </w:pPr>
      <w:r>
        <w:rPr>
          <w:rFonts w:ascii="Arial" w:cs="Arial" w:eastAsia="Arial" w:hAnsi="Arial"/>
          <w:b/>
          <w:bCs/>
          <w:color w:val="5A5A6B"/>
          <w:spacing w:val="80"/>
          <w:sz w:val="18"/>
          <w:szCs w:val="18"/>
        </w:rPr>
        <w:t xml:space="preserve">SLIDE 14 / 14</w:t>
      </w:r>
    </w:p>
    <w:p>
      <w:pPr>
        <w:spacing w:after="120" w:before="480"/>
      </w:pPr>
      <w:r>
        <w:rPr>
          <w:rFonts w:ascii="Arial" w:cs="Arial" w:eastAsia="Arial" w:hAnsi="Arial"/>
          <w:b/>
          <w:bCs/>
          <w:color w:val="E63946"/>
          <w:spacing w:val="60"/>
          <w:sz w:val="18"/>
          <w:szCs w:val="18"/>
        </w:rPr>
        <w:t xml:space="preserve">THE CLOSE</w:t>
      </w:r>
    </w:p>
    <w:p>
      <w:pPr>
        <w:pStyle w:val="Heading1"/>
        <w:spacing w:after="160" w:before="80"/>
      </w:pPr>
      <w:r>
        <w:rPr>
          <w:rFonts w:ascii="Arial" w:cs="Arial" w:eastAsia="Arial" w:hAnsi="Arial"/>
          <w:b/>
          <w:bCs/>
          <w:color w:val="0A0A12"/>
          <w:sz w:val="40"/>
          <w:szCs w:val="40"/>
        </w:rPr>
        <w:t xml:space="preserve">This isn't marketing. It's the second business.</w:t>
      </w:r>
    </w:p>
    <w:p>
      <w:pPr>
        <w:spacing w:after="140" w:before="0"/>
      </w:pPr>
      <w:r>
        <w:rPr>
          <w:rFonts w:ascii="Arial" w:cs="Arial" w:eastAsia="Arial" w:hAnsi="Arial"/>
          <w:color w:val="0A0A12"/>
          <w:sz w:val="22"/>
          <w:szCs w:val="22"/>
        </w:rPr>
        <w:t xml:space="preserve">League of Rock Inc. has the show. With it, we have a moment. Without the social media ecosystem, that moment ends when each season does. With it, the moment becomes a movement — and the movement becomes a company asset.</w:t>
      </w:r>
    </w:p>
    <w:p>
      <w:pPr>
        <w:spacing w:after="80" w:before="220"/>
      </w:pPr>
      <w:r>
        <w:rPr>
          <w:rFonts w:ascii="Arial" w:cs="Arial" w:eastAsia="Arial" w:hAnsi="Arial"/>
          <w:b/>
          <w:bCs/>
          <w:color w:val="F1A208"/>
          <w:spacing w:val="40"/>
          <w:sz w:val="22"/>
          <w:szCs w:val="22"/>
        </w:rPr>
        <w:t xml:space="preserve">THREE CLOSING PRINCIPLES</w:t>
      </w:r>
    </w:p>
    <w:p>
      <w:pPr>
        <w:pStyle w:val="ListParagraph"/>
        <w:numPr>
          <w:ilvl w:val="0"/>
          <w:numId w:val="2"/>
        </w:numPr>
        <w:spacing w:after="60" w:before="0"/>
      </w:pPr>
      <w:r>
        <w:rPr>
          <w:rFonts w:ascii="Arial" w:cs="Arial" w:eastAsia="Arial" w:hAnsi="Arial"/>
          <w:b/>
          <w:bCs/>
          <w:color w:val="E63946"/>
          <w:sz w:val="22"/>
          <w:szCs w:val="22"/>
        </w:rPr>
        <w:t xml:space="preserve">01  The show creates the moment. Social compounds it. </w:t>
      </w:r>
      <w:r>
        <w:rPr>
          <w:rFonts w:ascii="Arial" w:cs="Arial" w:eastAsia="Arial" w:hAnsi="Arial"/>
          <w:color w:val="0A0A12"/>
          <w:sz w:val="22"/>
          <w:szCs w:val="22"/>
        </w:rPr>
        <w:t xml:space="preserve">Every episode drives top-of-funnel attention. The social ecosystem catches that attention and converts it into a long-term asset the company owns.</w:t>
      </w:r>
    </w:p>
    <w:p>
      <w:pPr>
        <w:pStyle w:val="ListParagraph"/>
        <w:numPr>
          <w:ilvl w:val="0"/>
          <w:numId w:val="2"/>
        </w:numPr>
        <w:spacing w:after="60" w:before="0"/>
      </w:pPr>
      <w:r>
        <w:rPr>
          <w:rFonts w:ascii="Arial" w:cs="Arial" w:eastAsia="Arial" w:hAnsi="Arial"/>
          <w:b/>
          <w:bCs/>
          <w:color w:val="E63946"/>
          <w:sz w:val="22"/>
          <w:szCs w:val="22"/>
        </w:rPr>
        <w:t xml:space="preserve">02  Diversified revenue de-risks the company. </w:t>
      </w:r>
      <w:r>
        <w:rPr>
          <w:rFonts w:ascii="Arial" w:cs="Arial" w:eastAsia="Arial" w:hAnsi="Arial"/>
          <w:color w:val="0A0A12"/>
          <w:sz w:val="22"/>
          <w:szCs w:val="22"/>
        </w:rPr>
        <w:t xml:space="preserve">The broadcast deal is one revenue line. The social ecosystem is twelve. Each line strengthens the others. If any single platform shifts policy, the business survives.</w:t>
      </w:r>
    </w:p>
    <w:p>
      <w:pPr>
        <w:pStyle w:val="ListParagraph"/>
        <w:numPr>
          <w:ilvl w:val="0"/>
          <w:numId w:val="2"/>
        </w:numPr>
        <w:spacing w:after="60" w:before="0"/>
      </w:pPr>
      <w:r>
        <w:rPr>
          <w:rFonts w:ascii="Arial" w:cs="Arial" w:eastAsia="Arial" w:hAnsi="Arial"/>
          <w:b/>
          <w:bCs/>
          <w:color w:val="E63946"/>
          <w:sz w:val="22"/>
          <w:szCs w:val="22"/>
        </w:rPr>
        <w:t xml:space="preserve">03  The data we collect is the IP we keep. </w:t>
      </w:r>
      <w:r>
        <w:rPr>
          <w:rFonts w:ascii="Arial" w:cs="Arial" w:eastAsia="Arial" w:hAnsi="Arial"/>
          <w:color w:val="0A0A12"/>
          <w:sz w:val="22"/>
          <w:szCs w:val="22"/>
        </w:rPr>
        <w:t xml:space="preserve">Audience data, engagement signals, demographic insights — these are the most valuable assets we'll generate, and they're how we win every future negotiation.</w:t>
      </w:r>
    </w:p>
    <w:p>
      <w:pPr>
        <w:spacing w:after="0" w:before="600"/>
      </w:pPr>
      <w:r>
        <w:rPr>
          <w:rFonts w:ascii="Arial" w:cs="Arial" w:eastAsia="Arial" w:hAnsi="Arial"/>
          <w:b/>
          <w:bCs/>
          <w:color w:val="E63946"/>
          <w:spacing w:val="100"/>
          <w:sz w:val="36"/>
          <w:szCs w:val="36"/>
        </w:rPr>
        <w:t xml:space="preserve">LET'S BUILD THE ENGINE.</w:t>
      </w:r>
    </w:p>
    <w:p>
      <w:pPr>
        <w:pBdr>
          <w:left w:val="single" w:color="F1A208" w:sz="12" w:space="12"/>
        </w:pBdr>
        <w:spacing w:after="120" w:before="120"/>
        <w:ind w:left="200"/>
      </w:pPr>
      <w:r>
        <w:rPr>
          <w:rFonts w:ascii="Arial" w:cs="Arial" w:eastAsia="Arial" w:hAnsi="Arial"/>
          <w:b/>
          <w:bCs/>
          <w:color w:val="F1A208"/>
          <w:spacing w:val="40"/>
          <w:sz w:val="18"/>
          <w:szCs w:val="18"/>
        </w:rPr>
        <w:t xml:space="preserve">VISUAL NOTE: </w:t>
      </w:r>
      <w:r>
        <w:rPr>
          <w:rFonts w:ascii="Arial" w:cs="Arial" w:eastAsia="Arial" w:hAnsi="Arial"/>
          <w:i/>
          <w:iCs/>
          <w:color w:val="5A5A6B"/>
          <w:sz w:val="20"/>
          <w:szCs w:val="20"/>
        </w:rPr>
        <w:t xml:space="preserve">Visual: Big bold close. Headline 'This isn't marketing. It's the second business.' as the centerpiece. Three principles as numbered cards below. Final line 'LET'S BUILD THE ENGINE.' in big red spaced caps.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Arial" w:cs="Arial" w:eastAsia="Arial" w:hAnsi="Arial"/>
        <w:color w:val="E6394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80"/>
      <w:outlineLvl w:val="0"/>
    </w:pPr>
    <w:rPr>
      <w:rFonts w:ascii="Arial" w:cs="Arial" w:eastAsia="Arial" w:hAnsi="Arial"/>
      <w:b/>
      <w:bCs/>
      <w:color w:val="0A0A12"/>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Social Media Empire — Partner Briefing</dc:title>
  <dc:creator>League of Rock Inc.</dc:creator>
  <dc:description>Slide-by-slide content blueprint for the partner presentation on League of Rock's social media strategy.</dc:description>
  <cp:lastModifiedBy>Un-named</cp:lastModifiedBy>
  <cp:revision>1</cp:revision>
  <dcterms:created xsi:type="dcterms:W3CDTF">2026-05-11T22:23:36.864Z</dcterms:created>
  <dcterms:modified xsi:type="dcterms:W3CDTF">2026-05-11T22:23:36.864Z</dcterms:modified>
</cp:coreProperties>
</file>

<file path=docProps/custom.xml><?xml version="1.0" encoding="utf-8"?>
<Properties xmlns="http://schemas.openxmlformats.org/officeDocument/2006/custom-properties" xmlns:vt="http://schemas.openxmlformats.org/officeDocument/2006/docPropsVTypes"/>
</file>