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Calibri" w:cs="Calibri" w:eastAsia="Calibri" w:hAnsi="Calibri"/>
          <w:b/>
          <w:bCs/>
          <w:color w:val="782F40"/>
          <w:spacing w:val="30"/>
          <w:sz w:val="40"/>
          <w:szCs w:val="40"/>
        </w:rPr>
        <w:t xml:space="preserve">CHRISTOPHER ALBRIZIO</w:t>
      </w:r>
    </w:p>
    <w:p>
      <w:pPr>
        <w:spacing w:after="60"/>
      </w:pPr>
      <w:r>
        <w:rPr>
          <w:rFonts w:ascii="Calibri" w:cs="Calibri" w:eastAsia="Calibri" w:hAnsi="Calibri"/>
          <w:b/>
          <w:bCs/>
          <w:color w:val="9A7B33"/>
          <w:sz w:val="22"/>
          <w:szCs w:val="22"/>
        </w:rPr>
        <w:t xml:space="preserve">BSA / Implementation &amp; Training Lead  ·  Mortgage Technology</w:t>
      </w:r>
    </w:p>
    <w:p>
      <w:pPr>
        <w:pBdr>
          <w:bottom w:val="single" w:color="9A7B33" w:sz="8" w:space="4"/>
        </w:pBdr>
        <w:spacing w:after="40"/>
      </w:pPr>
      <w:r>
        <w:rPr>
          <w:rFonts w:ascii="Calibri" w:cs="Calibri" w:eastAsia="Calibri" w:hAnsi="Calibri"/>
          <w:color w:val="555555"/>
          <w:sz w:val="18"/>
          <w:szCs w:val="18"/>
        </w:rPr>
        <w:t xml:space="preserve">chrisalbrizio@gmail.com  ·  (609) 903-5121  ·  Tallahassee, FL · Remote  ·  </w:t>
      </w:r>
      <w:hyperlink w:history="1" r:id="rIdopevk-z1si4lvujwyfml1">
        <w:r>
          <w:rPr>
            <w:rFonts w:ascii="Calibri" w:cs="Calibri" w:eastAsia="Calibri" w:hAnsi="Calibri"/>
            <w:color w:val="782F40"/>
            <w:sz w:val="18"/>
            <w:szCs w:val="18"/>
          </w:rPr>
          <w:t xml:space="preserve">chrisalbrizio-ca.github.io</w:t>
        </w:r>
      </w:hyperlink>
      <w:r>
        <w:rPr>
          <w:rFonts w:ascii="Calibri" w:cs="Calibri" w:eastAsia="Calibri" w:hAnsi="Calibri"/>
          <w:color w:val="555555"/>
          <w:sz w:val="18"/>
          <w:szCs w:val="18"/>
        </w:rPr>
        <w:t xml:space="preserve">  ·  </w:t>
      </w:r>
      <w:hyperlink w:history="1" r:id="rId7aw8fj4oqhyzjfpzpelnm">
        <w:r>
          <w:rPr>
            <w:rFonts w:ascii="Calibri" w:cs="Calibri" w:eastAsia="Calibri" w:hAnsi="Calibri"/>
            <w:color w:val="782F40"/>
            <w:sz w:val="18"/>
            <w:szCs w:val="18"/>
          </w:rPr>
          <w:t xml:space="preserve">linkedin.com/in/chris-albrizio</w:t>
        </w:r>
      </w:hyperlink>
    </w:p>
    <w:p>
      <w:pPr>
        <w:pBdr>
          <w:bottom w:val="single" w:color="782F40" w:sz="8" w:space="2"/>
        </w:pBdr>
        <w:spacing w:after="100" w:before="240"/>
      </w:pPr>
      <w:r>
        <w:rPr>
          <w:rFonts w:ascii="Calibri" w:cs="Calibri" w:eastAsia="Calibri" w:hAnsi="Calibri"/>
          <w:b/>
          <w:bCs/>
          <w:color w:val="782F40"/>
          <w:spacing w:val="40"/>
          <w:sz w:val="22"/>
          <w:szCs w:val="22"/>
        </w:rPr>
        <w:t xml:space="preserve">PROFESSIONAL SUMMARY</w:t>
      </w:r>
    </w:p>
    <w:p>
      <w:pPr>
        <w:spacing w:after="80"/>
        <w:jc w:val="both"/>
      </w:pPr>
      <w:r>
        <w:rPr>
          <w:rFonts w:ascii="Calibri" w:cs="Calibri" w:eastAsia="Calibri" w:hAnsi="Calibri"/>
          <w:color w:val="1A1A1A"/>
          <w:sz w:val="20"/>
          <w:szCs w:val="20"/>
        </w:rPr>
        <w:t xml:space="preserve">Mortgage technology specialist with 14+ years of experience leading complex system implementations and driving operational adoption across lending organizations. In Encompass since 2014 — the first processor trusted with the system at implementation — with deep, hands-on expertise spanning configuration, integrations, and custom logic. Proven track record owning full end-to-end deployments of Ocrolus, nCino SimpleNexus, and Encompass Partner Connect, from configuration and integration through training, go-live, and ongoing production support. Recognized as the primary SME and trusted technical advisor to Processing, Underwriting, Operations, and Sales leadership. Skilled at designing scalable workflows, building knowledge bases and standardized documentation, and influencing vendor roadmaps through structured feature enhancement. Translates technical solutions into measurable business outcomes.</w:t>
      </w:r>
    </w:p>
    <w:p>
      <w:pPr>
        <w:pBdr>
          <w:bottom w:val="single" w:color="782F40" w:sz="8" w:space="2"/>
        </w:pBdr>
        <w:spacing w:after="100" w:before="240"/>
      </w:pPr>
      <w:r>
        <w:rPr>
          <w:rFonts w:ascii="Calibri" w:cs="Calibri" w:eastAsia="Calibri" w:hAnsi="Calibri"/>
          <w:b/>
          <w:bCs/>
          <w:color w:val="782F40"/>
          <w:spacing w:val="40"/>
          <w:sz w:val="22"/>
          <w:szCs w:val="22"/>
        </w:rPr>
        <w:t xml:space="preserve">CORE COMPETENCIES</w:t>
      </w:r>
    </w:p>
    <w:tbl>
      <w:tblPr>
        <w:tblW w:type="dxa" w:w="9360"/>
        <w:tblBorders>
          <w:top w:val="none"/>
          <w:left w:val="none"/>
          <w:bottom w:val="none"/>
          <w:right w:val="none"/>
          <w:insideH w:val="none"/>
          <w:insideV w:val="none"/>
        </w:tblBorders>
      </w:tblPr>
      <w:tblGrid>
        <w:gridCol w:w="3120"/>
        <w:gridCol w:w="3120"/>
        <w:gridCol w:w="3120"/>
      </w:tblGrid>
      <w:tr>
        <w:tc>
          <w:tcPr>
            <w:tcW w:type="dxa" w:w="3120"/>
            <w:tcBorders>
              <w:top w:val="none"/>
              <w:left w:val="none"/>
              <w:bottom w:val="none"/>
              <w:right w:val="none"/>
            </w:tcBorders>
            <w:tcMar>
              <w:top w:type="dxa" w:w="40"/>
              <w:left w:type="dxa" w:w="60"/>
              <w:bottom w:type="dxa" w:w="40"/>
              <w:right w:type="dxa" w:w="60"/>
            </w:tcMar>
          </w:tcPr>
          <w:p>
            <w:r>
              <w:rPr>
                <w:rFonts w:ascii="Calibri" w:cs="Calibri" w:eastAsia="Calibri" w:hAnsi="Calibri"/>
                <w:color w:val="782F40"/>
                <w:sz w:val="18"/>
                <w:szCs w:val="18"/>
              </w:rPr>
              <w:t xml:space="preserve">▪ </w:t>
            </w:r>
            <w:r>
              <w:rPr>
                <w:rFonts w:ascii="Calibri" w:cs="Calibri" w:eastAsia="Calibri" w:hAnsi="Calibri"/>
                <w:color w:val="1A1A1A"/>
                <w:sz w:val="18"/>
                <w:szCs w:val="18"/>
              </w:rPr>
              <w:t xml:space="preserve">End-to-End Mortgage Tech Implementation</w:t>
            </w:r>
          </w:p>
        </w:tc>
        <w:tc>
          <w:tcPr>
            <w:tcW w:type="dxa" w:w="3120"/>
            <w:tcBorders>
              <w:top w:val="none"/>
              <w:left w:val="none"/>
              <w:bottom w:val="none"/>
              <w:right w:val="none"/>
            </w:tcBorders>
            <w:tcMar>
              <w:top w:type="dxa" w:w="40"/>
              <w:left w:type="dxa" w:w="60"/>
              <w:bottom w:type="dxa" w:w="40"/>
              <w:right w:type="dxa" w:w="60"/>
            </w:tcMar>
          </w:tcPr>
          <w:p>
            <w:r>
              <w:rPr>
                <w:rFonts w:ascii="Calibri" w:cs="Calibri" w:eastAsia="Calibri" w:hAnsi="Calibri"/>
                <w:color w:val="782F40"/>
                <w:sz w:val="18"/>
                <w:szCs w:val="18"/>
              </w:rPr>
              <w:t xml:space="preserve">▪ </w:t>
            </w:r>
            <w:r>
              <w:rPr>
                <w:rFonts w:ascii="Calibri" w:cs="Calibri" w:eastAsia="Calibri" w:hAnsi="Calibri"/>
                <w:color w:val="1A1A1A"/>
                <w:sz w:val="18"/>
                <w:szCs w:val="18"/>
              </w:rPr>
              <w:t xml:space="preserve">Workflow Design &amp; Standardization</w:t>
            </w:r>
          </w:p>
        </w:tc>
        <w:tc>
          <w:tcPr>
            <w:tcW w:type="dxa" w:w="3120"/>
            <w:tcBorders>
              <w:top w:val="none"/>
              <w:left w:val="none"/>
              <w:bottom w:val="none"/>
              <w:right w:val="none"/>
            </w:tcBorders>
            <w:tcMar>
              <w:top w:type="dxa" w:w="40"/>
              <w:left w:type="dxa" w:w="60"/>
              <w:bottom w:type="dxa" w:w="40"/>
              <w:right w:type="dxa" w:w="60"/>
            </w:tcMar>
          </w:tcPr>
          <w:p>
            <w:r>
              <w:rPr>
                <w:rFonts w:ascii="Calibri" w:cs="Calibri" w:eastAsia="Calibri" w:hAnsi="Calibri"/>
                <w:color w:val="782F40"/>
                <w:sz w:val="18"/>
                <w:szCs w:val="18"/>
              </w:rPr>
              <w:t xml:space="preserve">▪ </w:t>
            </w:r>
            <w:r>
              <w:rPr>
                <w:rFonts w:ascii="Calibri" w:cs="Calibri" w:eastAsia="Calibri" w:hAnsi="Calibri"/>
                <w:color w:val="1A1A1A"/>
                <w:sz w:val="18"/>
                <w:szCs w:val="18"/>
              </w:rPr>
              <w:t xml:space="preserve">25+ Partner Connect Integrations</w:t>
            </w:r>
          </w:p>
        </w:tc>
      </w:tr>
      <w:tr>
        <w:tc>
          <w:tcPr>
            <w:tcW w:type="dxa" w:w="3120"/>
            <w:tcBorders>
              <w:top w:val="none"/>
              <w:left w:val="none"/>
              <w:bottom w:val="none"/>
              <w:right w:val="none"/>
            </w:tcBorders>
            <w:tcMar>
              <w:top w:type="dxa" w:w="40"/>
              <w:left w:type="dxa" w:w="60"/>
              <w:bottom w:type="dxa" w:w="40"/>
              <w:right w:type="dxa" w:w="60"/>
            </w:tcMar>
          </w:tcPr>
          <w:p>
            <w:r>
              <w:rPr>
                <w:rFonts w:ascii="Calibri" w:cs="Calibri" w:eastAsia="Calibri" w:hAnsi="Calibri"/>
                <w:color w:val="782F40"/>
                <w:sz w:val="18"/>
                <w:szCs w:val="18"/>
              </w:rPr>
              <w:t xml:space="preserve">▪ </w:t>
            </w:r>
            <w:r>
              <w:rPr>
                <w:rFonts w:ascii="Calibri" w:cs="Calibri" w:eastAsia="Calibri" w:hAnsi="Calibri"/>
                <w:color w:val="1A1A1A"/>
                <w:sz w:val="18"/>
                <w:szCs w:val="18"/>
              </w:rPr>
              <w:t xml:space="preserve">Encompass Configuration &amp; SSF/JavaScript</w:t>
            </w:r>
          </w:p>
        </w:tc>
        <w:tc>
          <w:tcPr>
            <w:tcW w:type="dxa" w:w="3120"/>
            <w:tcBorders>
              <w:top w:val="none"/>
              <w:left w:val="none"/>
              <w:bottom w:val="none"/>
              <w:right w:val="none"/>
            </w:tcBorders>
            <w:tcMar>
              <w:top w:type="dxa" w:w="40"/>
              <w:left w:type="dxa" w:w="60"/>
              <w:bottom w:type="dxa" w:w="40"/>
              <w:right w:type="dxa" w:w="60"/>
            </w:tcMar>
          </w:tcPr>
          <w:p>
            <w:r>
              <w:rPr>
                <w:rFonts w:ascii="Calibri" w:cs="Calibri" w:eastAsia="Calibri" w:hAnsi="Calibri"/>
                <w:color w:val="782F40"/>
                <w:sz w:val="18"/>
                <w:szCs w:val="18"/>
              </w:rPr>
              <w:t xml:space="preserve">▪ </w:t>
            </w:r>
            <w:r>
              <w:rPr>
                <w:rFonts w:ascii="Calibri" w:cs="Calibri" w:eastAsia="Calibri" w:hAnsi="Calibri"/>
                <w:color w:val="1A1A1A"/>
                <w:sz w:val="18"/>
                <w:szCs w:val="18"/>
              </w:rPr>
              <w:t xml:space="preserve">Training, Adoption &amp; Change Management</w:t>
            </w:r>
          </w:p>
        </w:tc>
        <w:tc>
          <w:tcPr>
            <w:tcW w:type="dxa" w:w="3120"/>
            <w:tcBorders>
              <w:top w:val="none"/>
              <w:left w:val="none"/>
              <w:bottom w:val="none"/>
              <w:right w:val="none"/>
            </w:tcBorders>
            <w:tcMar>
              <w:top w:type="dxa" w:w="40"/>
              <w:left w:type="dxa" w:w="60"/>
              <w:bottom w:type="dxa" w:w="40"/>
              <w:right w:type="dxa" w:w="60"/>
            </w:tcMar>
          </w:tcPr>
          <w:p>
            <w:r>
              <w:rPr>
                <w:rFonts w:ascii="Calibri" w:cs="Calibri" w:eastAsia="Calibri" w:hAnsi="Calibri"/>
                <w:color w:val="782F40"/>
                <w:sz w:val="18"/>
                <w:szCs w:val="18"/>
              </w:rPr>
              <w:t xml:space="preserve">▪ </w:t>
            </w:r>
            <w:r>
              <w:rPr>
                <w:rFonts w:ascii="Calibri" w:cs="Calibri" w:eastAsia="Calibri" w:hAnsi="Calibri"/>
                <w:color w:val="1A1A1A"/>
                <w:sz w:val="18"/>
                <w:szCs w:val="18"/>
              </w:rPr>
              <w:t xml:space="preserve">Knowledge Base &amp; Documentation</w:t>
            </w:r>
          </w:p>
        </w:tc>
      </w:tr>
      <w:tr>
        <w:tc>
          <w:tcPr>
            <w:tcW w:type="dxa" w:w="3120"/>
            <w:tcBorders>
              <w:top w:val="none"/>
              <w:left w:val="none"/>
              <w:bottom w:val="none"/>
              <w:right w:val="none"/>
            </w:tcBorders>
            <w:tcMar>
              <w:top w:type="dxa" w:w="40"/>
              <w:left w:type="dxa" w:w="60"/>
              <w:bottom w:type="dxa" w:w="40"/>
              <w:right w:type="dxa" w:w="60"/>
            </w:tcMar>
          </w:tcPr>
          <w:p>
            <w:r>
              <w:rPr>
                <w:rFonts w:ascii="Calibri" w:cs="Calibri" w:eastAsia="Calibri" w:hAnsi="Calibri"/>
                <w:color w:val="782F40"/>
                <w:sz w:val="18"/>
                <w:szCs w:val="18"/>
              </w:rPr>
              <w:t xml:space="preserve">▪ </w:t>
            </w:r>
            <w:r>
              <w:rPr>
                <w:rFonts w:ascii="Calibri" w:cs="Calibri" w:eastAsia="Calibri" w:hAnsi="Calibri"/>
                <w:color w:val="1A1A1A"/>
                <w:sz w:val="18"/>
                <w:szCs w:val="18"/>
              </w:rPr>
              <w:t xml:space="preserve">Vendor Management &amp; Feature Enhancement</w:t>
            </w:r>
          </w:p>
        </w:tc>
        <w:tc>
          <w:tcPr>
            <w:tcW w:type="dxa" w:w="3120"/>
            <w:tcBorders>
              <w:top w:val="none"/>
              <w:left w:val="none"/>
              <w:bottom w:val="none"/>
              <w:right w:val="none"/>
            </w:tcBorders>
            <w:tcMar>
              <w:top w:type="dxa" w:w="40"/>
              <w:left w:type="dxa" w:w="60"/>
              <w:bottom w:type="dxa" w:w="40"/>
              <w:right w:type="dxa" w:w="60"/>
            </w:tcMar>
          </w:tcPr>
          <w:p>
            <w:r>
              <w:rPr>
                <w:rFonts w:ascii="Calibri" w:cs="Calibri" w:eastAsia="Calibri" w:hAnsi="Calibri"/>
                <w:color w:val="782F40"/>
                <w:sz w:val="18"/>
                <w:szCs w:val="18"/>
              </w:rPr>
              <w:t xml:space="preserve">▪ </w:t>
            </w:r>
            <w:r>
              <w:rPr>
                <w:rFonts w:ascii="Calibri" w:cs="Calibri" w:eastAsia="Calibri" w:hAnsi="Calibri"/>
                <w:color w:val="1A1A1A"/>
                <w:sz w:val="18"/>
                <w:szCs w:val="18"/>
              </w:rPr>
              <w:t xml:space="preserve">Equifax Credit Products SME</w:t>
            </w:r>
          </w:p>
        </w:tc>
        <w:tc>
          <w:tcPr>
            <w:tcW w:type="dxa" w:w="3120"/>
            <w:tcBorders>
              <w:top w:val="none"/>
              <w:left w:val="none"/>
              <w:bottom w:val="none"/>
              <w:right w:val="none"/>
            </w:tcBorders>
            <w:tcMar>
              <w:top w:type="dxa" w:w="40"/>
              <w:left w:type="dxa" w:w="60"/>
              <w:bottom w:type="dxa" w:w="40"/>
              <w:right w:type="dxa" w:w="60"/>
            </w:tcMar>
          </w:tcPr>
          <w:p>
            <w:r>
              <w:rPr>
                <w:rFonts w:ascii="Calibri" w:cs="Calibri" w:eastAsia="Calibri" w:hAnsi="Calibri"/>
                <w:color w:val="782F40"/>
                <w:sz w:val="18"/>
                <w:szCs w:val="18"/>
              </w:rPr>
              <w:t xml:space="preserve">▪ </w:t>
            </w:r>
            <w:r>
              <w:rPr>
                <w:rFonts w:ascii="Calibri" w:cs="Calibri" w:eastAsia="Calibri" w:hAnsi="Calibri"/>
                <w:color w:val="1A1A1A"/>
                <w:sz w:val="18"/>
                <w:szCs w:val="18"/>
              </w:rPr>
              <w:t xml:space="preserve">AI-Assisted Process Efficiency</w:t>
            </w:r>
          </w:p>
        </w:tc>
      </w:tr>
    </w:tbl>
    <w:p>
      <w:pPr>
        <w:pBdr>
          <w:bottom w:val="single" w:color="782F40" w:sz="8" w:space="2"/>
        </w:pBdr>
        <w:spacing w:after="100" w:before="240"/>
      </w:pPr>
      <w:r>
        <w:rPr>
          <w:rFonts w:ascii="Calibri" w:cs="Calibri" w:eastAsia="Calibri" w:hAnsi="Calibri"/>
          <w:b/>
          <w:bCs/>
          <w:color w:val="782F40"/>
          <w:spacing w:val="40"/>
          <w:sz w:val="22"/>
          <w:szCs w:val="22"/>
        </w:rPr>
        <w:t xml:space="preserve">PROFESSIONAL EXPERIENCE</w:t>
      </w:r>
    </w:p>
    <w:p>
      <w:pPr>
        <w:tabs>
          <w:tab w:val="right" w:pos="9360"/>
        </w:tabs>
        <w:spacing w:after="0" w:before="160"/>
      </w:pPr>
      <w:r>
        <w:rPr>
          <w:rFonts w:ascii="Calibri" w:cs="Calibri" w:eastAsia="Calibri" w:hAnsi="Calibri"/>
          <w:b/>
          <w:bCs/>
          <w:color w:val="1A1A1A"/>
          <w:sz w:val="21"/>
          <w:szCs w:val="21"/>
        </w:rPr>
        <w:t xml:space="preserve">BSA / Implementation &amp; Training Lead</w:t>
      </w:r>
      <w:r>
        <w:rPr>
          <w:rFonts w:ascii="Calibri" w:cs="Calibri" w:eastAsia="Calibri" w:hAnsi="Calibri"/>
          <w:i/>
          <w:iCs/>
          <w:color w:val="555555"/>
          <w:sz w:val="19"/>
          <w:szCs w:val="19"/>
        </w:rPr>
        <w:t xml:space="preserve">	March 2023 – Present</w:t>
      </w:r>
    </w:p>
    <w:p>
      <w:pPr>
        <w:spacing w:after="60"/>
      </w:pPr>
      <w:r>
        <w:rPr>
          <w:rFonts w:ascii="Calibri" w:cs="Calibri" w:eastAsia="Calibri" w:hAnsi="Calibri"/>
          <w:b/>
          <w:bCs/>
          <w:color w:val="782F40"/>
          <w:sz w:val="20"/>
          <w:szCs w:val="20"/>
        </w:rPr>
        <w:t xml:space="preserve">Hancock Whitney Bank  ·  Tallahassee, FL · Remote</w:t>
      </w:r>
    </w:p>
    <w:p>
      <w:pPr>
        <w:pStyle w:val="ListParagraph"/>
        <w:numPr>
          <w:ilvl w:val="0"/>
          <w:numId w:val="2"/>
        </w:numPr>
        <w:spacing w:after="70"/>
      </w:pPr>
      <w:r>
        <w:rPr>
          <w:rFonts w:ascii="Calibri" w:cs="Calibri" w:eastAsia="Calibri" w:hAnsi="Calibri"/>
          <w:b/>
          <w:bCs/>
          <w:color w:val="1A1A1A"/>
          <w:sz w:val="20"/>
          <w:szCs w:val="20"/>
        </w:rPr>
        <w:t xml:space="preserve">Led full end-to-end implementation</w:t>
      </w:r>
      <w:r>
        <w:rPr>
          <w:rFonts w:ascii="Calibri" w:cs="Calibri" w:eastAsia="Calibri" w:hAnsi="Calibri"/>
          <w:color w:val="1A1A1A"/>
          <w:sz w:val="20"/>
          <w:szCs w:val="20"/>
        </w:rPr>
        <w:t xml:space="preserve"> of Ocrolus, nCino SimpleNexus, and Encompass Partner Connect, owning configuration, integration, testing, training, go-live, and post-launch optimization across the institution.</w:t>
      </w:r>
    </w:p>
    <w:p>
      <w:pPr>
        <w:pStyle w:val="ListParagraph"/>
        <w:numPr>
          <w:ilvl w:val="0"/>
          <w:numId w:val="2"/>
        </w:numPr>
        <w:spacing w:after="70"/>
      </w:pPr>
      <w:r>
        <w:rPr>
          <w:rFonts w:ascii="Calibri" w:cs="Calibri" w:eastAsia="Calibri" w:hAnsi="Calibri"/>
          <w:b/>
          <w:bCs/>
          <w:color w:val="1A1A1A"/>
          <w:sz w:val="20"/>
          <w:szCs w:val="20"/>
        </w:rPr>
        <w:t xml:space="preserve">Designated SME and primary escalation point</w:t>
      </w:r>
      <w:r>
        <w:rPr>
          <w:rFonts w:ascii="Calibri" w:cs="Calibri" w:eastAsia="Calibri" w:hAnsi="Calibri"/>
          <w:color w:val="1A1A1A"/>
          <w:sz w:val="20"/>
          <w:szCs w:val="20"/>
        </w:rPr>
        <w:t xml:space="preserve"> for Ocrolus and nCino, supporting all user groups including MLOs, MLPs, Processors, Underwriters, Operations Managers, and Sales leadership.</w:t>
      </w:r>
    </w:p>
    <w:p>
      <w:pPr>
        <w:pStyle w:val="ListParagraph"/>
        <w:numPr>
          <w:ilvl w:val="0"/>
          <w:numId w:val="2"/>
        </w:numPr>
        <w:spacing w:after="70"/>
      </w:pPr>
      <w:r>
        <w:rPr>
          <w:rFonts w:ascii="Calibri" w:cs="Calibri" w:eastAsia="Calibri" w:hAnsi="Calibri"/>
          <w:b/>
          <w:bCs/>
          <w:color w:val="1A1A1A"/>
          <w:sz w:val="20"/>
          <w:szCs w:val="20"/>
        </w:rPr>
        <w:t xml:space="preserve">Configured and deployed 25+ Encompass Partner Connect integrations</w:t>
      </w:r>
      <w:r>
        <w:rPr>
          <w:rFonts w:ascii="Calibri" w:cs="Calibri" w:eastAsia="Calibri" w:hAnsi="Calibri"/>
          <w:color w:val="1A1A1A"/>
          <w:sz w:val="20"/>
          <w:szCs w:val="20"/>
        </w:rPr>
        <w:t xml:space="preserve">, including Finicity, The Work Number by Equifax, DataVerify, Optimal Blue, Mortgage Insurance Center, Halcyon 8821 Tax Services, ServiceLink National Flood, and Salesforce-to-Encompass.</w:t>
      </w:r>
    </w:p>
    <w:p>
      <w:pPr>
        <w:pStyle w:val="ListParagraph"/>
        <w:numPr>
          <w:ilvl w:val="0"/>
          <w:numId w:val="2"/>
        </w:numPr>
        <w:spacing w:after="70"/>
      </w:pPr>
      <w:r>
        <w:rPr>
          <w:rFonts w:ascii="Calibri" w:cs="Calibri" w:eastAsia="Calibri" w:hAnsi="Calibri"/>
          <w:b/>
          <w:bCs/>
          <w:color w:val="1A1A1A"/>
          <w:sz w:val="20"/>
          <w:szCs w:val="20"/>
        </w:rPr>
        <w:t xml:space="preserve">Built custom forms and business logic using SSF and JavaScript</w:t>
      </w:r>
      <w:r>
        <w:rPr>
          <w:rFonts w:ascii="Calibri" w:cs="Calibri" w:eastAsia="Calibri" w:hAnsi="Calibri"/>
          <w:color w:val="1A1A1A"/>
          <w:sz w:val="20"/>
          <w:szCs w:val="20"/>
        </w:rPr>
        <w:t xml:space="preserve"> where standard configuration tools were not flexible enough, automating conditional logic and field-level workflows.</w:t>
      </w:r>
    </w:p>
    <w:p>
      <w:pPr>
        <w:pStyle w:val="ListParagraph"/>
        <w:numPr>
          <w:ilvl w:val="0"/>
          <w:numId w:val="2"/>
        </w:numPr>
        <w:spacing w:after="70"/>
      </w:pPr>
      <w:r>
        <w:rPr>
          <w:rFonts w:ascii="Calibri" w:cs="Calibri" w:eastAsia="Calibri" w:hAnsi="Calibri"/>
          <w:b/>
          <w:bCs/>
          <w:color w:val="1A1A1A"/>
          <w:sz w:val="20"/>
          <w:szCs w:val="20"/>
        </w:rPr>
        <w:t xml:space="preserve">Trained 80+ users across multiple systems</w:t>
      </w:r>
      <w:r>
        <w:rPr>
          <w:rFonts w:ascii="Calibri" w:cs="Calibri" w:eastAsia="Calibri" w:hAnsi="Calibri"/>
          <w:color w:val="1A1A1A"/>
          <w:sz w:val="20"/>
          <w:szCs w:val="20"/>
        </w:rPr>
        <w:t xml:space="preserve"> including Ocrolus, nCino SimpleNexus, and Encompass Partner Connect integrations, building role-specific training for MLOs, Processors, Underwriters, Operations, and Sales — driving strong adoption across processor, underwriter, and MLO roles within the first production cycle.</w:t>
      </w:r>
    </w:p>
    <w:p>
      <w:pPr>
        <w:pStyle w:val="ListParagraph"/>
        <w:numPr>
          <w:ilvl w:val="0"/>
          <w:numId w:val="2"/>
        </w:numPr>
        <w:spacing w:after="70"/>
      </w:pPr>
      <w:r>
        <w:rPr>
          <w:rFonts w:ascii="Calibri" w:cs="Calibri" w:eastAsia="Calibri" w:hAnsi="Calibri"/>
          <w:b/>
          <w:bCs/>
          <w:color w:val="1A1A1A"/>
          <w:sz w:val="20"/>
          <w:szCs w:val="20"/>
        </w:rPr>
        <w:t xml:space="preserve">Built and maintained knowledge bases, product guides, checklists, rollout announcements, and one-page references</w:t>
      </w:r>
      <w:r>
        <w:rPr>
          <w:rFonts w:ascii="Calibri" w:cs="Calibri" w:eastAsia="Calibri" w:hAnsi="Calibri"/>
          <w:color w:val="1A1A1A"/>
          <w:sz w:val="20"/>
          <w:szCs w:val="20"/>
        </w:rPr>
        <w:t xml:space="preserve"> to standardize processes and improve support efficiency across teams.</w:t>
      </w:r>
    </w:p>
    <w:p>
      <w:pPr>
        <w:pStyle w:val="ListParagraph"/>
        <w:numPr>
          <w:ilvl w:val="0"/>
          <w:numId w:val="2"/>
        </w:numPr>
        <w:spacing w:after="70"/>
      </w:pPr>
      <w:r>
        <w:rPr>
          <w:rFonts w:ascii="Calibri" w:cs="Calibri" w:eastAsia="Calibri" w:hAnsi="Calibri"/>
          <w:b/>
          <w:bCs/>
          <w:color w:val="1A1A1A"/>
          <w:sz w:val="20"/>
          <w:szCs w:val="20"/>
        </w:rPr>
        <w:t xml:space="preserve">Designated SME for the full Equifax credit product suite</w:t>
      </w:r>
      <w:r>
        <w:rPr>
          <w:rFonts w:ascii="Calibri" w:cs="Calibri" w:eastAsia="Calibri" w:hAnsi="Calibri"/>
          <w:color w:val="1A1A1A"/>
          <w:sz w:val="20"/>
          <w:szCs w:val="20"/>
        </w:rPr>
        <w:t xml:space="preserve"> — hard and soft credit pulls, Score Navigator, credit restores, and The Work Number for VOIE — owning training, testing, and implementation across Processing, Underwriting, and Sales.</w:t>
      </w:r>
    </w:p>
    <w:p>
      <w:pPr>
        <w:pStyle w:val="ListParagraph"/>
        <w:numPr>
          <w:ilvl w:val="0"/>
          <w:numId w:val="2"/>
        </w:numPr>
        <w:spacing w:after="70"/>
      </w:pPr>
      <w:r>
        <w:rPr>
          <w:rFonts w:ascii="Calibri" w:cs="Calibri" w:eastAsia="Calibri" w:hAnsi="Calibri"/>
          <w:b/>
          <w:bCs/>
          <w:color w:val="1A1A1A"/>
          <w:sz w:val="20"/>
          <w:szCs w:val="20"/>
        </w:rPr>
        <w:t xml:space="preserve">Acted as the primary technical voice for feature enhancement</w:t>
      </w:r>
      <w:r>
        <w:rPr>
          <w:rFonts w:ascii="Calibri" w:cs="Calibri" w:eastAsia="Calibri" w:hAnsi="Calibri"/>
          <w:color w:val="1A1A1A"/>
          <w:sz w:val="20"/>
          <w:szCs w:val="20"/>
        </w:rPr>
        <w:t xml:space="preserve">, submitting structured feedback that influenced vendor product roadmaps.</w:t>
      </w:r>
    </w:p>
    <w:p>
      <w:pPr>
        <w:pStyle w:val="ListParagraph"/>
        <w:numPr>
          <w:ilvl w:val="0"/>
          <w:numId w:val="2"/>
        </w:numPr>
        <w:spacing w:after="70"/>
      </w:pPr>
      <w:r>
        <w:rPr>
          <w:rFonts w:ascii="Calibri" w:cs="Calibri" w:eastAsia="Calibri" w:hAnsi="Calibri"/>
          <w:b/>
          <w:bCs/>
          <w:color w:val="1A1A1A"/>
          <w:sz w:val="20"/>
          <w:szCs w:val="20"/>
        </w:rPr>
        <w:t xml:space="preserve">Led full end-to-end UAT through production support</w:t>
      </w:r>
      <w:r>
        <w:rPr>
          <w:rFonts w:ascii="Calibri" w:cs="Calibri" w:eastAsia="Calibri" w:hAnsi="Calibri"/>
          <w:color w:val="1A1A1A"/>
          <w:sz w:val="20"/>
          <w:szCs w:val="20"/>
        </w:rPr>
        <w:t xml:space="preserve">, contributing to reduced system errors, faster release cycles, and consistently high system uptime.</w:t>
      </w:r>
    </w:p>
    <w:p>
      <w:pPr>
        <w:pStyle w:val="ListParagraph"/>
        <w:numPr>
          <w:ilvl w:val="0"/>
          <w:numId w:val="2"/>
        </w:numPr>
        <w:spacing w:after="70"/>
      </w:pPr>
      <w:r>
        <w:rPr>
          <w:rFonts w:ascii="Calibri" w:cs="Calibri" w:eastAsia="Calibri" w:hAnsi="Calibri"/>
          <w:b/>
          <w:bCs/>
          <w:color w:val="1A1A1A"/>
          <w:sz w:val="20"/>
          <w:szCs w:val="20"/>
        </w:rPr>
        <w:t xml:space="preserve">Trained teams on Fannie Mae and Freddie Mac rep &amp; warrant relief eligibility</w:t>
      </w:r>
      <w:r>
        <w:rPr>
          <w:rFonts w:ascii="Calibri" w:cs="Calibri" w:eastAsia="Calibri" w:hAnsi="Calibri"/>
          <w:color w:val="1A1A1A"/>
          <w:sz w:val="20"/>
          <w:szCs w:val="20"/>
        </w:rPr>
        <w:t xml:space="preserve">, contributing to a measurable increase in rep &amp; warrant relief for the institution.</w:t>
      </w:r>
    </w:p>
    <w:p>
      <w:pPr>
        <w:pStyle w:val="ListParagraph"/>
        <w:numPr>
          <w:ilvl w:val="0"/>
          <w:numId w:val="2"/>
        </w:numPr>
        <w:spacing w:after="70"/>
      </w:pPr>
      <w:r>
        <w:rPr>
          <w:rFonts w:ascii="Calibri" w:cs="Calibri" w:eastAsia="Calibri" w:hAnsi="Calibri"/>
          <w:b/>
          <w:bCs/>
          <w:color w:val="1A1A1A"/>
          <w:sz w:val="20"/>
          <w:szCs w:val="20"/>
        </w:rPr>
        <w:t xml:space="preserve">Leveraged AI tools and prompt engineering</w:t>
      </w:r>
      <w:r>
        <w:rPr>
          <w:rFonts w:ascii="Calibri" w:cs="Calibri" w:eastAsia="Calibri" w:hAnsi="Calibri"/>
          <w:color w:val="1A1A1A"/>
          <w:sz w:val="20"/>
          <w:szCs w:val="20"/>
        </w:rPr>
        <w:t xml:space="preserve"> to accelerate documentation creation, troubleshooting workflows, and knowledge base development.</w:t>
      </w:r>
    </w:p>
    <w:p>
      <w:pPr>
        <w:pStyle w:val="ListParagraph"/>
        <w:numPr>
          <w:ilvl w:val="0"/>
          <w:numId w:val="2"/>
        </w:numPr>
        <w:spacing w:after="70"/>
      </w:pPr>
      <w:r>
        <w:rPr>
          <w:rFonts w:ascii="Calibri" w:cs="Calibri" w:eastAsia="Calibri" w:hAnsi="Calibri"/>
          <w:b/>
          <w:bCs/>
          <w:color w:val="1A1A1A"/>
          <w:sz w:val="20"/>
          <w:szCs w:val="20"/>
        </w:rPr>
        <w:t xml:space="preserve">Managed multi-vendor relationships</w:t>
      </w:r>
      <w:r>
        <w:rPr>
          <w:rFonts w:ascii="Calibri" w:cs="Calibri" w:eastAsia="Calibri" w:hAnsi="Calibri"/>
          <w:color w:val="1A1A1A"/>
          <w:sz w:val="20"/>
          <w:szCs w:val="20"/>
        </w:rPr>
        <w:t xml:space="preserve"> (ICE, nCino, Equifax, Ocrolus, DataVerify, Optimal Blue) and served as a trusted advisor during contract renegotiations at leadership's request, documenting performance and SLA shortfalls, undelivered feature commitments, and product limitations identified through real workflow use.</w:t>
      </w:r>
    </w:p>
    <w:p>
      <w:pPr>
        <w:tabs>
          <w:tab w:val="right" w:pos="9360"/>
        </w:tabs>
        <w:spacing w:after="0" w:before="160"/>
      </w:pPr>
      <w:r>
        <w:rPr>
          <w:rFonts w:ascii="Calibri" w:cs="Calibri" w:eastAsia="Calibri" w:hAnsi="Calibri"/>
          <w:b/>
          <w:bCs/>
          <w:color w:val="1A1A1A"/>
          <w:sz w:val="21"/>
          <w:szCs w:val="21"/>
        </w:rPr>
        <w:t xml:space="preserve">Mortgage Loan Origination Production Specialist</w:t>
      </w:r>
      <w:r>
        <w:rPr>
          <w:rFonts w:ascii="Calibri" w:cs="Calibri" w:eastAsia="Calibri" w:hAnsi="Calibri"/>
          <w:i/>
          <w:iCs/>
          <w:color w:val="555555"/>
          <w:sz w:val="19"/>
          <w:szCs w:val="19"/>
        </w:rPr>
        <w:t xml:space="preserve">	August 2021 – March 2023</w:t>
      </w:r>
    </w:p>
    <w:p>
      <w:pPr>
        <w:spacing w:after="60"/>
      </w:pPr>
      <w:r>
        <w:rPr>
          <w:rFonts w:ascii="Calibri" w:cs="Calibri" w:eastAsia="Calibri" w:hAnsi="Calibri"/>
          <w:b/>
          <w:bCs/>
          <w:color w:val="782F40"/>
          <w:sz w:val="20"/>
          <w:szCs w:val="20"/>
        </w:rPr>
        <w:t xml:space="preserve">Hancock Whitney Bank  ·  Tallahassee, FL</w:t>
      </w:r>
    </w:p>
    <w:p>
      <w:pPr>
        <w:pStyle w:val="ListParagraph"/>
        <w:numPr>
          <w:ilvl w:val="0"/>
          <w:numId w:val="2"/>
        </w:numPr>
        <w:spacing w:after="70"/>
      </w:pPr>
      <w:r>
        <w:rPr>
          <w:rFonts w:ascii="Calibri" w:cs="Calibri" w:eastAsia="Calibri" w:hAnsi="Calibri"/>
          <w:color w:val="1A1A1A"/>
          <w:sz w:val="20"/>
          <w:szCs w:val="20"/>
        </w:rPr>
        <w:t xml:space="preserve">Supported loan originators across end-to-end workflows including application processing, income calculation, and cost estimation; conducted client outreach improving pipeline velocity.</w:t>
      </w:r>
    </w:p>
    <w:p>
      <w:pPr>
        <w:tabs>
          <w:tab w:val="right" w:pos="9360"/>
        </w:tabs>
        <w:spacing w:after="0" w:before="160"/>
      </w:pPr>
      <w:r>
        <w:rPr>
          <w:rFonts w:ascii="Calibri" w:cs="Calibri" w:eastAsia="Calibri" w:hAnsi="Calibri"/>
          <w:b/>
          <w:bCs/>
          <w:color w:val="1A1A1A"/>
          <w:sz w:val="21"/>
          <w:szCs w:val="21"/>
        </w:rPr>
        <w:t xml:space="preserve">Mortgage Loan Underwriter</w:t>
      </w:r>
      <w:r>
        <w:rPr>
          <w:rFonts w:ascii="Calibri" w:cs="Calibri" w:eastAsia="Calibri" w:hAnsi="Calibri"/>
          <w:i/>
          <w:iCs/>
          <w:color w:val="555555"/>
          <w:sz w:val="19"/>
          <w:szCs w:val="19"/>
        </w:rPr>
        <w:t xml:space="preserve">	February 2021 – August 2021</w:t>
      </w:r>
    </w:p>
    <w:p>
      <w:pPr>
        <w:spacing w:after="60"/>
      </w:pPr>
      <w:r>
        <w:rPr>
          <w:rFonts w:ascii="Calibri" w:cs="Calibri" w:eastAsia="Calibri" w:hAnsi="Calibri"/>
          <w:b/>
          <w:bCs/>
          <w:color w:val="782F40"/>
          <w:sz w:val="20"/>
          <w:szCs w:val="20"/>
        </w:rPr>
        <w:t xml:space="preserve">Hancock Whitney Bank  ·  Tallahassee, FL</w:t>
      </w:r>
    </w:p>
    <w:p>
      <w:pPr>
        <w:pStyle w:val="ListParagraph"/>
        <w:numPr>
          <w:ilvl w:val="0"/>
          <w:numId w:val="2"/>
        </w:numPr>
        <w:spacing w:after="70"/>
      </w:pPr>
      <w:r>
        <w:rPr>
          <w:rFonts w:ascii="Calibri" w:cs="Calibri" w:eastAsia="Calibri" w:hAnsi="Calibri"/>
          <w:color w:val="1A1A1A"/>
          <w:sz w:val="20"/>
          <w:szCs w:val="20"/>
        </w:rPr>
        <w:t xml:space="preserve">Underwrote conventional purchase and refinance loans using DU and LP — issuing conditions, analyzing credit and income profiles, ensuring agency compliance; 10–20 loan pipeline per month.</w:t>
      </w:r>
    </w:p>
    <w:p>
      <w:pPr>
        <w:tabs>
          <w:tab w:val="right" w:pos="9360"/>
        </w:tabs>
        <w:spacing w:after="0" w:before="160"/>
      </w:pPr>
      <w:r>
        <w:rPr>
          <w:rFonts w:ascii="Calibri" w:cs="Calibri" w:eastAsia="Calibri" w:hAnsi="Calibri"/>
          <w:b/>
          <w:bCs/>
          <w:color w:val="1A1A1A"/>
          <w:sz w:val="21"/>
          <w:szCs w:val="21"/>
        </w:rPr>
        <w:t xml:space="preserve">Mortgage Closer</w:t>
      </w:r>
      <w:r>
        <w:rPr>
          <w:rFonts w:ascii="Calibri" w:cs="Calibri" w:eastAsia="Calibri" w:hAnsi="Calibri"/>
          <w:i/>
          <w:iCs/>
          <w:color w:val="555555"/>
          <w:sz w:val="19"/>
          <w:szCs w:val="19"/>
        </w:rPr>
        <w:t xml:space="preserve">	August 2020 – February 2021</w:t>
      </w:r>
    </w:p>
    <w:p>
      <w:pPr>
        <w:spacing w:after="60"/>
      </w:pPr>
      <w:r>
        <w:rPr>
          <w:rFonts w:ascii="Calibri" w:cs="Calibri" w:eastAsia="Calibri" w:hAnsi="Calibri"/>
          <w:b/>
          <w:bCs/>
          <w:color w:val="782F40"/>
          <w:sz w:val="20"/>
          <w:szCs w:val="20"/>
        </w:rPr>
        <w:t xml:space="preserve">Capital City Home Loans  ·  Tallahassee, FL</w:t>
      </w:r>
    </w:p>
    <w:p>
      <w:pPr>
        <w:pStyle w:val="ListParagraph"/>
        <w:numPr>
          <w:ilvl w:val="0"/>
          <w:numId w:val="2"/>
        </w:numPr>
        <w:spacing w:after="70"/>
      </w:pPr>
      <w:r>
        <w:rPr>
          <w:rFonts w:ascii="Calibri" w:cs="Calibri" w:eastAsia="Calibri" w:hAnsi="Calibri"/>
          <w:color w:val="1A1A1A"/>
          <w:sz w:val="20"/>
          <w:szCs w:val="20"/>
        </w:rPr>
        <w:t xml:space="preserve">Managed full closing package preparation for purchase and refinance transactions — title coordination, closing disclosures, and regulatory compliance through funding; ~50 loans/month.</w:t>
      </w:r>
    </w:p>
    <w:p>
      <w:pPr>
        <w:tabs>
          <w:tab w:val="right" w:pos="9360"/>
        </w:tabs>
        <w:spacing w:after="0" w:before="160"/>
      </w:pPr>
      <w:r>
        <w:rPr>
          <w:rFonts w:ascii="Calibri" w:cs="Calibri" w:eastAsia="Calibri" w:hAnsi="Calibri"/>
          <w:b/>
          <w:bCs/>
          <w:color w:val="1A1A1A"/>
          <w:sz w:val="21"/>
          <w:szCs w:val="21"/>
        </w:rPr>
        <w:t xml:space="preserve">Senior Mortgage Loan Processor</w:t>
      </w:r>
      <w:r>
        <w:rPr>
          <w:rFonts w:ascii="Calibri" w:cs="Calibri" w:eastAsia="Calibri" w:hAnsi="Calibri"/>
          <w:i/>
          <w:iCs/>
          <w:color w:val="555555"/>
          <w:sz w:val="19"/>
          <w:szCs w:val="19"/>
        </w:rPr>
        <w:t xml:space="preserve">	May 2012 – July 2020</w:t>
      </w:r>
    </w:p>
    <w:p>
      <w:pPr>
        <w:spacing w:after="60"/>
      </w:pPr>
      <w:r>
        <w:rPr>
          <w:rFonts w:ascii="Calibri" w:cs="Calibri" w:eastAsia="Calibri" w:hAnsi="Calibri"/>
          <w:b/>
          <w:bCs/>
          <w:color w:val="782F40"/>
          <w:sz w:val="20"/>
          <w:szCs w:val="20"/>
        </w:rPr>
        <w:t xml:space="preserve">Hancock Whitney Bank  ·  Tallahassee, FL</w:t>
      </w:r>
    </w:p>
    <w:p>
      <w:pPr>
        <w:pStyle w:val="ListParagraph"/>
        <w:numPr>
          <w:ilvl w:val="0"/>
          <w:numId w:val="2"/>
        </w:numPr>
        <w:spacing w:after="70"/>
      </w:pPr>
      <w:r>
        <w:rPr>
          <w:rFonts w:ascii="Calibri" w:cs="Calibri" w:eastAsia="Calibri" w:hAnsi="Calibri"/>
          <w:color w:val="1A1A1A"/>
          <w:sz w:val="20"/>
          <w:szCs w:val="20"/>
        </w:rPr>
        <w:t xml:space="preserve">Processed conventional, FHA, VA, and USDA loans from application through clear-to-close over an 8-year tenure, handling roughly 250 loans per year. </w:t>
      </w:r>
      <w:r>
        <w:rPr>
          <w:rFonts w:ascii="Calibri" w:cs="Calibri" w:eastAsia="Calibri" w:hAnsi="Calibri"/>
          <w:b/>
          <w:bCs/>
          <w:color w:val="1A1A1A"/>
          <w:sz w:val="20"/>
          <w:szCs w:val="20"/>
        </w:rPr>
        <w:t xml:space="preserve">First processor trusted with Encompass when the system was implemented in 2014</w:t>
      </w:r>
      <w:r>
        <w:rPr>
          <w:rFonts w:ascii="Calibri" w:cs="Calibri" w:eastAsia="Calibri" w:hAnsi="Calibri"/>
          <w:color w:val="1A1A1A"/>
          <w:sz w:val="20"/>
          <w:szCs w:val="20"/>
        </w:rPr>
        <w:t xml:space="preserve"> — building the operational foundation that informs every system implementation and training initiative today.</w:t>
      </w:r>
    </w:p>
    <w:p>
      <w:pPr>
        <w:pBdr>
          <w:bottom w:val="single" w:color="782F40" w:sz="8" w:space="2"/>
        </w:pBdr>
        <w:spacing w:after="100" w:before="240"/>
      </w:pPr>
      <w:r>
        <w:rPr>
          <w:rFonts w:ascii="Calibri" w:cs="Calibri" w:eastAsia="Calibri" w:hAnsi="Calibri"/>
          <w:b/>
          <w:bCs/>
          <w:color w:val="782F40"/>
          <w:spacing w:val="40"/>
          <w:sz w:val="22"/>
          <w:szCs w:val="22"/>
        </w:rPr>
        <w:t xml:space="preserve">TECHNOLOGY STACK</w:t>
      </w:r>
    </w:p>
    <w:p>
      <w:pPr>
        <w:spacing w:after="50"/>
      </w:pPr>
      <w:r>
        <w:rPr>
          <w:rFonts w:ascii="Calibri" w:cs="Calibri" w:eastAsia="Calibri" w:hAnsi="Calibri"/>
          <w:b/>
          <w:bCs/>
          <w:color w:val="782F40"/>
          <w:sz w:val="19"/>
          <w:szCs w:val="19"/>
        </w:rPr>
        <w:t xml:space="preserve">LOS / POS:  </w:t>
      </w:r>
      <w:r>
        <w:rPr>
          <w:rFonts w:ascii="Calibri" w:cs="Calibri" w:eastAsia="Calibri" w:hAnsi="Calibri"/>
          <w:color w:val="1A1A1A"/>
          <w:sz w:val="19"/>
          <w:szCs w:val="19"/>
        </w:rPr>
        <w:t xml:space="preserve">Encompass by ICE Mortgage Technology (Input Form Builder, SSF/JavaScript custom logic, business rules), nCino SimpleNexus (POS/Borrower-Facing)</w:t>
      </w:r>
    </w:p>
    <w:p>
      <w:pPr>
        <w:spacing w:after="50"/>
      </w:pPr>
      <w:r>
        <w:rPr>
          <w:rFonts w:ascii="Calibri" w:cs="Calibri" w:eastAsia="Calibri" w:hAnsi="Calibri"/>
          <w:b/>
          <w:bCs/>
          <w:color w:val="782F40"/>
          <w:sz w:val="19"/>
          <w:szCs w:val="19"/>
        </w:rPr>
        <w:t xml:space="preserve">Doc Automation:  </w:t>
      </w:r>
      <w:r>
        <w:rPr>
          <w:rFonts w:ascii="Calibri" w:cs="Calibri" w:eastAsia="Calibri" w:hAnsi="Calibri"/>
          <w:color w:val="1A1A1A"/>
          <w:sz w:val="19"/>
          <w:szCs w:val="19"/>
        </w:rPr>
        <w:t xml:space="preserve">Ocrolus — income calculation, transaction analysis, Fannie Mae validated income calculator, VOIE</w:t>
      </w:r>
    </w:p>
    <w:p>
      <w:pPr>
        <w:spacing w:after="50"/>
      </w:pPr>
      <w:r>
        <w:rPr>
          <w:rFonts w:ascii="Calibri" w:cs="Calibri" w:eastAsia="Calibri" w:hAnsi="Calibri"/>
          <w:b/>
          <w:bCs/>
          <w:color w:val="782F40"/>
          <w:sz w:val="19"/>
          <w:szCs w:val="19"/>
        </w:rPr>
        <w:t xml:space="preserve">Credit Products:  </w:t>
      </w:r>
      <w:r>
        <w:rPr>
          <w:rFonts w:ascii="Calibri" w:cs="Calibri" w:eastAsia="Calibri" w:hAnsi="Calibri"/>
          <w:color w:val="1A1A1A"/>
          <w:sz w:val="19"/>
          <w:szCs w:val="19"/>
        </w:rPr>
        <w:t xml:space="preserve">Equifax SME — hard/soft pulls, Score Navigator, credit restores, The Work Number (VOIE)</w:t>
      </w:r>
    </w:p>
    <w:p>
      <w:pPr>
        <w:spacing w:after="50"/>
      </w:pPr>
      <w:r>
        <w:rPr>
          <w:rFonts w:ascii="Calibri" w:cs="Calibri" w:eastAsia="Calibri" w:hAnsi="Calibri"/>
          <w:b/>
          <w:bCs/>
          <w:color w:val="782F40"/>
          <w:sz w:val="19"/>
          <w:szCs w:val="19"/>
        </w:rPr>
        <w:t xml:space="preserve">VOA / VOIE:  </w:t>
      </w:r>
      <w:r>
        <w:rPr>
          <w:rFonts w:ascii="Calibri" w:cs="Calibri" w:eastAsia="Calibri" w:hAnsi="Calibri"/>
          <w:color w:val="1A1A1A"/>
          <w:sz w:val="19"/>
          <w:szCs w:val="19"/>
        </w:rPr>
        <w:t xml:space="preserve">Finicity (VOA/VOIE), The Work Number by Equifax (VOIE)</w:t>
      </w:r>
    </w:p>
    <w:p>
      <w:pPr>
        <w:spacing w:after="50"/>
      </w:pPr>
      <w:r>
        <w:rPr>
          <w:rFonts w:ascii="Calibri" w:cs="Calibri" w:eastAsia="Calibri" w:hAnsi="Calibri"/>
          <w:b/>
          <w:bCs/>
          <w:color w:val="782F40"/>
          <w:sz w:val="19"/>
          <w:szCs w:val="19"/>
        </w:rPr>
        <w:t xml:space="preserve">Integrations:  </w:t>
      </w:r>
      <w:r>
        <w:rPr>
          <w:rFonts w:ascii="Calibri" w:cs="Calibri" w:eastAsia="Calibri" w:hAnsi="Calibri"/>
          <w:color w:val="1A1A1A"/>
          <w:sz w:val="19"/>
          <w:szCs w:val="19"/>
        </w:rPr>
        <w:t xml:space="preserve">25+ Encompass Partner Connect integrations — Optimal Blue, DataVerify, Mortgage Insurance Center, Halcyon 8821 Tax Services, ServiceLink National Flood, Salesforce-to-Encompass, and more</w:t>
      </w:r>
    </w:p>
    <w:p>
      <w:pPr>
        <w:spacing w:after="50"/>
      </w:pPr>
      <w:r>
        <w:rPr>
          <w:rFonts w:ascii="Calibri" w:cs="Calibri" w:eastAsia="Calibri" w:hAnsi="Calibri"/>
          <w:b/>
          <w:bCs/>
          <w:color w:val="782F40"/>
          <w:sz w:val="19"/>
          <w:szCs w:val="19"/>
        </w:rPr>
        <w:t xml:space="preserve">Documentation &amp; AI:  </w:t>
      </w:r>
      <w:r>
        <w:rPr>
          <w:rFonts w:ascii="Calibri" w:cs="Calibri" w:eastAsia="Calibri" w:hAnsi="Calibri"/>
          <w:color w:val="1A1A1A"/>
          <w:sz w:val="19"/>
          <w:szCs w:val="19"/>
        </w:rPr>
        <w:t xml:space="preserve">Knowledge base development, product guides, QRGs, checklists, AI tools &amp; prompt engineering</w:t>
      </w:r>
    </w:p>
    <w:p>
      <w:pPr>
        <w:spacing w:after="50"/>
      </w:pPr>
      <w:r>
        <w:rPr>
          <w:rFonts w:ascii="Calibri" w:cs="Calibri" w:eastAsia="Calibri" w:hAnsi="Calibri"/>
          <w:b/>
          <w:bCs/>
          <w:color w:val="782F40"/>
          <w:sz w:val="19"/>
          <w:szCs w:val="19"/>
        </w:rPr>
        <w:t xml:space="preserve">Training Tools:  </w:t>
      </w:r>
      <w:r>
        <w:rPr>
          <w:rFonts w:ascii="Calibri" w:cs="Calibri" w:eastAsia="Calibri" w:hAnsi="Calibri"/>
          <w:color w:val="1A1A1A"/>
          <w:sz w:val="19"/>
          <w:szCs w:val="19"/>
        </w:rPr>
        <w:t xml:space="preserve">Scribe, Snagit (video recordings), Microsoft 365 (Word, PowerPoint, Excel, Teams, Outlook), Zoom</w:t>
      </w:r>
    </w:p>
    <w:p>
      <w:pPr>
        <w:pBdr>
          <w:bottom w:val="single" w:color="782F40" w:sz="8" w:space="2"/>
        </w:pBdr>
        <w:spacing w:after="100" w:before="240"/>
      </w:pPr>
      <w:r>
        <w:rPr>
          <w:rFonts w:ascii="Calibri" w:cs="Calibri" w:eastAsia="Calibri" w:hAnsi="Calibri"/>
          <w:b/>
          <w:bCs/>
          <w:color w:val="782F40"/>
          <w:spacing w:val="40"/>
          <w:sz w:val="22"/>
          <w:szCs w:val="22"/>
        </w:rPr>
        <w:t xml:space="preserve">EDUCATION</w:t>
      </w:r>
    </w:p>
    <w:p>
      <w:pPr>
        <w:tabs>
          <w:tab w:val="right" w:pos="9360"/>
        </w:tabs>
      </w:pPr>
      <w:r>
        <w:rPr>
          <w:rFonts w:ascii="Calibri" w:cs="Calibri" w:eastAsia="Calibri" w:hAnsi="Calibri"/>
          <w:b/>
          <w:bCs/>
          <w:color w:val="1A1A1A"/>
          <w:sz w:val="20"/>
          <w:szCs w:val="20"/>
        </w:rPr>
        <w:t xml:space="preserve">Bachelor of Science, Social Science</w:t>
      </w:r>
      <w:r>
        <w:rPr>
          <w:rFonts w:ascii="Calibri" w:cs="Calibri" w:eastAsia="Calibri" w:hAnsi="Calibri"/>
          <w:i/>
          <w:iCs/>
          <w:color w:val="555555"/>
          <w:sz w:val="19"/>
          <w:szCs w:val="19"/>
        </w:rPr>
        <w:t xml:space="preserve">	2010 – 2013</w:t>
      </w:r>
    </w:p>
    <w:p>
      <w:r>
        <w:rPr>
          <w:rFonts w:ascii="Calibri" w:cs="Calibri" w:eastAsia="Calibri" w:hAnsi="Calibri"/>
          <w:b/>
          <w:bCs/>
          <w:color w:val="782F40"/>
          <w:sz w:val="20"/>
          <w:szCs w:val="20"/>
        </w:rPr>
        <w:t xml:space="preserve">Florida State University  ·  Tallahassee, FL</w:t>
      </w:r>
    </w:p>
    <w:sectPr>
      <w:pgSz w:w="12240" w:h="15840"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782F4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pevk-z1si4lvujwyfml1" Type="http://schemas.openxmlformats.org/officeDocument/2006/relationships/hyperlink" Target="https://chrisalbrizio-ca.github.io" TargetMode="External"/><Relationship Id="rId7aw8fj4oqhyzjfpzpelnm" Type="http://schemas.openxmlformats.org/officeDocument/2006/relationships/hyperlink" Target="https://www.linkedin.com/in/chris-albrizio-2b9620403"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2026-06-30T17:00:46.139Z</dcterms:created>
  <dcterms:modified xsi:type="dcterms:W3CDTF">2026-06-30T17:00:46.139Z</dcterms:modified>
</cp:coreProperties>
</file>

<file path=docProps/custom.xml><?xml version="1.0" encoding="utf-8"?>
<Properties xmlns="http://schemas.openxmlformats.org/officeDocument/2006/custom-properties" xmlns:vt="http://schemas.openxmlformats.org/officeDocument/2006/docPropsVTypes"/>
</file>