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782F40" w:sz="20" w:space="0"/>
        </w:pBdr>
        <w:spacing w:after="0" w:before="0"/>
      </w:pPr>
    </w:p>
    <w:p>
      <w:pPr>
        <w:spacing w:after="40" w:before="60"/>
      </w:pP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782F40"/>
          <w:spacing w:val="60"/>
          <w:sz w:val="44"/>
          <w:szCs w:val="44"/>
        </w:rPr>
        <w:t xml:space="preserve">CHRISTOPHER ALBRIZIO</w:t>
      </w:r>
    </w:p>
    <w:p>
      <w:pPr>
        <w:pBdr>
          <w:bottom w:val="single" w:color="C4A35A" w:sz="3" w:space="2"/>
        </w:pBdr>
        <w:spacing w:after="50" w:before="0"/>
        <w:jc w:val="center"/>
      </w:pPr>
      <w:r>
        <w:rPr>
          <w:rFonts w:ascii="Arial" w:cs="Arial" w:eastAsia="Arial" w:hAnsi="Arial"/>
          <w:b/>
          <w:bCs/>
          <w:color w:val="6B5A50"/>
          <w:sz w:val="22"/>
          <w:szCs w:val="22"/>
        </w:rPr>
        <w:t xml:space="preserve">BSA / Implementation &amp; Training Lead</w:t>
      </w:r>
    </w:p>
    <w:p>
      <w:pPr>
        <w:spacing w:after="120" w:before="50"/>
        <w:jc w:val="center"/>
      </w:pPr>
      <w:r>
        <w:rPr>
          <w:rFonts w:ascii="Arial" w:cs="Arial" w:eastAsia="Arial" w:hAnsi="Arial"/>
          <w:color w:val="6B5A50"/>
          <w:sz w:val="16"/>
          <w:szCs w:val="16"/>
        </w:rPr>
        <w:t xml:space="preserve">chrisalbrizio@gmail.com</w:t>
      </w:r>
      <w:r>
        <w:rPr>
          <w:rFonts w:ascii="Arial" w:cs="Arial" w:eastAsia="Arial" w:hAnsi="Arial"/>
          <w:color w:val="C4A35A"/>
          <w:sz w:val="16"/>
          <w:szCs w:val="16"/>
        </w:rPr>
        <w:t xml:space="preserve">   ·   </w:t>
      </w:r>
      <w:r>
        <w:rPr>
          <w:rFonts w:ascii="Arial" w:cs="Arial" w:eastAsia="Arial" w:hAnsi="Arial"/>
          <w:color w:val="6B5A50"/>
          <w:sz w:val="16"/>
          <w:szCs w:val="16"/>
        </w:rPr>
        <w:t xml:space="preserve">(609) 903-5121</w:t>
      </w:r>
      <w:r>
        <w:rPr>
          <w:rFonts w:ascii="Arial" w:cs="Arial" w:eastAsia="Arial" w:hAnsi="Arial"/>
          <w:color w:val="C4A35A"/>
          <w:sz w:val="16"/>
          <w:szCs w:val="16"/>
        </w:rPr>
        <w:t xml:space="preserve">   ·   </w:t>
      </w:r>
      <w:r>
        <w:rPr>
          <w:rFonts w:ascii="Arial" w:cs="Arial" w:eastAsia="Arial" w:hAnsi="Arial"/>
          <w:color w:val="6B5A50"/>
          <w:sz w:val="16"/>
          <w:szCs w:val="16"/>
        </w:rPr>
        <w:t xml:space="preserve">Tallahassee, FL · Remote</w:t>
      </w:r>
      <w:r>
        <w:rPr>
          <w:rFonts w:ascii="Arial" w:cs="Arial" w:eastAsia="Arial" w:hAnsi="Arial"/>
          <w:color w:val="C4A35A"/>
          <w:sz w:val="16"/>
          <w:szCs w:val="16"/>
        </w:rPr>
        <w:t xml:space="preserve">   ·   </w:t>
      </w:r>
      <w:hyperlink w:history="1" r:id="rIdzsagullqqitmbsr2fhvlh">
        <w:r>
          <w:rPr>
            <w:rFonts w:ascii="Arial" w:cs="Arial" w:eastAsia="Arial" w:hAnsi="Arial"/>
            <w:color w:val="782F40"/>
            <w:sz w:val="16"/>
            <w:szCs w:val="16"/>
            <w:u w:val="single"/>
          </w:rPr>
          <w:t xml:space="preserve">chrisalbrizio-ca.github.io</w:t>
        </w:r>
      </w:hyperlink>
      <w:r>
        <w:rPr>
          <w:rFonts w:ascii="Arial" w:cs="Arial" w:eastAsia="Arial" w:hAnsi="Arial"/>
          <w:color w:val="C4A35A"/>
          <w:sz w:val="16"/>
          <w:szCs w:val="16"/>
        </w:rPr>
        <w:t xml:space="preserve">   ·   </w:t>
      </w:r>
      <w:hyperlink w:history="1" r:id="rIdiyog-8jn-losqj_ppitxk">
        <w:r>
          <w:rPr>
            <w:rFonts w:ascii="Arial" w:cs="Arial" w:eastAsia="Arial" w:hAnsi="Arial"/>
            <w:color w:val="782F40"/>
            <w:sz w:val="16"/>
            <w:szCs w:val="16"/>
            <w:u w:val="single"/>
          </w:rPr>
          <w:t xml:space="preserve">linkedin.com/in/chris-albrizio</w:t>
        </w:r>
      </w:hyperlink>
    </w:p>
    <w:p>
      <w:pPr>
        <w:pBdr>
          <w:bottom w:val="single" w:color="782F40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782F40"/>
          <w:spacing w:val="40"/>
          <w:sz w:val="18"/>
          <w:szCs w:val="18"/>
        </w:rPr>
        <w:t xml:space="preserve">PROFESSIONAL SUMMARY</w:t>
      </w:r>
    </w:p>
    <w:p>
      <w:pPr>
        <w:spacing w:after="30" w:before="40"/>
      </w:pPr>
    </w:p>
    <w:p>
      <w:pPr>
        <w:spacing w:after="100" w:before="0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Mortgage technology specialist with 14+ years of progressive experience spanning loan processing, underwriting, closing, and business systems analysis. Institution-wide implementation lead for Ocrolus, nCino SimpleNexus, and Encompass Partner Connect — owning the full lifecycle: configuration, deployment, integration testing, role-specific training, post-launch troubleshooting, and feature enhancement rollout. Designated SME for both Ocrolus and nCino SimpleNexus. Configured and deployed 25+ EPC integrations. Trained 80+ users across all role groups. Authorized to work in the U.S. for any employer.</w:t>
      </w:r>
    </w:p>
    <w:p>
      <w:pPr>
        <w:pBdr>
          <w:bottom w:val="single" w:color="782F40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782F40"/>
          <w:spacing w:val="40"/>
          <w:sz w:val="18"/>
          <w:szCs w:val="18"/>
        </w:rPr>
        <w:t xml:space="preserve">CORE COMPETENCIES</w:t>
      </w:r>
    </w:p>
    <w:p>
      <w:pPr>
        <w:spacing w:after="40" w:before="5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Encompass LOS &amp; Partner Connect</w:t>
            </w:r>
          </w:p>
        </w:tc>
        <w:tc>
          <w:tcPr>
            <w:tcW w:type="dxa" w:w="312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nCino SimpleNexus SME</w:t>
            </w:r>
          </w:p>
        </w:tc>
        <w:tc>
          <w:tcPr>
            <w:tcW w:type="dxa" w:w="312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Ocrolus Implementation SME</w:t>
            </w:r>
          </w:p>
        </w:tc>
      </w:tr>
      <w:tr>
        <w:tc>
          <w:tcPr>
            <w:tcW w:type="dxa" w:w="312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End-to-End UAT → Production</w:t>
            </w:r>
          </w:p>
        </w:tc>
        <w:tc>
          <w:tcPr>
            <w:tcW w:type="dxa" w:w="312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23 EPC Integrations Deployed</w:t>
            </w:r>
          </w:p>
        </w:tc>
        <w:tc>
          <w:tcPr>
            <w:tcW w:type="dxa" w:w="312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MLO / MLP / UW / Ops Training</w:t>
            </w:r>
          </w:p>
        </w:tc>
      </w:tr>
      <w:tr>
        <w:tc>
          <w:tcPr>
            <w:tcW w:type="dxa" w:w="312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VOA / VOIE Integration</w:t>
            </w:r>
          </w:p>
        </w:tc>
        <w:tc>
          <w:tcPr>
            <w:tcW w:type="dxa" w:w="312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Rep &amp; Warrant Relief Optimization</w:t>
            </w:r>
          </w:p>
        </w:tc>
        <w:tc>
          <w:tcPr>
            <w:tcW w:type="dxa" w:w="312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Go-Live Communications &amp; QRGs</w:t>
            </w:r>
          </w:p>
        </w:tc>
      </w:tr>
    </w:tbl>
    <w:p>
      <w:pPr>
        <w:spacing w:after="0" w:before="60"/>
      </w:pPr>
    </w:p>
    <w:p>
      <w:pPr>
        <w:pBdr>
          <w:bottom w:val="single" w:color="782F40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782F40"/>
          <w:spacing w:val="40"/>
          <w:sz w:val="18"/>
          <w:szCs w:val="18"/>
        </w:rPr>
        <w:t xml:space="preserve">WORK EXPERIENCE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515"/>
          <w:sz w:val="20"/>
          <w:szCs w:val="20"/>
        </w:rPr>
        <w:t xml:space="preserve">BSA / Implementation &amp; Training Lead</w:t>
      </w:r>
      <w:r>
        <w:rPr>
          <w:rFonts w:ascii="Arial" w:cs="Arial" w:eastAsia="Arial" w:hAnsi="Arial"/>
          <w:i/>
          <w:iCs/>
          <w:color w:val="6B5A50"/>
          <w:sz w:val="16"/>
          <w:szCs w:val="16"/>
        </w:rPr>
        <w:t xml:space="preserve">	March 2023 – Present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C4A35A"/>
          <w:sz w:val="17"/>
          <w:szCs w:val="17"/>
        </w:rPr>
        <w:t xml:space="preserve">Hancock Whitney Bank</w:t>
      </w:r>
      <w:r>
        <w:rPr>
          <w:rFonts w:ascii="Arial" w:cs="Arial" w:eastAsia="Arial" w:hAnsi="Arial"/>
          <w:color w:val="6B5A50"/>
          <w:sz w:val="16"/>
          <w:szCs w:val="16"/>
        </w:rPr>
        <w:t xml:space="preserve">   ·   Tallahassee, FL · Remote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Institution-wide implementation lead for Ocrolus, nCino SimpleNexus, and Encompass Partner Connect — owning the full lifecycle: configuration, deployment, integration testing, role-specific training, post-launch troubleshooting, and ongoing feature enhancement rollout.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Designated SME for both Ocrolus and nCino SimpleNexus — primary escalation point for all user groups: MLOs, MLPs, Processors, Underwriters, Operations Managers, and Sales Managers.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Configured and deployed 25+ Encompass Partner Connect integrations including Finicity, The Work Number by Equifax, DataVerify, Optimal Blue, Mortgage Insurance Center, Halcyon 8821 Tax Services, ServiceLink National Flood, and Salesforce-to-Encompass.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Served as primary strategic input for Ocrolus implementation — all user workflows designed and built from scratch; management trusted me to architect a plan that fit within existing operations.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Onboarded 80+ users across all role groups supporting 200+ loans per month; drove strong adoption across processor, underwriter, and MLO roles within the first rollout cycle.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Conducted full end-to-end UAT through production — contributed to measurable reduction in system errors and accelerated release cycles — maintaining consistently high system uptime.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Trained all user groups on Fannie Mae and Freddie Mac rep &amp; warrant relief eligibility — contributing to a significant increase in rep &amp; warrant relief for the institution.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Designed and delivered role-specific training in-person, via Teams and Zoom; produced go-live announcements, QRGs, FAQ documents, and Scribe/Snagit video recordings.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Delivered ongoing refresher trainings and Q&amp;A calls; maintained a strong same-day support resolution rate and consistent on-time project delivery.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Managed multi-vendor relationships (ICE, nCino, Equifax, Ocrolus, DataVerify, Optimal Blue); submitted feature requests influencing vendor product roadmaps.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Supported vendor contract renegotiations with technical documentation; generated executive dashboards and collaborated with senior leadership on system policy.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515"/>
          <w:sz w:val="20"/>
          <w:szCs w:val="20"/>
        </w:rPr>
        <w:t xml:space="preserve">Mortgage Loan Origination Production Specialist</w:t>
      </w:r>
      <w:r>
        <w:rPr>
          <w:rFonts w:ascii="Arial" w:cs="Arial" w:eastAsia="Arial" w:hAnsi="Arial"/>
          <w:i/>
          <w:iCs/>
          <w:color w:val="6B5A50"/>
          <w:sz w:val="16"/>
          <w:szCs w:val="16"/>
        </w:rPr>
        <w:t xml:space="preserve">	August 2021 – March 2023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C4A35A"/>
          <w:sz w:val="17"/>
          <w:szCs w:val="17"/>
        </w:rPr>
        <w:t xml:space="preserve">Hancock Whitney Bank</w:t>
      </w:r>
      <w:r>
        <w:rPr>
          <w:rFonts w:ascii="Arial" w:cs="Arial" w:eastAsia="Arial" w:hAnsi="Arial"/>
          <w:color w:val="6B5A50"/>
          <w:sz w:val="16"/>
          <w:szCs w:val="16"/>
        </w:rPr>
        <w:t xml:space="preserve">   ·   Tallahassee, FL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Supported loan originators across end-to-end workflows: application processing, income calculation, and cost estimation. Conducted client outreach improving pipeline velocity.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515"/>
          <w:sz w:val="20"/>
          <w:szCs w:val="20"/>
        </w:rPr>
        <w:t xml:space="preserve">Mortgage Loan Underwriter</w:t>
      </w:r>
      <w:r>
        <w:rPr>
          <w:rFonts w:ascii="Arial" w:cs="Arial" w:eastAsia="Arial" w:hAnsi="Arial"/>
          <w:i/>
          <w:iCs/>
          <w:color w:val="6B5A50"/>
          <w:sz w:val="16"/>
          <w:szCs w:val="16"/>
        </w:rPr>
        <w:t xml:space="preserve">	February 2021 – August 2021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C4A35A"/>
          <w:sz w:val="17"/>
          <w:szCs w:val="17"/>
        </w:rPr>
        <w:t xml:space="preserve">Hancock Whitney Bank</w:t>
      </w:r>
      <w:r>
        <w:rPr>
          <w:rFonts w:ascii="Arial" w:cs="Arial" w:eastAsia="Arial" w:hAnsi="Arial"/>
          <w:color w:val="6B5A50"/>
          <w:sz w:val="16"/>
          <w:szCs w:val="16"/>
        </w:rPr>
        <w:t xml:space="preserve">   ·   Tallahassee, FL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Underwrote conventional purchase and refinance loans using DU and LP — issuing conditions, analyzing credit and income profiles, ensuring agency compliance; 10–20 loan pipeline per month.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515"/>
          <w:sz w:val="20"/>
          <w:szCs w:val="20"/>
        </w:rPr>
        <w:t xml:space="preserve">Mortgage Closer</w:t>
      </w:r>
      <w:r>
        <w:rPr>
          <w:rFonts w:ascii="Arial" w:cs="Arial" w:eastAsia="Arial" w:hAnsi="Arial"/>
          <w:i/>
          <w:iCs/>
          <w:color w:val="6B5A50"/>
          <w:sz w:val="16"/>
          <w:szCs w:val="16"/>
        </w:rPr>
        <w:t xml:space="preserve">	August 2020 – February 2021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C4A35A"/>
          <w:sz w:val="17"/>
          <w:szCs w:val="17"/>
        </w:rPr>
        <w:t xml:space="preserve">Capital City Home Loans</w:t>
      </w:r>
      <w:r>
        <w:rPr>
          <w:rFonts w:ascii="Arial" w:cs="Arial" w:eastAsia="Arial" w:hAnsi="Arial"/>
          <w:color w:val="6B5A50"/>
          <w:sz w:val="16"/>
          <w:szCs w:val="16"/>
        </w:rPr>
        <w:t xml:space="preserve">   ·   Tallahassee, FL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Managed full closing package preparation for purchase and refinance transactions — title coordination, closing disclosures, regulatory compliance through funding; ~50 loans/month.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515"/>
          <w:sz w:val="20"/>
          <w:szCs w:val="20"/>
        </w:rPr>
        <w:t xml:space="preserve">Senior Mortgage Loan Processor</w:t>
      </w:r>
      <w:r>
        <w:rPr>
          <w:rFonts w:ascii="Arial" w:cs="Arial" w:eastAsia="Arial" w:hAnsi="Arial"/>
          <w:i/>
          <w:iCs/>
          <w:color w:val="6B5A50"/>
          <w:sz w:val="16"/>
          <w:szCs w:val="16"/>
        </w:rPr>
        <w:t xml:space="preserve">	May 2012 – July 2020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C4A35A"/>
          <w:sz w:val="17"/>
          <w:szCs w:val="17"/>
        </w:rPr>
        <w:t xml:space="preserve">Hancock Whitney Bank</w:t>
      </w:r>
      <w:r>
        <w:rPr>
          <w:rFonts w:ascii="Arial" w:cs="Arial" w:eastAsia="Arial" w:hAnsi="Arial"/>
          <w:color w:val="6B5A50"/>
          <w:sz w:val="16"/>
          <w:szCs w:val="16"/>
        </w:rPr>
        <w:t xml:space="preserve">   ·   Tallahassee, FL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515"/>
          <w:sz w:val="17"/>
          <w:szCs w:val="17"/>
        </w:rPr>
        <w:t xml:space="preserve">Processed conventional, FHA, VA, and USDA loans from application through clear-to-close over an 8-year tenure — building the operational foundation that informs every system implementation and training initiative today.</w:t>
      </w:r>
    </w:p>
    <w:p>
      <w:pPr>
        <w:pBdr>
          <w:bottom w:val="single" w:color="782F40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782F40"/>
          <w:spacing w:val="40"/>
          <w:sz w:val="18"/>
          <w:szCs w:val="18"/>
        </w:rPr>
        <w:t xml:space="preserve">TECHNOLOGY STACK</w:t>
      </w:r>
    </w:p>
    <w:p>
      <w:pPr>
        <w:spacing w:after="40" w:before="5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LOS / POS</w:t>
            </w:r>
          </w:p>
        </w:tc>
        <w:tc>
          <w:tcPr>
            <w:tcW w:type="dxa" w:w="7460"/>
            <w:tcBorders>
              <w:top w:val="single" w:color="E8E0D5" w:sz="2"/>
              <w:left w:val="none" w:color="FFFFFF" w:sz="0"/>
              <w:bottom w:val="single" w:color="E8E0D5" w:sz="2"/>
              <w:right w:val="single" w:color="E8E0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515"/>
                <w:sz w:val="15"/>
                <w:szCs w:val="15"/>
              </w:rPr>
              <w:t xml:space="preserve">Encompass by ICE Mortgage Technology, nCino SimpleNexus (POS/Borrower-Facing)</w:t>
            </w:r>
          </w:p>
        </w:tc>
      </w:tr>
      <w:tr>
        <w:tc>
          <w:tcPr>
            <w:tcW w:type="dxa" w:w="190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Doc Automation</w:t>
            </w:r>
          </w:p>
        </w:tc>
        <w:tc>
          <w:tcPr>
            <w:tcW w:type="dxa" w:w="7460"/>
            <w:tcBorders>
              <w:top w:val="single" w:color="E8E0D5" w:sz="2"/>
              <w:left w:val="none" w:color="FFFFFF" w:sz="0"/>
              <w:bottom w:val="single" w:color="E8E0D5" w:sz="2"/>
              <w:right w:val="single" w:color="E8E0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515"/>
                <w:sz w:val="15"/>
                <w:szCs w:val="15"/>
              </w:rPr>
              <w:t xml:space="preserve">Ocrolus — income calculation, transaction analysis, Fannie Mae validated income calculator, VOIE</w:t>
            </w:r>
          </w:p>
        </w:tc>
      </w:tr>
      <w:tr>
        <w:tc>
          <w:tcPr>
            <w:tcW w:type="dxa" w:w="190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VOA / VOIE</w:t>
            </w:r>
          </w:p>
        </w:tc>
        <w:tc>
          <w:tcPr>
            <w:tcW w:type="dxa" w:w="7460"/>
            <w:tcBorders>
              <w:top w:val="single" w:color="E8E0D5" w:sz="2"/>
              <w:left w:val="none" w:color="FFFFFF" w:sz="0"/>
              <w:bottom w:val="single" w:color="E8E0D5" w:sz="2"/>
              <w:right w:val="single" w:color="E8E0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515"/>
                <w:sz w:val="15"/>
                <w:szCs w:val="15"/>
              </w:rPr>
              <w:t xml:space="preserve">Finicity (VOA/VOIE), The Work Number by Equifax (VOIE)</w:t>
            </w:r>
          </w:p>
        </w:tc>
      </w:tr>
      <w:tr>
        <w:tc>
          <w:tcPr>
            <w:tcW w:type="dxa" w:w="190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EPC Integrations</w:t>
            </w:r>
          </w:p>
        </w:tc>
        <w:tc>
          <w:tcPr>
            <w:tcW w:type="dxa" w:w="7460"/>
            <w:tcBorders>
              <w:top w:val="single" w:color="E8E0D5" w:sz="2"/>
              <w:left w:val="none" w:color="FFFFFF" w:sz="0"/>
              <w:bottom w:val="single" w:color="E8E0D5" w:sz="2"/>
              <w:right w:val="single" w:color="E8E0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515"/>
                <w:sz w:val="15"/>
                <w:szCs w:val="15"/>
              </w:rPr>
              <w:t xml:space="preserve">23 integrations — Optimal Blue, DataVerify, Mortgage Insurance Center, Halcyon 8821 Tax Services, ServiceLink National Flood, Salesforce-to-Encompass, and more</w:t>
            </w:r>
          </w:p>
        </w:tc>
      </w:tr>
      <w:tr>
        <w:tc>
          <w:tcPr>
            <w:tcW w:type="dxa" w:w="1900"/>
            <w:tcBorders>
              <w:top w:val="single" w:color="E8E0D5" w:sz="2"/>
              <w:left w:val="single" w:color="E8E0D5" w:sz="2"/>
              <w:bottom w:val="single" w:color="E8E0D5" w:sz="2"/>
              <w:right w:val="single" w:color="E8E0D5" w:sz="2"/>
            </w:tcBorders>
            <w:shd w:fill="F9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82F40"/>
                <w:sz w:val="15"/>
                <w:szCs w:val="15"/>
              </w:rPr>
              <w:t xml:space="preserve">Training Tools</w:t>
            </w:r>
          </w:p>
        </w:tc>
        <w:tc>
          <w:tcPr>
            <w:tcW w:type="dxa" w:w="7460"/>
            <w:tcBorders>
              <w:top w:val="single" w:color="E8E0D5" w:sz="2"/>
              <w:left w:val="none" w:color="FFFFFF" w:sz="0"/>
              <w:bottom w:val="single" w:color="E8E0D5" w:sz="2"/>
              <w:right w:val="single" w:color="E8E0D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515"/>
                <w:sz w:val="15"/>
                <w:szCs w:val="15"/>
              </w:rPr>
              <w:t xml:space="preserve">Scribe, Snagit (video recordings), Microsoft 365 (Word, PowerPoint, Excel, Teams, Outlook), Zoom</w:t>
            </w:r>
          </w:p>
        </w:tc>
      </w:tr>
    </w:tbl>
    <w:p>
      <w:pPr>
        <w:spacing w:after="0" w:before="60"/>
      </w:pPr>
    </w:p>
    <w:p>
      <w:pPr>
        <w:pBdr>
          <w:bottom w:val="single" w:color="782F40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782F40"/>
          <w:spacing w:val="40"/>
          <w:sz w:val="18"/>
          <w:szCs w:val="18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515"/>
          <w:sz w:val="20"/>
          <w:szCs w:val="20"/>
        </w:rPr>
        <w:t xml:space="preserve">Bachelor of Science, Social Science</w:t>
      </w:r>
      <w:r>
        <w:rPr>
          <w:rFonts w:ascii="Arial" w:cs="Arial" w:eastAsia="Arial" w:hAnsi="Arial"/>
          <w:i/>
          <w:iCs/>
          <w:color w:val="6B5A50"/>
          <w:sz w:val="16"/>
          <w:szCs w:val="16"/>
        </w:rPr>
        <w:t xml:space="preserve">	2010 – 2013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C4A35A"/>
          <w:sz w:val="17"/>
          <w:szCs w:val="17"/>
        </w:rPr>
        <w:t xml:space="preserve">Florida State University</w:t>
      </w:r>
      <w:r>
        <w:rPr>
          <w:rFonts w:ascii="Arial" w:cs="Arial" w:eastAsia="Arial" w:hAnsi="Arial"/>
          <w:color w:val="6B5A50"/>
          <w:sz w:val="16"/>
          <w:szCs w:val="16"/>
        </w:rPr>
        <w:t xml:space="preserve">   ·   Tallahassee, FL</w:t>
      </w:r>
    </w:p>
    <w:p>
      <w:pPr>
        <w:spacing w:after="60" w:before="0"/>
      </w:pPr>
    </w:p>
    <w:p>
      <w:pPr>
        <w:pBdr>
          <w:bottom w:val="single" w:color="782F40" w:sz="20" w:space="0"/>
        </w:pBdr>
        <w:spacing w:after="0" w:before="80"/>
      </w:pP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80" w:hanging="200"/>
      </w:pPr>
      <w:rPr>
        <w:rFonts w:ascii="Arial" w:cs="Arial" w:eastAsia="Arial" w:hAnsi="Arial"/>
        <w:color w:val="C4A35A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15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sagullqqitmbsr2fhvlh" Type="http://schemas.openxmlformats.org/officeDocument/2006/relationships/hyperlink" Target="https://chrisalbrizio-ca.github.io" TargetMode="External"/><Relationship Id="rIdiyog-8jn-losqj_ppitxk" Type="http://schemas.openxmlformats.org/officeDocument/2006/relationships/hyperlink" Target="https://www.linkedin.com/in/chris-albrizio-2b962040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2026-04-28T23:42:29.196Z</dcterms:created>
  <dcterms:modified xsi:type="dcterms:W3CDTF">2026-04-28T23:42:29.197Z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