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782F40" w:sz="24" w:space="0"/>
        </w:pBdr>
        <w:spacing w:after="0" w:before="0"/>
      </w:pPr>
    </w:p>
    <w:p>
      <w:pPr>
        <w:spacing w:after="60" w:before="80"/>
      </w:pPr>
    </w:p>
    <w:p>
      <w:pPr>
        <w:spacing w:after="40" w:before="0"/>
        <w:jc w:val="center"/>
      </w:pPr>
      <w:r>
        <w:rPr>
          <w:rFonts w:ascii="Arial" w:cs="Arial" w:eastAsia="Arial" w:hAnsi="Arial"/>
          <w:b/>
          <w:bCs/>
          <w:color w:val="782F40"/>
          <w:spacing w:val="60"/>
          <w:sz w:val="48"/>
          <w:szCs w:val="48"/>
        </w:rPr>
        <w:t xml:space="preserve">CHRISTOPHER ALBRIZIO</w:t>
      </w:r>
    </w:p>
    <w:p>
      <w:pPr>
        <w:pBdr>
          <w:bottom w:val="single" w:color="C4A35A" w:sz="4" w:space="2"/>
        </w:pBdr>
        <w:spacing w:after="60" w:before="0"/>
        <w:jc w:val="center"/>
      </w:pPr>
      <w:r>
        <w:rPr>
          <w:rFonts w:ascii="Arial" w:cs="Arial" w:eastAsia="Arial" w:hAnsi="Arial"/>
          <w:b/>
          <w:bCs/>
          <w:color w:val="6B5A50"/>
          <w:sz w:val="24"/>
          <w:szCs w:val="24"/>
        </w:rPr>
        <w:t xml:space="preserve">BSA / Implementation &amp; Training Lead</w:t>
      </w:r>
    </w:p>
    <w:p>
      <w:pPr>
        <w:spacing w:after="180" w:before="60"/>
        <w:jc w:val="center"/>
      </w:pPr>
      <w:r>
        <w:rPr>
          <w:rFonts w:ascii="Arial" w:cs="Arial" w:eastAsia="Arial" w:hAnsi="Arial"/>
          <w:color w:val="6B5A50"/>
          <w:sz w:val="18"/>
          <w:szCs w:val="18"/>
        </w:rPr>
        <w:t xml:space="preserve">chrisalbrizio@gmail.com</w:t>
      </w:r>
      <w:r>
        <w:rPr>
          <w:rFonts w:ascii="Arial" w:cs="Arial" w:eastAsia="Arial" w:hAnsi="Arial"/>
          <w:color w:val="C4A35A"/>
          <w:sz w:val="18"/>
          <w:szCs w:val="18"/>
        </w:rPr>
        <w:t xml:space="preserve">   ·   </w:t>
      </w:r>
      <w:r>
        <w:rPr>
          <w:rFonts w:ascii="Arial" w:cs="Arial" w:eastAsia="Arial" w:hAnsi="Arial"/>
          <w:color w:val="6B5A50"/>
          <w:sz w:val="18"/>
          <w:szCs w:val="18"/>
        </w:rPr>
        <w:t xml:space="preserve">(609) 903-5121</w:t>
      </w:r>
      <w:r>
        <w:rPr>
          <w:rFonts w:ascii="Arial" w:cs="Arial" w:eastAsia="Arial" w:hAnsi="Arial"/>
          <w:color w:val="C4A35A"/>
          <w:sz w:val="18"/>
          <w:szCs w:val="18"/>
        </w:rPr>
        <w:t xml:space="preserve">   ·   </w:t>
      </w:r>
      <w:r>
        <w:rPr>
          <w:rFonts w:ascii="Arial" w:cs="Arial" w:eastAsia="Arial" w:hAnsi="Arial"/>
          <w:color w:val="6B5A50"/>
          <w:sz w:val="18"/>
          <w:szCs w:val="18"/>
        </w:rPr>
        <w:t xml:space="preserve">Tallahassee, FL</w:t>
      </w:r>
      <w:r>
        <w:rPr>
          <w:rFonts w:ascii="Arial" w:cs="Arial" w:eastAsia="Arial" w:hAnsi="Arial"/>
          <w:color w:val="C4A35A"/>
          <w:sz w:val="18"/>
          <w:szCs w:val="18"/>
        </w:rPr>
        <w:t xml:space="preserve">   ·   </w:t>
      </w:r>
      <w:r>
        <w:rPr>
          <w:rFonts w:ascii="Arial" w:cs="Arial" w:eastAsia="Arial" w:hAnsi="Arial"/>
          <w:color w:val="6B5A50"/>
          <w:sz w:val="18"/>
          <w:szCs w:val="18"/>
        </w:rPr>
        <w:t xml:space="preserve">Remote</w:t>
      </w:r>
    </w:p>
    <w:p>
      <w:pPr>
        <w:pBdr>
          <w:bottom w:val="single" w:color="782F40" w:sz="10" w:space="2"/>
        </w:pBdr>
        <w:spacing w:after="80" w:before="240"/>
      </w:pPr>
      <w:r>
        <w:rPr>
          <w:rFonts w:ascii="Arial" w:cs="Arial" w:eastAsia="Arial" w:hAnsi="Arial"/>
          <w:b/>
          <w:bCs/>
          <w:color w:val="782F40"/>
          <w:spacing w:val="40"/>
          <w:sz w:val="20"/>
          <w:szCs w:val="20"/>
        </w:rPr>
        <w:t xml:space="preserve">PROFESSIONAL SUMMARY</w:t>
      </w:r>
    </w:p>
    <w:p>
      <w:pPr>
        <w:spacing w:after="40" w:before="60"/>
      </w:pPr>
    </w:p>
    <w:p>
      <w:pPr>
        <w:spacing w:after="120" w:before="0"/>
      </w:pPr>
      <w:r>
        <w:rPr>
          <w:rFonts w:ascii="Arial" w:cs="Arial" w:eastAsia="Arial" w:hAnsi="Arial"/>
          <w:color w:val="1A1515"/>
          <w:sz w:val="19"/>
          <w:szCs w:val="19"/>
        </w:rPr>
        <w:t xml:space="preserve">Mortgage technology specialist with 14+ years of progressive experience spanning loan processing, underwriting, closing, and business systems analysis. Institution-wide implementation lead for Ocrolus, nCino SimpleNexus, and Encompass Partner Connect — owning the full lifecycle across all platforms: configuration, deployment, integration testing, role-specific training, post-launch troubleshooting, and ongoing feature enhancement rollout. Designated SME for both Ocrolus and nCino SimpleNexus. Configured and deployed 23 Encompass Partner Connect integrations. Trained 80+ users across all role groups. Authorized to work in the U.S. for any employer.</w:t>
      </w:r>
    </w:p>
    <w:p>
      <w:pPr>
        <w:pBdr>
          <w:bottom w:val="single" w:color="782F40" w:sz="10" w:space="2"/>
        </w:pBdr>
        <w:spacing w:after="80" w:before="240"/>
      </w:pPr>
      <w:r>
        <w:rPr>
          <w:rFonts w:ascii="Arial" w:cs="Arial" w:eastAsia="Arial" w:hAnsi="Arial"/>
          <w:b/>
          <w:bCs/>
          <w:color w:val="782F40"/>
          <w:spacing w:val="40"/>
          <w:sz w:val="20"/>
          <w:szCs w:val="20"/>
        </w:rPr>
        <w:t xml:space="preserve">CORE COMPETENCIES</w:t>
      </w:r>
    </w:p>
    <w:p>
      <w:pPr>
        <w:spacing w:after="6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Encompass LOS &amp; Partner Connect</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nCino SimpleNexus SME</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Ocrolus Implementation SME</w:t>
            </w:r>
          </w:p>
        </w:tc>
      </w:tr>
      <w:tr>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End-to-End UAT → Production</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23 EPC Integrations Deployed</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MLO / MLP / UW / Ops Training</w:t>
            </w:r>
          </w:p>
        </w:tc>
      </w:tr>
      <w:tr>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VOA / VOIE Integration</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Rep &amp; Warrant Relief Optimization</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Vendor &amp; Stakeholder Management</w:t>
            </w:r>
          </w:p>
        </w:tc>
      </w:tr>
      <w:tr>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API Integration &amp; Data Mapping</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Mortgage Origination &amp; Underwriting</w:t>
            </w:r>
          </w:p>
        </w:tc>
        <w:tc>
          <w:tcPr>
            <w:tcW w:type="dxa" w:w="3120"/>
            <w:tcBorders>
              <w:top w:val="single" w:color="E8E0D5" w:sz="2"/>
              <w:left w:val="single" w:color="E8E0D5" w:sz="2"/>
              <w:bottom w:val="single" w:color="E8E0D5" w:sz="2"/>
              <w:right w:val="single" w:color="E8E0D5" w:sz="2"/>
            </w:tcBorders>
            <w:shd w:fill="F9F5EF" w:val="clear"/>
            <w:tcMar>
              <w:top w:type="dxa" w:w="90"/>
              <w:left w:type="dxa" w:w="130"/>
              <w:bottom w:type="dxa" w:w="90"/>
              <w:right w:type="dxa" w:w="130"/>
            </w:tcMar>
          </w:tcPr>
          <w:p>
            <w:pPr>
              <w:jc w:val="center"/>
            </w:pPr>
            <w:r>
              <w:rPr>
                <w:rFonts w:ascii="Arial" w:cs="Arial" w:eastAsia="Arial" w:hAnsi="Arial"/>
                <w:b/>
                <w:bCs/>
                <w:color w:val="782F40"/>
                <w:sz w:val="17"/>
                <w:szCs w:val="17"/>
              </w:rPr>
              <w:t xml:space="preserve">Go-Live Communications &amp; QRGs</w:t>
            </w:r>
          </w:p>
        </w:tc>
      </w:tr>
    </w:tbl>
    <w:p>
      <w:pPr>
        <w:spacing w:after="0" w:before="80"/>
      </w:pPr>
    </w:p>
    <w:p>
      <w:pPr>
        <w:pBdr>
          <w:bottom w:val="single" w:color="782F40" w:sz="10" w:space="2"/>
        </w:pBdr>
        <w:spacing w:after="80" w:before="240"/>
      </w:pPr>
      <w:r>
        <w:rPr>
          <w:rFonts w:ascii="Arial" w:cs="Arial" w:eastAsia="Arial" w:hAnsi="Arial"/>
          <w:b/>
          <w:bCs/>
          <w:color w:val="782F40"/>
          <w:spacing w:val="40"/>
          <w:sz w:val="20"/>
          <w:szCs w:val="20"/>
        </w:rPr>
        <w:t xml:space="preserve">WORK EXPERIENCE</w:t>
      </w:r>
    </w:p>
    <w:p>
      <w:pPr>
        <w:tabs>
          <w:tab w:val="right" w:pos="9360"/>
        </w:tabs>
        <w:spacing w:after="30" w:before="180"/>
      </w:pPr>
      <w:r>
        <w:rPr>
          <w:rFonts w:ascii="Arial" w:cs="Arial" w:eastAsia="Arial" w:hAnsi="Arial"/>
          <w:b/>
          <w:bCs/>
          <w:color w:val="1A1515"/>
          <w:sz w:val="22"/>
          <w:szCs w:val="22"/>
        </w:rPr>
        <w:t xml:space="preserve">BSA / Implementation &amp; Training Lead</w:t>
      </w:r>
      <w:r>
        <w:rPr>
          <w:rFonts w:ascii="Arial" w:cs="Arial" w:eastAsia="Arial" w:hAnsi="Arial"/>
          <w:i/>
          <w:iCs/>
          <w:color w:val="6B5A50"/>
          <w:sz w:val="18"/>
          <w:szCs w:val="18"/>
        </w:rPr>
        <w:t xml:space="preserve">	March 2023 – Present</w:t>
      </w:r>
    </w:p>
    <w:p>
      <w:pPr>
        <w:spacing w:after="70" w:before="0"/>
      </w:pPr>
      <w:r>
        <w:rPr>
          <w:rFonts w:ascii="Arial" w:cs="Arial" w:eastAsia="Arial" w:hAnsi="Arial"/>
          <w:b/>
          <w:bCs/>
          <w:color w:val="C4A35A"/>
          <w:sz w:val="19"/>
          <w:szCs w:val="19"/>
        </w:rPr>
        <w:t xml:space="preserve">Hancock Whitney Bank</w:t>
      </w:r>
      <w:r>
        <w:rPr>
          <w:rFonts w:ascii="Arial" w:cs="Arial" w:eastAsia="Arial" w:hAnsi="Arial"/>
          <w:color w:val="6B5A50"/>
          <w:sz w:val="18"/>
          <w:szCs w:val="18"/>
        </w:rPr>
        <w:t xml:space="preserve">   ·   Tallahassee, FL · Remote</w:t>
      </w:r>
    </w:p>
    <w:p>
      <w:pPr>
        <w:pStyle w:val="ListParagraph"/>
        <w:numPr>
          <w:ilvl w:val="0"/>
          <w:numId w:val="2"/>
        </w:numPr>
        <w:spacing w:after="36" w:before="36"/>
      </w:pPr>
      <w:r>
        <w:rPr>
          <w:rFonts w:ascii="Arial" w:cs="Arial" w:eastAsia="Arial" w:hAnsi="Arial"/>
          <w:color w:val="1A1515"/>
          <w:sz w:val="19"/>
          <w:szCs w:val="19"/>
        </w:rPr>
        <w:t xml:space="preserve">Institution-wide implementation lead for Ocrolus, nCino SimpleNexus, and Encompass Partner Connect — owning the full lifecycle: configuration, deployment, integration testing, role-specific training, post-launch troubleshooting, and ongoing feature enhancement rollout.</w:t>
      </w:r>
    </w:p>
    <w:p>
      <w:pPr>
        <w:pStyle w:val="ListParagraph"/>
        <w:numPr>
          <w:ilvl w:val="0"/>
          <w:numId w:val="2"/>
        </w:numPr>
        <w:spacing w:after="36" w:before="36"/>
      </w:pPr>
      <w:r>
        <w:rPr>
          <w:rFonts w:ascii="Arial" w:cs="Arial" w:eastAsia="Arial" w:hAnsi="Arial"/>
          <w:color w:val="1A1515"/>
          <w:sz w:val="19"/>
          <w:szCs w:val="19"/>
        </w:rPr>
        <w:t xml:space="preserve">Designated SME for both Ocrolus and nCino SimpleNexus — primary escalation point and expert resource for all user groups: MLOs, MLPs, Processors, Underwriters, Operations Managers, and Sales Managers.</w:t>
      </w:r>
    </w:p>
    <w:p>
      <w:pPr>
        <w:pStyle w:val="ListParagraph"/>
        <w:numPr>
          <w:ilvl w:val="0"/>
          <w:numId w:val="2"/>
        </w:numPr>
        <w:spacing w:after="36" w:before="36"/>
      </w:pPr>
      <w:r>
        <w:rPr>
          <w:rFonts w:ascii="Arial" w:cs="Arial" w:eastAsia="Arial" w:hAnsi="Arial"/>
          <w:color w:val="1A1515"/>
          <w:sz w:val="19"/>
          <w:szCs w:val="19"/>
        </w:rPr>
        <w:t xml:space="preserve">Configured and deployed 23 Encompass Partner Connect integrations including Finicity, The Work Number by Equifax, DataVerify, Optimal Blue (pricing engine), Mortgage Insurance Center, Halcyon 8821 Tax Services, ServiceLink National Flood, and Salesforce-to-Encompass.</w:t>
      </w:r>
    </w:p>
    <w:p>
      <w:pPr>
        <w:pStyle w:val="ListParagraph"/>
        <w:numPr>
          <w:ilvl w:val="0"/>
          <w:numId w:val="2"/>
        </w:numPr>
        <w:spacing w:after="36" w:before="36"/>
      </w:pPr>
      <w:r>
        <w:rPr>
          <w:rFonts w:ascii="Arial" w:cs="Arial" w:eastAsia="Arial" w:hAnsi="Arial"/>
          <w:color w:val="1A1515"/>
          <w:sz w:val="19"/>
          <w:szCs w:val="19"/>
        </w:rPr>
        <w:t xml:space="preserve">Served as primary strategic input for Ocrolus implementation direction — all user workflows designed and built from scratch; management trusted me to architect a plan that fit within existing operations.</w:t>
      </w:r>
    </w:p>
    <w:p>
      <w:pPr>
        <w:pStyle w:val="ListParagraph"/>
        <w:numPr>
          <w:ilvl w:val="0"/>
          <w:numId w:val="2"/>
        </w:numPr>
        <w:spacing w:after="36" w:before="36"/>
      </w:pPr>
      <w:r>
        <w:rPr>
          <w:rFonts w:ascii="Arial" w:cs="Arial" w:eastAsia="Arial" w:hAnsi="Arial"/>
          <w:color w:val="1A1515"/>
          <w:sz w:val="19"/>
          <w:szCs w:val="19"/>
        </w:rPr>
        <w:t xml:space="preserve">Onboarded 80+ users across MLO, MLP, Processor, Underwriter, Operations Manager, and Sales Manager roles; supporting 200+ loans per month through the platform.</w:t>
      </w:r>
    </w:p>
    <w:p>
      <w:pPr>
        <w:pStyle w:val="ListParagraph"/>
        <w:numPr>
          <w:ilvl w:val="0"/>
          <w:numId w:val="2"/>
        </w:numPr>
        <w:spacing w:after="36" w:before="36"/>
      </w:pPr>
      <w:r>
        <w:rPr>
          <w:rFonts w:ascii="Arial" w:cs="Arial" w:eastAsia="Arial" w:hAnsi="Arial"/>
          <w:color w:val="1A1515"/>
          <w:sz w:val="19"/>
          <w:szCs w:val="19"/>
        </w:rPr>
        <w:t xml:space="preserve">Achieved 95% adoption among processors and underwriters and 75% MLO adoption within the first rollout cycle.</w:t>
      </w:r>
    </w:p>
    <w:p>
      <w:pPr>
        <w:pStyle w:val="ListParagraph"/>
        <w:numPr>
          <w:ilvl w:val="0"/>
          <w:numId w:val="2"/>
        </w:numPr>
        <w:spacing w:after="36" w:before="36"/>
      </w:pPr>
      <w:r>
        <w:rPr>
          <w:rFonts w:ascii="Arial" w:cs="Arial" w:eastAsia="Arial" w:hAnsi="Arial"/>
          <w:color w:val="1A1515"/>
          <w:sz w:val="19"/>
          <w:szCs w:val="19"/>
        </w:rPr>
        <w:t xml:space="preserve">Conducted full end-to-end UAT through production for nCino SimpleNexus and Ocrolus — authored test scripts, executed scenario-based test cases, validated data integrity at each system handoff; reduced system errors by 20% and accelerated release cycles by 15%.</w:t>
      </w:r>
    </w:p>
    <w:p>
      <w:pPr>
        <w:pStyle w:val="ListParagraph"/>
        <w:numPr>
          <w:ilvl w:val="0"/>
          <w:numId w:val="2"/>
        </w:numPr>
        <w:spacing w:after="36" w:before="36"/>
      </w:pPr>
      <w:r>
        <w:rPr>
          <w:rFonts w:ascii="Arial" w:cs="Arial" w:eastAsia="Arial" w:hAnsi="Arial"/>
          <w:color w:val="1A1515"/>
          <w:sz w:val="19"/>
          <w:szCs w:val="19"/>
        </w:rPr>
        <w:t xml:space="preserve">Performed Salesforce-to-Encompass integration testing — validating lead and loan data flows, field-level mapping accuracy, trigger logic, and pipeline sync prior to production release.</w:t>
      </w:r>
    </w:p>
    <w:p>
      <w:pPr>
        <w:pStyle w:val="ListParagraph"/>
        <w:numPr>
          <w:ilvl w:val="0"/>
          <w:numId w:val="2"/>
        </w:numPr>
        <w:spacing w:after="36" w:before="36"/>
      </w:pPr>
      <w:r>
        <w:rPr>
          <w:rFonts w:ascii="Arial" w:cs="Arial" w:eastAsia="Arial" w:hAnsi="Arial"/>
          <w:color w:val="1A1515"/>
          <w:sz w:val="19"/>
          <w:szCs w:val="19"/>
        </w:rPr>
        <w:t xml:space="preserve">Trained all user groups on identifying Fannie Mae and Freddie Mac rep &amp; warrant relief eligibility using Fannie Mae validated income calculator tools — contributing to a 225% increase in rep &amp; warrant relief for the institution.</w:t>
      </w:r>
    </w:p>
    <w:p>
      <w:pPr>
        <w:pStyle w:val="ListParagraph"/>
        <w:numPr>
          <w:ilvl w:val="0"/>
          <w:numId w:val="2"/>
        </w:numPr>
        <w:spacing w:after="36" w:before="36"/>
      </w:pPr>
      <w:r>
        <w:rPr>
          <w:rFonts w:ascii="Arial" w:cs="Arial" w:eastAsia="Arial" w:hAnsi="Arial"/>
          <w:color w:val="1A1515"/>
          <w:sz w:val="19"/>
          <w:szCs w:val="19"/>
        </w:rPr>
        <w:t xml:space="preserve">Designed and delivered role-specific training for all user groups — in-person, Teams, and Zoom delivery; increasing system proficiency and adoption by 25% across teams.</w:t>
      </w:r>
    </w:p>
    <w:p>
      <w:pPr>
        <w:pStyle w:val="ListParagraph"/>
        <w:numPr>
          <w:ilvl w:val="0"/>
          <w:numId w:val="2"/>
        </w:numPr>
        <w:spacing w:after="36" w:before="36"/>
      </w:pPr>
      <w:r>
        <w:rPr>
          <w:rFonts w:ascii="Arial" w:cs="Arial" w:eastAsia="Arial" w:hAnsi="Arial"/>
          <w:color w:val="1A1515"/>
          <w:sz w:val="19"/>
          <w:szCs w:val="19"/>
        </w:rPr>
        <w:t xml:space="preserve">Produced go-live announcements for management and all-staff; built role-specific quick reference guides and FAQ documents; conducted direct pre-launch briefings with department leads across Underwriting, Processing, Operations, Closing, and Compliance.</w:t>
      </w:r>
    </w:p>
    <w:p>
      <w:pPr>
        <w:pStyle w:val="ListParagraph"/>
        <w:numPr>
          <w:ilvl w:val="0"/>
          <w:numId w:val="2"/>
        </w:numPr>
        <w:spacing w:after="36" w:before="36"/>
      </w:pPr>
      <w:r>
        <w:rPr>
          <w:rFonts w:ascii="Arial" w:cs="Arial" w:eastAsia="Arial" w:hAnsi="Arial"/>
          <w:color w:val="1A1515"/>
          <w:sz w:val="19"/>
          <w:szCs w:val="19"/>
        </w:rPr>
        <w:t xml:space="preserve">Delivered ongoing refresher trainings and Q&amp;A calls by role and org-wide; created Scribe-based step-by-step tutorials and Snagit video recordings for asynchronous reference.</w:t>
      </w:r>
    </w:p>
    <w:p>
      <w:pPr>
        <w:pStyle w:val="ListParagraph"/>
        <w:numPr>
          <w:ilvl w:val="0"/>
          <w:numId w:val="2"/>
        </w:numPr>
        <w:spacing w:after="36" w:before="36"/>
      </w:pPr>
      <w:r>
        <w:rPr>
          <w:rFonts w:ascii="Arial" w:cs="Arial" w:eastAsia="Arial" w:hAnsi="Arial"/>
          <w:color w:val="1A1515"/>
          <w:sz w:val="19"/>
          <w:szCs w:val="19"/>
        </w:rPr>
        <w:t xml:space="preserve">Maintained 98% system uptime; 90% same-day resolution rate on user support requests; delivered system upgrade projects on schedule 95% of the time.</w:t>
      </w:r>
    </w:p>
    <w:p>
      <w:pPr>
        <w:pStyle w:val="ListParagraph"/>
        <w:numPr>
          <w:ilvl w:val="0"/>
          <w:numId w:val="2"/>
        </w:numPr>
        <w:spacing w:after="36" w:before="36"/>
      </w:pPr>
      <w:r>
        <w:rPr>
          <w:rFonts w:ascii="Arial" w:cs="Arial" w:eastAsia="Arial" w:hAnsi="Arial"/>
          <w:color w:val="1A1515"/>
          <w:sz w:val="19"/>
          <w:szCs w:val="19"/>
        </w:rPr>
        <w:t xml:space="preserve">Managed multi-vendor relationships (ICE, nCino, Equifax, Ocrolus, DataVerify, Optimal Blue) ensuring seamless integration and SLA compliance.</w:t>
      </w:r>
    </w:p>
    <w:p>
      <w:pPr>
        <w:pStyle w:val="ListParagraph"/>
        <w:numPr>
          <w:ilvl w:val="0"/>
          <w:numId w:val="2"/>
        </w:numPr>
        <w:spacing w:after="36" w:before="36"/>
      </w:pPr>
      <w:r>
        <w:rPr>
          <w:rFonts w:ascii="Arial" w:cs="Arial" w:eastAsia="Arial" w:hAnsi="Arial"/>
          <w:color w:val="1A1515"/>
          <w:sz w:val="19"/>
          <w:szCs w:val="19"/>
        </w:rPr>
        <w:t xml:space="preserve">Consistently identified platform improvements and submitted feature requests to vendor product teams — influencing product roadmap decisions across Ocrolus, nCino, and ICE.</w:t>
      </w:r>
    </w:p>
    <w:p>
      <w:pPr>
        <w:pStyle w:val="ListParagraph"/>
        <w:numPr>
          <w:ilvl w:val="0"/>
          <w:numId w:val="2"/>
        </w:numPr>
        <w:spacing w:after="36" w:before="36"/>
      </w:pPr>
      <w:r>
        <w:rPr>
          <w:rFonts w:ascii="Arial" w:cs="Arial" w:eastAsia="Arial" w:hAnsi="Arial"/>
          <w:color w:val="1A1515"/>
          <w:sz w:val="19"/>
          <w:szCs w:val="19"/>
        </w:rPr>
        <w:t xml:space="preserve">Supported vendor contract renegotiations by documenting outstanding issues, undelivered commitments, and feature gaps — providing technical evidence during renewal discussions.</w:t>
      </w:r>
    </w:p>
    <w:p>
      <w:pPr>
        <w:pStyle w:val="ListParagraph"/>
        <w:numPr>
          <w:ilvl w:val="0"/>
          <w:numId w:val="2"/>
        </w:numPr>
        <w:spacing w:after="36" w:before="36"/>
      </w:pPr>
      <w:r>
        <w:rPr>
          <w:rFonts w:ascii="Arial" w:cs="Arial" w:eastAsia="Arial" w:hAnsi="Arial"/>
          <w:color w:val="1A1515"/>
          <w:sz w:val="19"/>
          <w:szCs w:val="19"/>
        </w:rPr>
        <w:t xml:space="preserve">Generated executive reporting dashboards; collaborated with senior leadership to shape system policies and procedures.</w:t>
      </w:r>
    </w:p>
    <w:p>
      <w:pPr>
        <w:tabs>
          <w:tab w:val="right" w:pos="9360"/>
        </w:tabs>
        <w:spacing w:after="30" w:before="180"/>
      </w:pPr>
      <w:r>
        <w:rPr>
          <w:rFonts w:ascii="Arial" w:cs="Arial" w:eastAsia="Arial" w:hAnsi="Arial"/>
          <w:b/>
          <w:bCs/>
          <w:color w:val="1A1515"/>
          <w:sz w:val="22"/>
          <w:szCs w:val="22"/>
        </w:rPr>
        <w:t xml:space="preserve">Mortgage Loan Origination Production Specialist</w:t>
      </w:r>
      <w:r>
        <w:rPr>
          <w:rFonts w:ascii="Arial" w:cs="Arial" w:eastAsia="Arial" w:hAnsi="Arial"/>
          <w:i/>
          <w:iCs/>
          <w:color w:val="6B5A50"/>
          <w:sz w:val="18"/>
          <w:szCs w:val="18"/>
        </w:rPr>
        <w:t xml:space="preserve">	August 2021 – March 2023</w:t>
      </w:r>
    </w:p>
    <w:p>
      <w:pPr>
        <w:spacing w:after="70" w:before="0"/>
      </w:pPr>
      <w:r>
        <w:rPr>
          <w:rFonts w:ascii="Arial" w:cs="Arial" w:eastAsia="Arial" w:hAnsi="Arial"/>
          <w:b/>
          <w:bCs/>
          <w:color w:val="C4A35A"/>
          <w:sz w:val="19"/>
          <w:szCs w:val="19"/>
        </w:rPr>
        <w:t xml:space="preserve">Hancock Whitney Bank</w:t>
      </w:r>
      <w:r>
        <w:rPr>
          <w:rFonts w:ascii="Arial" w:cs="Arial" w:eastAsia="Arial" w:hAnsi="Arial"/>
          <w:color w:val="6B5A50"/>
          <w:sz w:val="18"/>
          <w:szCs w:val="18"/>
        </w:rPr>
        <w:t xml:space="preserve">   ·   Tallahassee, FL</w:t>
      </w:r>
    </w:p>
    <w:p>
      <w:pPr>
        <w:pStyle w:val="ListParagraph"/>
        <w:numPr>
          <w:ilvl w:val="0"/>
          <w:numId w:val="2"/>
        </w:numPr>
        <w:spacing w:after="36" w:before="36"/>
      </w:pPr>
      <w:r>
        <w:rPr>
          <w:rFonts w:ascii="Arial" w:cs="Arial" w:eastAsia="Arial" w:hAnsi="Arial"/>
          <w:color w:val="1A1515"/>
          <w:sz w:val="19"/>
          <w:szCs w:val="19"/>
        </w:rPr>
        <w:t xml:space="preserve">Supported loan originators across end-to-end workflows including application processing, income calculation, and cost estimation for accurate loan structuring.</w:t>
      </w:r>
    </w:p>
    <w:p>
      <w:pPr>
        <w:pStyle w:val="ListParagraph"/>
        <w:numPr>
          <w:ilvl w:val="0"/>
          <w:numId w:val="2"/>
        </w:numPr>
        <w:spacing w:after="36" w:before="36"/>
      </w:pPr>
      <w:r>
        <w:rPr>
          <w:rFonts w:ascii="Arial" w:cs="Arial" w:eastAsia="Arial" w:hAnsi="Arial"/>
          <w:color w:val="1A1515"/>
          <w:sz w:val="19"/>
          <w:szCs w:val="19"/>
        </w:rPr>
        <w:t xml:space="preserve">Conducted client outreach via calls and emails, improving client engagement and pipeline velocity.</w:t>
      </w:r>
    </w:p>
    <w:p>
      <w:pPr>
        <w:tabs>
          <w:tab w:val="right" w:pos="9360"/>
        </w:tabs>
        <w:spacing w:after="30" w:before="180"/>
      </w:pPr>
      <w:r>
        <w:rPr>
          <w:rFonts w:ascii="Arial" w:cs="Arial" w:eastAsia="Arial" w:hAnsi="Arial"/>
          <w:b/>
          <w:bCs/>
          <w:color w:val="1A1515"/>
          <w:sz w:val="22"/>
          <w:szCs w:val="22"/>
        </w:rPr>
        <w:t xml:space="preserve">Mortgage Loan Underwriter</w:t>
      </w:r>
      <w:r>
        <w:rPr>
          <w:rFonts w:ascii="Arial" w:cs="Arial" w:eastAsia="Arial" w:hAnsi="Arial"/>
          <w:i/>
          <w:iCs/>
          <w:color w:val="6B5A50"/>
          <w:sz w:val="18"/>
          <w:szCs w:val="18"/>
        </w:rPr>
        <w:t xml:space="preserve">	February 2021 – August 2021</w:t>
      </w:r>
    </w:p>
    <w:p>
      <w:pPr>
        <w:spacing w:after="70" w:before="0"/>
      </w:pPr>
      <w:r>
        <w:rPr>
          <w:rFonts w:ascii="Arial" w:cs="Arial" w:eastAsia="Arial" w:hAnsi="Arial"/>
          <w:b/>
          <w:bCs/>
          <w:color w:val="C4A35A"/>
          <w:sz w:val="19"/>
          <w:szCs w:val="19"/>
        </w:rPr>
        <w:t xml:space="preserve">Hancock Whitney Bank</w:t>
      </w:r>
      <w:r>
        <w:rPr>
          <w:rFonts w:ascii="Arial" w:cs="Arial" w:eastAsia="Arial" w:hAnsi="Arial"/>
          <w:color w:val="6B5A50"/>
          <w:sz w:val="18"/>
          <w:szCs w:val="18"/>
        </w:rPr>
        <w:t xml:space="preserve">   ·   Tallahassee, FL</w:t>
      </w:r>
    </w:p>
    <w:p>
      <w:pPr>
        <w:pStyle w:val="ListParagraph"/>
        <w:numPr>
          <w:ilvl w:val="0"/>
          <w:numId w:val="2"/>
        </w:numPr>
        <w:spacing w:after="36" w:before="36"/>
      </w:pPr>
      <w:r>
        <w:rPr>
          <w:rFonts w:ascii="Arial" w:cs="Arial" w:eastAsia="Arial" w:hAnsi="Arial"/>
          <w:color w:val="1A1515"/>
          <w:sz w:val="19"/>
          <w:szCs w:val="19"/>
        </w:rPr>
        <w:t xml:space="preserve">Underwrote conventional purchase and refinance loans using DU and LP — independently issuing conditions, analyzing borrower credit and income profiles, and ensuring compliance with agency guidelines; managed a pipeline of 10–20 loans per month.</w:t>
      </w:r>
    </w:p>
    <w:p>
      <w:pPr>
        <w:tabs>
          <w:tab w:val="right" w:pos="9360"/>
        </w:tabs>
        <w:spacing w:after="30" w:before="180"/>
      </w:pPr>
      <w:r>
        <w:rPr>
          <w:rFonts w:ascii="Arial" w:cs="Arial" w:eastAsia="Arial" w:hAnsi="Arial"/>
          <w:b/>
          <w:bCs/>
          <w:color w:val="1A1515"/>
          <w:sz w:val="22"/>
          <w:szCs w:val="22"/>
        </w:rPr>
        <w:t xml:space="preserve">Mortgage Closer</w:t>
      </w:r>
      <w:r>
        <w:rPr>
          <w:rFonts w:ascii="Arial" w:cs="Arial" w:eastAsia="Arial" w:hAnsi="Arial"/>
          <w:i/>
          <w:iCs/>
          <w:color w:val="6B5A50"/>
          <w:sz w:val="18"/>
          <w:szCs w:val="18"/>
        </w:rPr>
        <w:t xml:space="preserve">	August 2020 – February 2021</w:t>
      </w:r>
    </w:p>
    <w:p>
      <w:pPr>
        <w:spacing w:after="70" w:before="0"/>
      </w:pPr>
      <w:r>
        <w:rPr>
          <w:rFonts w:ascii="Arial" w:cs="Arial" w:eastAsia="Arial" w:hAnsi="Arial"/>
          <w:b/>
          <w:bCs/>
          <w:color w:val="C4A35A"/>
          <w:sz w:val="19"/>
          <w:szCs w:val="19"/>
        </w:rPr>
        <w:t xml:space="preserve">Capital City Home Loans</w:t>
      </w:r>
      <w:r>
        <w:rPr>
          <w:rFonts w:ascii="Arial" w:cs="Arial" w:eastAsia="Arial" w:hAnsi="Arial"/>
          <w:color w:val="6B5A50"/>
          <w:sz w:val="18"/>
          <w:szCs w:val="18"/>
        </w:rPr>
        <w:t xml:space="preserve">   ·   Tallahassee, FL</w:t>
      </w:r>
    </w:p>
    <w:p>
      <w:pPr>
        <w:pStyle w:val="ListParagraph"/>
        <w:numPr>
          <w:ilvl w:val="0"/>
          <w:numId w:val="2"/>
        </w:numPr>
        <w:spacing w:after="36" w:before="36"/>
      </w:pPr>
      <w:r>
        <w:rPr>
          <w:rFonts w:ascii="Arial" w:cs="Arial" w:eastAsia="Arial" w:hAnsi="Arial"/>
          <w:color w:val="1A1515"/>
          <w:sz w:val="19"/>
          <w:szCs w:val="19"/>
        </w:rPr>
        <w:t xml:space="preserve">Managed full closing package preparation for purchase and refinance transactions — coordinating with title companies, reviewing closing disclosures, and ensuring regulatory compliance through funding; closed approximately 50 loans per month.</w:t>
      </w:r>
    </w:p>
    <w:p>
      <w:pPr>
        <w:tabs>
          <w:tab w:val="right" w:pos="9360"/>
        </w:tabs>
        <w:spacing w:after="30" w:before="180"/>
      </w:pPr>
      <w:r>
        <w:rPr>
          <w:rFonts w:ascii="Arial" w:cs="Arial" w:eastAsia="Arial" w:hAnsi="Arial"/>
          <w:b/>
          <w:bCs/>
          <w:color w:val="1A1515"/>
          <w:sz w:val="22"/>
          <w:szCs w:val="22"/>
        </w:rPr>
        <w:t xml:space="preserve">Senior Mortgage Loan Processor</w:t>
      </w:r>
      <w:r>
        <w:rPr>
          <w:rFonts w:ascii="Arial" w:cs="Arial" w:eastAsia="Arial" w:hAnsi="Arial"/>
          <w:i/>
          <w:iCs/>
          <w:color w:val="6B5A50"/>
          <w:sz w:val="18"/>
          <w:szCs w:val="18"/>
        </w:rPr>
        <w:t xml:space="preserve">	May 2012 – July 2020</w:t>
      </w:r>
    </w:p>
    <w:p>
      <w:pPr>
        <w:spacing w:after="70" w:before="0"/>
      </w:pPr>
      <w:r>
        <w:rPr>
          <w:rFonts w:ascii="Arial" w:cs="Arial" w:eastAsia="Arial" w:hAnsi="Arial"/>
          <w:b/>
          <w:bCs/>
          <w:color w:val="C4A35A"/>
          <w:sz w:val="19"/>
          <w:szCs w:val="19"/>
        </w:rPr>
        <w:t xml:space="preserve">Hancock Whitney Bank</w:t>
      </w:r>
      <w:r>
        <w:rPr>
          <w:rFonts w:ascii="Arial" w:cs="Arial" w:eastAsia="Arial" w:hAnsi="Arial"/>
          <w:color w:val="6B5A50"/>
          <w:sz w:val="18"/>
          <w:szCs w:val="18"/>
        </w:rPr>
        <w:t xml:space="preserve">   ·   Tallahassee, FL</w:t>
      </w:r>
    </w:p>
    <w:p>
      <w:pPr>
        <w:pStyle w:val="ListParagraph"/>
        <w:numPr>
          <w:ilvl w:val="0"/>
          <w:numId w:val="2"/>
        </w:numPr>
        <w:spacing w:after="36" w:before="36"/>
      </w:pPr>
      <w:r>
        <w:rPr>
          <w:rFonts w:ascii="Arial" w:cs="Arial" w:eastAsia="Arial" w:hAnsi="Arial"/>
          <w:color w:val="1A1515"/>
          <w:sz w:val="19"/>
          <w:szCs w:val="19"/>
        </w:rPr>
        <w:t xml:space="preserve">Processed conventional, FHA, VA, and USDA loans from application through clear-to-close over an 8-year tenure — building deep expertise in mortgage origination workflows, compliance requirements, documentation standards, and investor guidelines. The operational foundation that directly informs every system implementation and training initiative today.</w:t>
      </w:r>
    </w:p>
    <w:p>
      <w:pPr>
        <w:pBdr>
          <w:bottom w:val="single" w:color="782F40" w:sz="10" w:space="2"/>
        </w:pBdr>
        <w:spacing w:after="80" w:before="240"/>
      </w:pPr>
      <w:r>
        <w:rPr>
          <w:rFonts w:ascii="Arial" w:cs="Arial" w:eastAsia="Arial" w:hAnsi="Arial"/>
          <w:b/>
          <w:bCs/>
          <w:color w:val="782F40"/>
          <w:spacing w:val="40"/>
          <w:sz w:val="20"/>
          <w:szCs w:val="20"/>
        </w:rPr>
        <w:t xml:space="preserve">TECHNOLOGY STACK</w:t>
      </w:r>
    </w:p>
    <w:p>
      <w:pPr>
        <w:spacing w:after="60" w:before="80"/>
      </w:pP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900"/>
        <w:gridCol w:w="7460"/>
      </w:tblGrid>
      <w:tr>
        <w:tc>
          <w:tcPr>
            <w:tcW w:type="dxa" w:w="1900"/>
            <w:tcBorders>
              <w:top w:val="single" w:color="E8E0D5" w:sz="2"/>
              <w:left w:val="single" w:color="E8E0D5" w:sz="2"/>
              <w:bottom w:val="single" w:color="E8E0D5" w:sz="2"/>
              <w:right w:val="single" w:color="E8E0D5" w:sz="2"/>
            </w:tcBorders>
            <w:shd w:fill="F9F5EF" w:val="clear"/>
            <w:tcMar>
              <w:top w:type="dxa" w:w="80"/>
              <w:left w:type="dxa" w:w="120"/>
              <w:bottom w:type="dxa" w:w="80"/>
              <w:right w:type="dxa" w:w="120"/>
            </w:tcMar>
          </w:tcPr>
          <w:p>
            <w:r>
              <w:rPr>
                <w:rFonts w:ascii="Arial" w:cs="Arial" w:eastAsia="Arial" w:hAnsi="Arial"/>
                <w:b/>
                <w:bCs/>
                <w:color w:val="782F40"/>
                <w:sz w:val="17"/>
                <w:szCs w:val="17"/>
              </w:rPr>
              <w:t xml:space="preserve">LOS / POS</w:t>
            </w:r>
          </w:p>
        </w:tc>
        <w:tc>
          <w:tcPr>
            <w:tcW w:type="dxa" w:w="7460"/>
            <w:tcBorders>
              <w:top w:val="single" w:color="E8E0D5" w:sz="2"/>
              <w:left w:val="none" w:color="FFFFFF" w:sz="0"/>
              <w:bottom w:val="single" w:color="E8E0D5" w:sz="2"/>
              <w:right w:val="single" w:color="E8E0D5" w:sz="2"/>
            </w:tcBorders>
            <w:tcMar>
              <w:top w:type="dxa" w:w="80"/>
              <w:left w:type="dxa" w:w="120"/>
              <w:bottom w:type="dxa" w:w="80"/>
              <w:right w:type="dxa" w:w="120"/>
            </w:tcMar>
          </w:tcPr>
          <w:p>
            <w:r>
              <w:rPr>
                <w:rFonts w:ascii="Arial" w:cs="Arial" w:eastAsia="Arial" w:hAnsi="Arial"/>
                <w:color w:val="1A1515"/>
                <w:sz w:val="17"/>
                <w:szCs w:val="17"/>
              </w:rPr>
              <w:t xml:space="preserve">Encompass by ICE Mortgage Technology, nCino SimpleNexus (POS/Borrower-Facing)</w:t>
            </w:r>
          </w:p>
        </w:tc>
      </w:tr>
      <w:tr>
        <w:tc>
          <w:tcPr>
            <w:tcW w:type="dxa" w:w="1900"/>
            <w:tcBorders>
              <w:top w:val="single" w:color="E8E0D5" w:sz="2"/>
              <w:left w:val="single" w:color="E8E0D5" w:sz="2"/>
              <w:bottom w:val="single" w:color="E8E0D5" w:sz="2"/>
              <w:right w:val="single" w:color="E8E0D5" w:sz="2"/>
            </w:tcBorders>
            <w:shd w:fill="F9F5EF" w:val="clear"/>
            <w:tcMar>
              <w:top w:type="dxa" w:w="80"/>
              <w:left w:type="dxa" w:w="120"/>
              <w:bottom w:type="dxa" w:w="80"/>
              <w:right w:type="dxa" w:w="120"/>
            </w:tcMar>
          </w:tcPr>
          <w:p>
            <w:r>
              <w:rPr>
                <w:rFonts w:ascii="Arial" w:cs="Arial" w:eastAsia="Arial" w:hAnsi="Arial"/>
                <w:b/>
                <w:bCs/>
                <w:color w:val="782F40"/>
                <w:sz w:val="17"/>
                <w:szCs w:val="17"/>
              </w:rPr>
              <w:t xml:space="preserve">Doc Automation</w:t>
            </w:r>
          </w:p>
        </w:tc>
        <w:tc>
          <w:tcPr>
            <w:tcW w:type="dxa" w:w="7460"/>
            <w:tcBorders>
              <w:top w:val="single" w:color="E8E0D5" w:sz="2"/>
              <w:left w:val="none" w:color="FFFFFF" w:sz="0"/>
              <w:bottom w:val="single" w:color="E8E0D5" w:sz="2"/>
              <w:right w:val="single" w:color="E8E0D5" w:sz="2"/>
            </w:tcBorders>
            <w:tcMar>
              <w:top w:type="dxa" w:w="80"/>
              <w:left w:type="dxa" w:w="120"/>
              <w:bottom w:type="dxa" w:w="80"/>
              <w:right w:type="dxa" w:w="120"/>
            </w:tcMar>
          </w:tcPr>
          <w:p>
            <w:r>
              <w:rPr>
                <w:rFonts w:ascii="Arial" w:cs="Arial" w:eastAsia="Arial" w:hAnsi="Arial"/>
                <w:color w:val="1A1515"/>
                <w:sz w:val="17"/>
                <w:szCs w:val="17"/>
              </w:rPr>
              <w:t xml:space="preserve">Ocrolus — income calculation, transaction analysis, document classification, Fannie Mae validated income calculator, VOIE</w:t>
            </w:r>
          </w:p>
        </w:tc>
      </w:tr>
      <w:tr>
        <w:tc>
          <w:tcPr>
            <w:tcW w:type="dxa" w:w="1900"/>
            <w:tcBorders>
              <w:top w:val="single" w:color="E8E0D5" w:sz="2"/>
              <w:left w:val="single" w:color="E8E0D5" w:sz="2"/>
              <w:bottom w:val="single" w:color="E8E0D5" w:sz="2"/>
              <w:right w:val="single" w:color="E8E0D5" w:sz="2"/>
            </w:tcBorders>
            <w:shd w:fill="F9F5EF" w:val="clear"/>
            <w:tcMar>
              <w:top w:type="dxa" w:w="80"/>
              <w:left w:type="dxa" w:w="120"/>
              <w:bottom w:type="dxa" w:w="80"/>
              <w:right w:type="dxa" w:w="120"/>
            </w:tcMar>
          </w:tcPr>
          <w:p>
            <w:r>
              <w:rPr>
                <w:rFonts w:ascii="Arial" w:cs="Arial" w:eastAsia="Arial" w:hAnsi="Arial"/>
                <w:b/>
                <w:bCs/>
                <w:color w:val="782F40"/>
                <w:sz w:val="17"/>
                <w:szCs w:val="17"/>
              </w:rPr>
              <w:t xml:space="preserve">VOA / VOIE</w:t>
            </w:r>
          </w:p>
        </w:tc>
        <w:tc>
          <w:tcPr>
            <w:tcW w:type="dxa" w:w="7460"/>
            <w:tcBorders>
              <w:top w:val="single" w:color="E8E0D5" w:sz="2"/>
              <w:left w:val="none" w:color="FFFFFF" w:sz="0"/>
              <w:bottom w:val="single" w:color="E8E0D5" w:sz="2"/>
              <w:right w:val="single" w:color="E8E0D5" w:sz="2"/>
            </w:tcBorders>
            <w:tcMar>
              <w:top w:type="dxa" w:w="80"/>
              <w:left w:type="dxa" w:w="120"/>
              <w:bottom w:type="dxa" w:w="80"/>
              <w:right w:type="dxa" w:w="120"/>
            </w:tcMar>
          </w:tcPr>
          <w:p>
            <w:r>
              <w:rPr>
                <w:rFonts w:ascii="Arial" w:cs="Arial" w:eastAsia="Arial" w:hAnsi="Arial"/>
                <w:color w:val="1A1515"/>
                <w:sz w:val="17"/>
                <w:szCs w:val="17"/>
              </w:rPr>
              <w:t xml:space="preserve">Finicity (VOA/VOIE), The Work Number by Equifax (VOIE)</w:t>
            </w:r>
          </w:p>
        </w:tc>
      </w:tr>
      <w:tr>
        <w:tc>
          <w:tcPr>
            <w:tcW w:type="dxa" w:w="1900"/>
            <w:tcBorders>
              <w:top w:val="single" w:color="E8E0D5" w:sz="2"/>
              <w:left w:val="single" w:color="E8E0D5" w:sz="2"/>
              <w:bottom w:val="single" w:color="E8E0D5" w:sz="2"/>
              <w:right w:val="single" w:color="E8E0D5" w:sz="2"/>
            </w:tcBorders>
            <w:shd w:fill="F9F5EF" w:val="clear"/>
            <w:tcMar>
              <w:top w:type="dxa" w:w="80"/>
              <w:left w:type="dxa" w:w="120"/>
              <w:bottom w:type="dxa" w:w="80"/>
              <w:right w:type="dxa" w:w="120"/>
            </w:tcMar>
          </w:tcPr>
          <w:p>
            <w:r>
              <w:rPr>
                <w:rFonts w:ascii="Arial" w:cs="Arial" w:eastAsia="Arial" w:hAnsi="Arial"/>
                <w:b/>
                <w:bCs/>
                <w:color w:val="782F40"/>
                <w:sz w:val="17"/>
                <w:szCs w:val="17"/>
              </w:rPr>
              <w:t xml:space="preserve">EPC Integrations</w:t>
            </w:r>
          </w:p>
        </w:tc>
        <w:tc>
          <w:tcPr>
            <w:tcW w:type="dxa" w:w="7460"/>
            <w:tcBorders>
              <w:top w:val="single" w:color="E8E0D5" w:sz="2"/>
              <w:left w:val="none" w:color="FFFFFF" w:sz="0"/>
              <w:bottom w:val="single" w:color="E8E0D5" w:sz="2"/>
              <w:right w:val="single" w:color="E8E0D5" w:sz="2"/>
            </w:tcBorders>
            <w:tcMar>
              <w:top w:type="dxa" w:w="80"/>
              <w:left w:type="dxa" w:w="120"/>
              <w:bottom w:type="dxa" w:w="80"/>
              <w:right w:type="dxa" w:w="120"/>
            </w:tcMar>
          </w:tcPr>
          <w:p>
            <w:r>
              <w:rPr>
                <w:rFonts w:ascii="Arial" w:cs="Arial" w:eastAsia="Arial" w:hAnsi="Arial"/>
                <w:color w:val="1A1515"/>
                <w:sz w:val="17"/>
                <w:szCs w:val="17"/>
              </w:rPr>
              <w:t xml:space="preserve">Encompass Partner Connect (23 integrations) — Optimal Blue, DataVerify, Mortgage Insurance Center, Halcyon 8821 Tax Services, ServiceLink National Flood, Salesforce-to-Encompass, and more</w:t>
            </w:r>
          </w:p>
        </w:tc>
      </w:tr>
      <w:tr>
        <w:tc>
          <w:tcPr>
            <w:tcW w:type="dxa" w:w="1900"/>
            <w:tcBorders>
              <w:top w:val="single" w:color="E8E0D5" w:sz="2"/>
              <w:left w:val="single" w:color="E8E0D5" w:sz="2"/>
              <w:bottom w:val="single" w:color="E8E0D5" w:sz="2"/>
              <w:right w:val="single" w:color="E8E0D5" w:sz="2"/>
            </w:tcBorders>
            <w:shd w:fill="F9F5EF" w:val="clear"/>
            <w:tcMar>
              <w:top w:type="dxa" w:w="80"/>
              <w:left w:type="dxa" w:w="120"/>
              <w:bottom w:type="dxa" w:w="80"/>
              <w:right w:type="dxa" w:w="120"/>
            </w:tcMar>
          </w:tcPr>
          <w:p>
            <w:r>
              <w:rPr>
                <w:rFonts w:ascii="Arial" w:cs="Arial" w:eastAsia="Arial" w:hAnsi="Arial"/>
                <w:b/>
                <w:bCs/>
                <w:color w:val="782F40"/>
                <w:sz w:val="17"/>
                <w:szCs w:val="17"/>
              </w:rPr>
              <w:t xml:space="preserve">Training Tools</w:t>
            </w:r>
          </w:p>
        </w:tc>
        <w:tc>
          <w:tcPr>
            <w:tcW w:type="dxa" w:w="7460"/>
            <w:tcBorders>
              <w:top w:val="single" w:color="E8E0D5" w:sz="2"/>
              <w:left w:val="none" w:color="FFFFFF" w:sz="0"/>
              <w:bottom w:val="single" w:color="E8E0D5" w:sz="2"/>
              <w:right w:val="single" w:color="E8E0D5" w:sz="2"/>
            </w:tcBorders>
            <w:tcMar>
              <w:top w:type="dxa" w:w="80"/>
              <w:left w:type="dxa" w:w="120"/>
              <w:bottom w:type="dxa" w:w="80"/>
              <w:right w:type="dxa" w:w="120"/>
            </w:tcMar>
          </w:tcPr>
          <w:p>
            <w:r>
              <w:rPr>
                <w:rFonts w:ascii="Arial" w:cs="Arial" w:eastAsia="Arial" w:hAnsi="Arial"/>
                <w:color w:val="1A1515"/>
                <w:sz w:val="17"/>
                <w:szCs w:val="17"/>
              </w:rPr>
              <w:t xml:space="preserve">Scribe, Snagit (video recordings &amp; annotation), Microsoft 365 (Word, PowerPoint, Excel, Teams, Outlook), Zoom</w:t>
            </w:r>
          </w:p>
        </w:tc>
      </w:tr>
    </w:tbl>
    <w:p>
      <w:pPr>
        <w:spacing w:after="0" w:before="80"/>
      </w:pPr>
    </w:p>
    <w:p>
      <w:pPr>
        <w:pBdr>
          <w:bottom w:val="single" w:color="782F40" w:sz="10" w:space="2"/>
        </w:pBdr>
        <w:spacing w:after="80" w:before="240"/>
      </w:pPr>
      <w:r>
        <w:rPr>
          <w:rFonts w:ascii="Arial" w:cs="Arial" w:eastAsia="Arial" w:hAnsi="Arial"/>
          <w:b/>
          <w:bCs/>
          <w:color w:val="782F40"/>
          <w:spacing w:val="40"/>
          <w:sz w:val="20"/>
          <w:szCs w:val="20"/>
        </w:rPr>
        <w:t xml:space="preserve">EDUCATION</w:t>
      </w:r>
    </w:p>
    <w:p>
      <w:pPr>
        <w:tabs>
          <w:tab w:val="right" w:pos="9360"/>
        </w:tabs>
        <w:spacing w:after="30" w:before="180"/>
      </w:pPr>
      <w:r>
        <w:rPr>
          <w:rFonts w:ascii="Arial" w:cs="Arial" w:eastAsia="Arial" w:hAnsi="Arial"/>
          <w:b/>
          <w:bCs/>
          <w:color w:val="1A1515"/>
          <w:sz w:val="22"/>
          <w:szCs w:val="22"/>
        </w:rPr>
        <w:t xml:space="preserve">Bachelor of Science, Social Science</w:t>
      </w:r>
      <w:r>
        <w:rPr>
          <w:rFonts w:ascii="Arial" w:cs="Arial" w:eastAsia="Arial" w:hAnsi="Arial"/>
          <w:i/>
          <w:iCs/>
          <w:color w:val="6B5A50"/>
          <w:sz w:val="18"/>
          <w:szCs w:val="18"/>
        </w:rPr>
        <w:t xml:space="preserve">	2010 – 2013</w:t>
      </w:r>
    </w:p>
    <w:p>
      <w:pPr>
        <w:spacing w:after="70" w:before="0"/>
      </w:pPr>
      <w:r>
        <w:rPr>
          <w:rFonts w:ascii="Arial" w:cs="Arial" w:eastAsia="Arial" w:hAnsi="Arial"/>
          <w:b/>
          <w:bCs/>
          <w:color w:val="C4A35A"/>
          <w:sz w:val="19"/>
          <w:szCs w:val="19"/>
        </w:rPr>
        <w:t xml:space="preserve">Florida State University</w:t>
      </w:r>
      <w:r>
        <w:rPr>
          <w:rFonts w:ascii="Arial" w:cs="Arial" w:eastAsia="Arial" w:hAnsi="Arial"/>
          <w:color w:val="6B5A50"/>
          <w:sz w:val="18"/>
          <w:szCs w:val="18"/>
        </w:rPr>
        <w:t xml:space="preserve">   ·   Tallahassee, FL</w:t>
      </w:r>
    </w:p>
    <w:p>
      <w:pPr>
        <w:spacing w:after="80" w:before="0"/>
      </w:pPr>
    </w:p>
    <w:p>
      <w:pPr>
        <w:pBdr>
          <w:bottom w:val="single" w:color="782F40" w:sz="24" w:space="0"/>
        </w:pBdr>
        <w:spacing w:after="0" w:before="120"/>
      </w:pPr>
    </w:p>
    <w:sectPr>
      <w:pgSz w:w="12240" w:h="15840" w:orient="portrait"/>
      <w:pgMar w:top="864" w:right="1080" w:bottom="864"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20"/>
      </w:pPr>
      <w:rPr>
        <w:rFonts w:ascii="Arial" w:cs="Arial" w:eastAsia="Arial" w:hAnsi="Arial"/>
        <w:color w:val="C4A35A"/>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515"/>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2026-04-26T22:57:56.394Z</dcterms:created>
  <dcterms:modified xsi:type="dcterms:W3CDTF">2026-04-26T22:57:56.395Z</dcterms:modified>
</cp:coreProperties>
</file>

<file path=docProps/custom.xml><?xml version="1.0" encoding="utf-8"?>
<Properties xmlns="http://schemas.openxmlformats.org/officeDocument/2006/custom-properties" xmlns:vt="http://schemas.openxmlformats.org/officeDocument/2006/docPropsVTypes"/>
</file>