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left"/>
      </w:pPr>
      <w:r>
        <w:drawing>
          <wp:inline distT="0" distB="0" distL="0" distR="0">
            <wp:extent cx="2190750" cy="857250"/>
            <wp:effectExtent t="0" r="0" b="0" l="0"/>
            <wp:docPr id="1" name="logo" descr="gTech ads brand logo" title="gTech 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190750" cy="857250"/>
                    </a:xfrm>
                    <a:prstGeom prst="rect">
                      <a:avLst/>
                    </a:prstGeom>
                  </pic:spPr>
                </pic:pic>
              </a:graphicData>
            </a:graphic>
          </wp:inline>
        </w:drawing>
      </w:r>
    </w:p>
    <w:p>
      <w:pPr>
        <w:spacing w:after="80"/>
      </w:pPr>
      <w:r>
        <w:rPr>
          <w:b/>
          <w:bCs/>
          <w:color w:val="1E2436"/>
          <w:sz w:val="56"/>
          <w:szCs w:val="56"/>
        </w:rPr>
        <w:t xml:space="preserve">CSV to Sheets Paster</w:t>
      </w:r>
    </w:p>
    <w:p>
      <w:pPr>
        <w:spacing w:after="200"/>
      </w:pPr>
      <w:r>
        <w:rPr>
          <w:color w:val="5F6675"/>
          <w:sz w:val="30"/>
          <w:szCs w:val="30"/>
        </w:rPr>
        <w:t xml:space="preserve">Capabilities &amp; Technical Overview</w:t>
      </w:r>
    </w:p>
    <w:p>
      <w:pPr>
        <w:pBdr>
          <w:bottom w:val="single" w:color="1A73E8" w:sz="18" w:space="1"/>
        </w:pBdr>
        <w:spacing w:after="40"/>
      </w:pPr>
      <w:r>
        <w:t xml:space="preserve"/>
      </w:r>
    </w:p>
    <w:p>
      <w:pPr>
        <w:pBdr>
          <w:bottom w:val="single" w:color="EA4335" w:sz="18" w:space="1"/>
        </w:pBdr>
        <w:spacing w:after="40"/>
      </w:pPr>
      <w:r>
        <w:t xml:space="preserve"/>
      </w:r>
    </w:p>
    <w:p>
      <w:pPr>
        <w:pBdr>
          <w:bottom w:val="single" w:color="F9AB00" w:sz="18" w:space="1"/>
        </w:pBdr>
        <w:spacing w:after="40"/>
      </w:pPr>
      <w:r>
        <w:t xml:space="preserve"/>
      </w:r>
    </w:p>
    <w:p>
      <w:pPr>
        <w:pBdr>
          <w:bottom w:val="single" w:color="34A853" w:sz="18" w:space="1"/>
        </w:pBdr>
        <w:spacing w:after="260"/>
      </w:pPr>
      <w:r>
        <w:t xml:space="preserve"/>
      </w:r>
    </w:p>
    <w:p>
      <w:pPr>
        <w:spacing w:after="60"/>
      </w:pPr>
      <w:r>
        <w:rPr>
          <w:i/>
          <w:iCs/>
          <w:color w:val="5F6675"/>
          <w:sz w:val="24"/>
          <w:szCs w:val="24"/>
        </w:rPr>
        <w:t xml:space="preserve">A Chrome extension (Manifest V3) that turns a CSV or TSV file into a clean, </w:t>
      </w:r>
      <w:r>
        <w:rPr>
          <w:b/>
          <w:bCs/>
          <w:i/>
          <w:iCs/>
          <w:color w:val="1E2436"/>
          <w:sz w:val="24"/>
          <w:szCs w:val="24"/>
        </w:rPr>
        <w:t xml:space="preserve">tab-separated block</w:t>
      </w:r>
      <w:r>
        <w:rPr>
          <w:i/>
          <w:iCs/>
          <w:color w:val="5F6675"/>
          <w:sz w:val="24"/>
          <w:szCs w:val="24"/>
        </w:rPr>
        <w:t xml:space="preserve"> ready to paste straight into Google Sheets — without ever touching a Google page.</w:t>
      </w:r>
    </w:p>
    <w:p>
      <w:pPr>
        <w:spacing w:before="800"/>
      </w:pPr>
      <w:r>
        <w:rPr>
          <w:color w:val="5F6675"/>
          <w:sz w:val="18"/>
          <w:szCs w:val="18"/>
        </w:rPr>
        <w:t xml:space="preserve">Document generated from the extension source</w:t>
      </w:r>
    </w:p>
    <w:p>
      <w:r>
        <w:rPr>
          <w:color w:val="5F6675"/>
          <w:sz w:val="18"/>
          <w:szCs w:val="18"/>
        </w:rPr>
        <w:t xml:space="preserve">Manifest version 1.0.0 · “CSV to Sheets Paster”</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spacing w:after="140" w:line="276"/>
      </w:pPr>
      <w:r>
        <w:t xml:space="preserve">CSV to Sheets Paster is a Manifest V3 Chrome extension that helps a user move tabular data out of a CSV or TSV file and into Google Sheets quickly and reliably. The user uploads a file, maps its columns onto the headers they want, and the extension assembles a clean, tab-separated block and copies it to the clipboard. The user then pastes it into a sheet with a single keystroke.</w:t>
      </w:r>
    </w:p>
    <w:p>
      <w:pPr>
        <w:spacing w:after="140" w:line="276"/>
      </w:pPr>
      <w:r>
        <w:t xml:space="preserve">Its defining characteristic is what it deliberately </w:t>
      </w:r>
      <w:r>
        <w:rPr>
          <w:i/>
          <w:iCs/>
        </w:rPr>
        <w:t xml:space="preserve">does not</w:t>
      </w:r>
      <w:r>
        <w:t xml:space="preserve"> do: it never reads from or writes to a Google page. All parsing, mapping, cleaning and formatting happen inside the extension’s own popup window, and the only thing it hands off is text on the clipboard. As the in-product footer puts it, the “clipboard stays on your machine.”</w:t>
      </w:r>
    </w:p>
    <w:p>
      <w:pPr>
        <w:spacing w:after="140" w:line="276"/>
      </w:pPr>
      <w:r>
        <w:rPr>
          <w:b/>
          <w:bCs/>
        </w:rPr>
        <w:t xml:space="preserve">Stated capability (from the manifest): </w:t>
      </w:r>
      <w:r>
        <w:rPr>
          <w:i/>
          <w:iCs/>
        </w:rPr>
        <w:t xml:space="preserve">“Upload a CSV, map its columns to headers you type, and copy a clean block ready to paste straight into Google Sheets.”</w:t>
      </w:r>
    </w:p>
    <w:p>
      <w:pPr>
        <w:pStyle w:val="Heading1"/>
      </w:pPr>
      <w:r>
        <w:t xml:space="preserve">2. The Problem It Solves</w:t>
      </w:r>
    </w:p>
    <w:p>
      <w:pPr>
        <w:spacing w:after="140" w:line="276"/>
      </w:pPr>
      <w:r>
        <w:t xml:space="preserve">The tool was built for a managed Chrome environment where enterprise policy (</w:t>
      </w:r>
      <w:r>
        <w:rPr>
          <w:rFonts w:ascii="Consolas" w:cs="Consolas" w:eastAsia="Consolas" w:hAnsi="Consolas"/>
          <w:color w:val="EA4335"/>
        </w:rPr>
        <w:t xml:space="preserve">runtime_blocked_hosts</w:t>
      </w:r>
      <w:r>
        <w:t xml:space="preserve">) blocks all extensions from running on *.google.com — including Google Sheets and other Google properties. In that environment an extension cannot inject a content script into a Google page or make network requests to a Google host.</w:t>
      </w:r>
    </w:p>
    <w:p>
      <w:pPr>
        <w:spacing w:after="140" w:line="276"/>
      </w:pPr>
      <w:r>
        <w:t xml:space="preserve">That single constraint drives the entire design. Because the extension can never automate the paste on the Sheets side, it instead does all of its work in a context the policy cannot reach — its own popup — prepares the clipboard, and lets the user perform the final paste manually. This is a feature, not a limitation: the approach keeps working in a locked-down environment where API-based or scraping-based tools would simply be blocked.</w:t>
      </w:r>
    </w:p>
    <w:p>
      <w:pPr>
        <w:pBdr>
          <w:bottom w:val="single" w:color="EA4335" w:sz="12" w:space="1"/>
        </w:pBdr>
        <w:spacing w:after="160" w:before="40"/>
      </w:pPr>
      <w:r>
        <w:t xml:space="preserve"/>
      </w:r>
    </w:p>
    <w:p>
      <w:pPr>
        <w:pStyle w:val="Heading1"/>
      </w:pPr>
      <w:r>
        <w:t xml:space="preserve">3. Key Features &amp; Capabilities</w:t>
      </w:r>
    </w:p>
    <w:p>
      <w:pPr>
        <w:spacing w:after="140" w:line="276"/>
      </w:pPr>
      <w:r>
        <w:t xml:space="preserve">Every capability below is implemented in the extension’s source (the pure data transforms live in transforms.js; the UI and orchestration in popup.js).</w:t>
      </w:r>
    </w:p>
    <w:p>
      <w:pPr>
        <w:pStyle w:val="Heading2"/>
      </w:pPr>
      <w:r>
        <w:t xml:space="preserve">3.1 Flexible file import</w:t>
      </w:r>
    </w:p>
    <w:p>
      <w:pPr>
        <w:pStyle w:val="ListParagraph"/>
        <w:numPr>
          <w:ilvl w:val="0"/>
          <w:numId w:val="2"/>
        </w:numPr>
        <w:spacing w:after="60" w:line="276"/>
      </w:pPr>
      <w:r>
        <w:t xml:space="preserve">Accepts </w:t>
      </w:r>
      <w:r>
        <w:rPr>
          <w:b/>
          <w:bCs/>
        </w:rPr>
        <w:t xml:space="preserve">.csv and .tsv</w:t>
      </w:r>
      <w:r>
        <w:t xml:space="preserve"> files (comma- and tab-separated), via drag-and-drop onto the dropzone or a standard file browse dialog.</w:t>
      </w:r>
    </w:p>
    <w:p>
      <w:pPr>
        <w:pStyle w:val="ListParagraph"/>
        <w:numPr>
          <w:ilvl w:val="0"/>
          <w:numId w:val="2"/>
        </w:numPr>
        <w:spacing w:after="60" w:line="276"/>
      </w:pPr>
      <w:r>
        <w:rPr>
          <w:b/>
          <w:bCs/>
        </w:rPr>
        <w:t xml:space="preserve">Automatic delimiter detection.</w:t>
      </w:r>
      <w:r>
        <w:t xml:space="preserve"> The extension sniffs the field delimiter among comma, tab, semicolon and pipe. Rather than trusting the first line, it samples several rows, fully parses them with each candidate delimiter, finds the most common column count, and scores each candidate by how many columns it produces and how consistent that count is across rows — so a metadata line or a quoted comma can’t mislead the guess.</w:t>
      </w:r>
    </w:p>
    <w:p>
      <w:pPr>
        <w:pStyle w:val="ListParagraph"/>
        <w:numPr>
          <w:ilvl w:val="0"/>
          <w:numId w:val="2"/>
        </w:numPr>
        <w:spacing w:after="60" w:line="276"/>
      </w:pPr>
      <w:r>
        <w:rPr>
          <w:b/>
          <w:bCs/>
        </w:rPr>
        <w:t xml:space="preserve">Robust CSV parsing.</w:t>
      </w:r>
      <w:r>
        <w:t xml:space="preserve"> A self-contained, RFC 4180-style parser handles quoted fields, delimiters and newlines embedded inside quotes, doubled-quote escapes, CRLF line endings, and a leading UTF-8 byte-order mark.</w:t>
      </w:r>
    </w:p>
    <w:p>
      <w:pPr>
        <w:pStyle w:val="Heading2"/>
      </w:pPr>
      <w:r>
        <w:t xml:space="preserve">3.2 Controlling where the data starts</w:t>
      </w:r>
    </w:p>
    <w:p>
      <w:pPr>
        <w:pStyle w:val="ListParagraph"/>
        <w:numPr>
          <w:ilvl w:val="0"/>
          <w:numId w:val="2"/>
        </w:numPr>
        <w:spacing w:after="60" w:line="276"/>
      </w:pPr>
      <w:r>
        <w:rPr>
          <w:b/>
          <w:bCs/>
        </w:rPr>
        <w:t xml:space="preserve">Skip first N rows.</w:t>
      </w:r>
      <w:r>
        <w:t xml:space="preserve"> A numeric control drops metadata rows that sit above the real header (common in exported reports) before any header logic runs.</w:t>
      </w:r>
    </w:p>
    <w:p>
      <w:pPr>
        <w:pStyle w:val="ListParagraph"/>
        <w:numPr>
          <w:ilvl w:val="0"/>
          <w:numId w:val="2"/>
        </w:numPr>
        <w:spacing w:after="60" w:line="276"/>
      </w:pPr>
      <w:r>
        <w:rPr>
          <w:b/>
          <w:bCs/>
        </w:rPr>
        <w:t xml:space="preserve">First row is the header.</w:t>
      </w:r>
      <w:r>
        <w:t xml:space="preserve"> A toggle decides whether the first remaining row supplies the column names or whether columns are auto-named Column 1, Column 2, and so on.</w:t>
      </w:r>
    </w:p>
    <w:p>
      <w:pPr>
        <w:pStyle w:val="Heading2"/>
      </w:pPr>
      <w:r>
        <w:t xml:space="preserve">3.3 Defining your target headers</w:t>
      </w:r>
    </w:p>
    <w:p>
      <w:pPr>
        <w:spacing w:after="140" w:line="276"/>
      </w:pPr>
      <w:r>
        <w:t xml:space="preserve">The user describes the columns they want in the final sheet, and the extension offers four complementary ways to do it:</w:t>
      </w:r>
    </w:p>
    <w:p>
      <w:pPr>
        <w:pStyle w:val="ListParagraph"/>
        <w:numPr>
          <w:ilvl w:val="0"/>
          <w:numId w:val="2"/>
        </w:numPr>
        <w:spacing w:after="60" w:line="276"/>
      </w:pPr>
      <w:r>
        <w:rPr>
          <w:b/>
          <w:bCs/>
        </w:rPr>
        <w:t xml:space="preserve">Type them</w:t>
      </w:r>
      <w:r>
        <w:t xml:space="preserve"> into a text field, separated by commas, new lines or tabs.</w:t>
      </w:r>
    </w:p>
    <w:p>
      <w:pPr>
        <w:pStyle w:val="ListParagraph"/>
        <w:numPr>
          <w:ilvl w:val="0"/>
          <w:numId w:val="2"/>
        </w:numPr>
        <w:spacing w:after="60" w:line="276"/>
      </w:pPr>
      <w:r>
        <w:rPr>
          <w:b/>
          <w:bCs/>
        </w:rPr>
        <w:t xml:space="preserve">Quick-add chips.</w:t>
      </w:r>
      <w:r>
        <w:t xml:space="preserve"> A palette of one-click header chips (seeded with common ad-reporting fields such as Date, Ad source, Format, Requests, Matched requests, Impressions and Estimated earnings). Clicking a chip adds or removes that header. The palette itself is user-editable — chips can be added inline or deleted — and is remembered between sessions.</w:t>
      </w:r>
    </w:p>
    <w:p>
      <w:pPr>
        <w:pStyle w:val="ListParagraph"/>
        <w:numPr>
          <w:ilvl w:val="0"/>
          <w:numId w:val="2"/>
        </w:numPr>
        <w:spacing w:after="60" w:line="276"/>
      </w:pPr>
      <w:r>
        <w:rPr>
          <w:b/>
          <w:bCs/>
        </w:rPr>
        <w:t xml:space="preserve">Paste headers from the sheet.</w:t>
      </w:r>
      <w:r>
        <w:t xml:space="preserve"> The user can copy a header row directly out of Google Sheets and paste it in; the extension splits that tab- or newline-separated row into individual target headers.</w:t>
      </w:r>
    </w:p>
    <w:p>
      <w:pPr>
        <w:pStyle w:val="ListParagraph"/>
        <w:numPr>
          <w:ilvl w:val="0"/>
          <w:numId w:val="2"/>
        </w:numPr>
        <w:spacing w:after="60" w:line="276"/>
      </w:pPr>
      <w:r>
        <w:rPr>
          <w:b/>
          <w:bCs/>
        </w:rPr>
        <w:t xml:space="preserve">Mapping presets.</w:t>
      </w:r>
      <w:r>
        <w:t xml:space="preserve"> A named set of target headers plus their column mapping can be saved and reapplied later, so a recurring report layout is one click to restore.</w:t>
      </w:r>
    </w:p>
    <w:p>
      <w:pPr>
        <w:pStyle w:val="Heading2"/>
      </w:pPr>
      <w:r>
        <w:t xml:space="preserve">3.4 Smart column mapping</w:t>
      </w:r>
    </w:p>
    <w:p>
      <w:pPr>
        <w:pStyle w:val="ListParagraph"/>
        <w:numPr>
          <w:ilvl w:val="0"/>
          <w:numId w:val="2"/>
        </w:numPr>
        <w:spacing w:after="60" w:line="276"/>
      </w:pPr>
      <w:r>
        <w:t xml:space="preserve">Each target header gets a dropdown for choosing which CSV column feeds it. The selection is stored as a column </w:t>
      </w:r>
      <w:r>
        <w:rPr>
          <w:i/>
          <w:iCs/>
        </w:rPr>
        <w:t xml:space="preserve">index</w:t>
      </w:r>
      <w:r>
        <w:t xml:space="preserve">, not the header text, so duplicate column names stay distinct.</w:t>
      </w:r>
    </w:p>
    <w:p>
      <w:pPr>
        <w:pStyle w:val="ListParagraph"/>
        <w:numPr>
          <w:ilvl w:val="0"/>
          <w:numId w:val="2"/>
        </w:numPr>
        <w:spacing w:after="60" w:line="276"/>
      </w:pPr>
      <w:r>
        <w:rPr>
          <w:b/>
          <w:bCs/>
        </w:rPr>
        <w:t xml:space="preserve">Automatic matching.</w:t>
      </w:r>
      <w:r>
        <w:t xml:space="preserve"> The extension seeds each dropdown by matching names — first an exact match (after lowercasing and stripping non-alphanumerics, so “Ad source”, “ad_source” and “adSource” are treated alike), then a substring “contains” match.</w:t>
      </w:r>
    </w:p>
    <w:p>
      <w:pPr>
        <w:pStyle w:val="ListParagraph"/>
        <w:numPr>
          <w:ilvl w:val="0"/>
          <w:numId w:val="2"/>
        </w:numPr>
        <w:spacing w:after="60" w:line="276"/>
      </w:pPr>
      <w:r>
        <w:rPr>
          <w:b/>
          <w:bCs/>
        </w:rPr>
        <w:t xml:space="preserve">Confidence badges.</w:t>
      </w:r>
      <w:r>
        <w:t xml:space="preserve"> A badge beside each row flags the mapping as Exact, Similar, Manual or Blank, so a wrong or empty mapping is visible before anything is copied.</w:t>
      </w:r>
    </w:p>
    <w:p>
      <w:pPr>
        <w:pStyle w:val="ListParagraph"/>
        <w:numPr>
          <w:ilvl w:val="0"/>
          <w:numId w:val="2"/>
        </w:numPr>
        <w:spacing w:after="60" w:line="276"/>
      </w:pPr>
      <w:r>
        <w:rPr>
          <w:b/>
          <w:bCs/>
        </w:rPr>
        <w:t xml:space="preserve">Blank-mapping warning.</w:t>
      </w:r>
      <w:r>
        <w:t xml:space="preserve"> If any target header is left unmapped, a warning appears above the copy button naming the columns that will paste blank — copy is still allowed, but never silent.</w:t>
      </w:r>
    </w:p>
    <w:p>
      <w:pPr>
        <w:pStyle w:val="Heading2"/>
      </w:pPr>
      <w:r>
        <w:t xml:space="preserve">3.5 Cleaning and ordering the output</w:t>
      </w:r>
    </w:p>
    <w:p>
      <w:pPr>
        <w:pStyle w:val="ListParagraph"/>
        <w:numPr>
          <w:ilvl w:val="0"/>
          <w:numId w:val="2"/>
        </w:numPr>
        <w:spacing w:after="60" w:line="276"/>
      </w:pPr>
      <w:r>
        <w:rPr>
          <w:b/>
          <w:bCs/>
        </w:rPr>
        <w:t xml:space="preserve">Clean numbers (on by default).</w:t>
      </w:r>
      <w:r>
        <w:t xml:space="preserve"> Each mapped data cell can be normalized so Google Sheets treats it as a true number: currency symbols ($, €, £, ¥, ₹), thousands separators and spaces are stripped, and parenthesized or leading-minus values become negative numbers. Percentages and any value that isn’t cleanly numeric are left untouched, and the header row is never altered. (Number cleaning follows US conventions — “.” decimal, “,” thousands.)</w:t>
      </w:r>
    </w:p>
    <w:p>
      <w:pPr>
        <w:pStyle w:val="ListParagraph"/>
        <w:numPr>
          <w:ilvl w:val="0"/>
          <w:numId w:val="2"/>
        </w:numPr>
        <w:spacing w:after="60" w:line="276"/>
      </w:pPr>
      <w:r>
        <w:rPr>
          <w:b/>
          <w:bCs/>
        </w:rPr>
        <w:t xml:space="preserve">Sort.</w:t>
      </w:r>
      <w:r>
        <w:t xml:space="preserve"> Output rows can be sorted by any chosen column, ascending or descending, with a stable sort that compares values numerically when both look numeric and case-insensitively as text otherwise.</w:t>
      </w:r>
    </w:p>
    <w:p>
      <w:pPr>
        <w:pStyle w:val="ListParagraph"/>
        <w:numPr>
          <w:ilvl w:val="0"/>
          <w:numId w:val="2"/>
        </w:numPr>
        <w:spacing w:after="60" w:line="276"/>
      </w:pPr>
      <w:r>
        <w:rPr>
          <w:b/>
          <w:bCs/>
        </w:rPr>
        <w:t xml:space="preserve">Group.</w:t>
      </w:r>
      <w:r>
        <w:t xml:space="preserve"> Rows sharing the same value in a chosen column can be clustered together, with the sort applied within each group.</w:t>
      </w:r>
    </w:p>
    <w:p>
      <w:pPr>
        <w:pStyle w:val="ListParagraph"/>
        <w:numPr>
          <w:ilvl w:val="0"/>
          <w:numId w:val="2"/>
        </w:numPr>
        <w:spacing w:after="60" w:line="276"/>
      </w:pPr>
      <w:r>
        <w:rPr>
          <w:b/>
          <w:bCs/>
        </w:rPr>
        <w:t xml:space="preserve">Include header row.</w:t>
      </w:r>
      <w:r>
        <w:t xml:space="preserve"> A toggle decides whether the target header row is included in the copied block.</w:t>
      </w:r>
    </w:p>
    <w:p>
      <w:pPr>
        <w:pStyle w:val="Heading2"/>
      </w:pPr>
      <w:r>
        <w:t xml:space="preserve">3.6 Preview, guardrails and copy</w:t>
      </w:r>
    </w:p>
    <w:p>
      <w:pPr>
        <w:pStyle w:val="ListParagraph"/>
        <w:numPr>
          <w:ilvl w:val="0"/>
          <w:numId w:val="2"/>
        </w:numPr>
        <w:spacing w:after="60" w:line="276"/>
      </w:pPr>
      <w:r>
        <w:rPr>
          <w:b/>
          <w:bCs/>
        </w:rPr>
        <w:t xml:space="preserve">Live preview.</w:t>
      </w:r>
      <w:r>
        <w:t xml:space="preserve"> A preview table shows the first 8 output rows exactly as they will paste, noting that the full copy still includes every row.</w:t>
      </w:r>
    </w:p>
    <w:p>
      <w:pPr>
        <w:pStyle w:val="ListParagraph"/>
        <w:numPr>
          <w:ilvl w:val="0"/>
          <w:numId w:val="2"/>
        </w:numPr>
        <w:spacing w:after="60" w:line="276"/>
      </w:pPr>
      <w:r>
        <w:rPr>
          <w:b/>
          <w:bCs/>
        </w:rPr>
        <w:t xml:space="preserve">Large-file guardrails.</w:t>
      </w:r>
      <w:r>
        <w:t xml:space="preserve"> Files of 5 MB or larger, and parsed data of 50,000 rows or more, surface a warning; the preview stays capped while the full copy still processes every row.</w:t>
      </w:r>
    </w:p>
    <w:p>
      <w:pPr>
        <w:pStyle w:val="ListParagraph"/>
        <w:numPr>
          <w:ilvl w:val="0"/>
          <w:numId w:val="2"/>
        </w:numPr>
        <w:spacing w:after="60" w:line="276"/>
      </w:pPr>
      <w:r>
        <w:rPr>
          <w:b/>
          <w:bCs/>
        </w:rPr>
        <w:t xml:space="preserve">One-click copy.</w:t>
      </w:r>
      <w:r>
        <w:t xml:space="preserve"> The Copy button writes the assembled tab-separated text to the clipboard, ready for Ctrl/Cmd+V into a sheet.</w:t>
      </w:r>
    </w:p>
    <w:p>
      <w:pPr>
        <w:pStyle w:val="ListParagraph"/>
        <w:numPr>
          <w:ilvl w:val="0"/>
          <w:numId w:val="2"/>
        </w:numPr>
        <w:spacing w:after="60" w:line="276"/>
      </w:pPr>
      <w:r>
        <w:rPr>
          <w:b/>
          <w:bCs/>
        </w:rPr>
        <w:t xml:space="preserve">Persistence.</w:t>
      </w:r>
      <w:r>
        <w:t xml:space="preserve"> Settings — target headers, column mapping, presets, header options, skip count, the header/clean/sort/group toggles — persist across popup sessions. The uploaded file itself is also remembered (the raw text is re-parsed on reopen), up to a 4 MB cap, so closing and reopening the popup restores the same working state.</w:t>
      </w:r>
    </w:p>
    <w:p>
      <w:pPr>
        <w:pBdr>
          <w:bottom w:val="single" w:color="F9AB00" w:sz="12" w:space="1"/>
        </w:pBdr>
        <w:spacing w:after="160" w:before="40"/>
      </w:pPr>
      <w:r>
        <w:t xml:space="preserve"/>
      </w:r>
    </w:p>
    <w:p>
      <w:pPr>
        <w:pStyle w:val="Heading2"/>
      </w:pPr>
      <w:r>
        <w:t xml:space="preserve">3.7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9DCE3" w:sz="1"/>
              <w:left w:val="single" w:color="D9DCE3" w:sz="1"/>
              <w:bottom w:val="single" w:color="D9DCE3" w:sz="1"/>
              <w:right w:val="single" w:color="D9DCE3" w:sz="1"/>
            </w:tcBorders>
            <w:shd w:fill="1E2436" w:val="clear"/>
            <w:tcMar>
              <w:top w:type="dxa" w:w="80"/>
              <w:left w:type="dxa" w:w="120"/>
              <w:bottom w:type="dxa" w:w="80"/>
              <w:right w:type="dxa" w:w="120"/>
            </w:tcMar>
            <w:vAlign w:val="center"/>
          </w:tcPr>
          <w:p>
            <w:r>
              <w:rPr>
                <w:b/>
                <w:bCs/>
                <w:color w:val="FFFFFF"/>
              </w:rPr>
              <w:t xml:space="preserve">Capability</w:t>
            </w:r>
          </w:p>
        </w:tc>
        <w:tc>
          <w:tcPr>
            <w:tcW w:type="dxa" w:w="6760"/>
            <w:tcBorders>
              <w:top w:val="single" w:color="D9DCE3" w:sz="1"/>
              <w:left w:val="single" w:color="D9DCE3" w:sz="1"/>
              <w:bottom w:val="single" w:color="D9DCE3" w:sz="1"/>
              <w:right w:val="single" w:color="D9DCE3" w:sz="1"/>
            </w:tcBorders>
            <w:shd w:fill="1E2436" w:val="clear"/>
            <w:tcMar>
              <w:top w:type="dxa" w:w="80"/>
              <w:left w:type="dxa" w:w="120"/>
              <w:bottom w:type="dxa" w:w="80"/>
              <w:right w:type="dxa" w:w="120"/>
            </w:tcMar>
            <w:vAlign w:val="center"/>
          </w:tcPr>
          <w:p>
            <w:r>
              <w:rPr>
                <w:b/>
                <w:bCs/>
                <w:color w:val="FFFFFF"/>
              </w:rPr>
              <w:t xml:space="preserve">What it does</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Import</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Upload .csv/.tsv by drag-drop or browse</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Delimiter detection</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Auto-detects comma, tab, semicolon or pipe by multi-row sampling</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Parsing</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RFC 4180-style: quotes, embedded delimiters/newlines, doubled-quote escapes, CRLF, BOM</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Skip rows</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Drop N metadata rows above the header</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Header source</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First-row-as-header toggle, or auto-named columns</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Target headers</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Type, quick-add chips, paste-from-sheet, or saved presets</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Auto-match</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Exact then substring matching with Exact/Similar/Manual/Blank badges</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Clean numbers</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Strip currency, thousands, spaces; keep percents/text; US conventions</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Sort &amp; group</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Stable numeric/text sort; group rows by a column value</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Preview</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First 8 rows shown; full copy includes all rows</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Guardrails</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Warnings at &gt;=5 MB files and &gt;=50,000 rows</w:t>
            </w:r>
          </w:p>
        </w:tc>
      </w:tr>
      <w:tr>
        <w:tc>
          <w:tcPr>
            <w:tcW w:type="dxa" w:w="26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Output</w:t>
            </w:r>
          </w:p>
        </w:tc>
        <w:tc>
          <w:tcPr>
            <w:tcW w:type="dxa" w:w="67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Tab-separated text copied to the clipboard</w:t>
            </w:r>
          </w:p>
        </w:tc>
      </w:tr>
      <w:tr>
        <w:tc>
          <w:tcPr>
            <w:tcW w:type="dxa" w:w="26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Persistence</w:t>
            </w:r>
          </w:p>
        </w:tc>
        <w:tc>
          <w:tcPr>
            <w:tcW w:type="dxa" w:w="67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Settings and the uploaded file (&lt;=4 MB) remembered between sessions</w:t>
            </w:r>
          </w:p>
        </w:tc>
      </w:tr>
    </w:tbl>
    <w:p>
      <w:r>
        <w:br w:type="page"/>
      </w:r>
    </w:p>
    <w:p>
      <w:pPr>
        <w:pStyle w:val="Heading1"/>
      </w:pPr>
      <w:r>
        <w:t xml:space="preserve">4. How It Works — Typical Workflow</w:t>
      </w:r>
    </w:p>
    <w:p>
      <w:pPr>
        <w:spacing w:after="140" w:line="276"/>
      </w:pPr>
      <w:r>
        <w:t xml:space="preserve">The popup presents four numbered modules, colour-coded blue, red, yellow and green. A typical pass through them looks like this:</w:t>
      </w:r>
    </w:p>
    <w:p>
      <w:pPr>
        <w:pStyle w:val="ListParagraph"/>
        <w:numPr>
          <w:ilvl w:val="0"/>
          <w:numId w:val="3"/>
        </w:numPr>
        <w:spacing w:after="80" w:line="276"/>
      </w:pPr>
      <w:r>
        <w:rPr>
          <w:b/>
          <w:bCs/>
        </w:rPr>
        <w:t xml:space="preserve">Upload (blue). </w:t>
      </w:r>
      <w:r>
        <w:t xml:space="preserve">Drop in a CSV/TSV file. The extension detects the delimiter, parses the data, and applies the “skip first N rows” and “first row is header” settings to separate headers from data rows.</w:t>
      </w:r>
    </w:p>
    <w:p>
      <w:pPr>
        <w:pStyle w:val="ListParagraph"/>
        <w:numPr>
          <w:ilvl w:val="0"/>
          <w:numId w:val="3"/>
        </w:numPr>
        <w:spacing w:after="80" w:line="276"/>
      </w:pPr>
      <w:r>
        <w:rPr>
          <w:b/>
          <w:bCs/>
        </w:rPr>
        <w:t xml:space="preserve">Your sheet headers (red). </w:t>
      </w:r>
      <w:r>
        <w:t xml:space="preserve">Enter the columns you want in the final sheet — by typing, clicking quick-add chips, pasting a header row from Sheets, or loading a saved preset.</w:t>
      </w:r>
    </w:p>
    <w:p>
      <w:pPr>
        <w:pStyle w:val="ListParagraph"/>
        <w:numPr>
          <w:ilvl w:val="0"/>
          <w:numId w:val="3"/>
        </w:numPr>
        <w:spacing w:after="80" w:line="276"/>
      </w:pPr>
      <w:r>
        <w:rPr>
          <w:b/>
          <w:bCs/>
        </w:rPr>
        <w:t xml:space="preserve">Map columns (yellow). </w:t>
      </w:r>
      <w:r>
        <w:t xml:space="preserve">For each target header, confirm which CSV column feeds it. Auto-matching pre-selects the likely column and a confidence badge flags anything that needs attention.</w:t>
      </w:r>
    </w:p>
    <w:p>
      <w:pPr>
        <w:pStyle w:val="ListParagraph"/>
        <w:numPr>
          <w:ilvl w:val="0"/>
          <w:numId w:val="3"/>
        </w:numPr>
        <w:spacing w:after="80" w:line="276"/>
      </w:pPr>
      <w:r>
        <w:rPr>
          <w:b/>
          <w:bCs/>
        </w:rPr>
        <w:t xml:space="preserve">Copy &amp; paste (green). </w:t>
      </w:r>
      <w:r>
        <w:t xml:space="preserve">Choose sorting/grouping, decide whether to include the header row and whether to clean numbers, review the live preview, then click Copy. Switch to Google Sheets and press Ctrl/Cmd+V.</w:t>
      </w:r>
    </w:p>
    <w:p>
      <w:pPr>
        <w:spacing w:after="140" w:line="276"/>
      </w:pPr>
      <w:r>
        <w:t xml:space="preserve">Under the hood, step 4 reorders and subsets the CSV columns to match the target headers (by the stored column index), optionally cleans each data cell, and emits tab-separated text. Cell values are sanitized — stray tabs and newlines become spaces — so a pasted value can never break the grid. Google Sheets then splits the tab-separated block into cells automatically.</w:t>
      </w:r>
    </w:p>
    <w:p>
      <w:pPr>
        <w:pStyle w:val="Heading1"/>
      </w:pPr>
      <w:r>
        <w:t xml:space="preserve">5. Notable Technical Details</w:t>
      </w:r>
    </w:p>
    <w:p>
      <w:pPr>
        <w:pStyle w:val="Heading2"/>
      </w:pPr>
      <w:r>
        <w:t xml:space="preserve">5.1 Architecture</w:t>
      </w:r>
    </w:p>
    <w:p>
      <w:pPr>
        <w:spacing w:after="140" w:line="276"/>
      </w:pPr>
      <w:r>
        <w:t xml:space="preserve">Everything runs in the popup. There is no background service worker and no content script. The pure, DOM-free data transforms are isolated in a single module so they can be reused by the UI and exercised by an offline Node test suite; the popup layer handles the DOM, orchestration and clipboard work.</w:t>
      </w:r>
    </w:p>
    <w:p>
      <w:pPr>
        <w:pStyle w:val="Heading2"/>
      </w:pPr>
      <w:r>
        <w:t xml:space="preserve">5.2 Permissions — minimal by design</w:t>
      </w:r>
    </w:p>
    <w:p>
      <w:pPr>
        <w:spacing w:after="140" w:line="276"/>
      </w:pPr>
      <w:r>
        <w:t xml:space="preserve">The extension requests only two plain API permissions, and deliberately no host permissions and no content scripts — nothing that would touch *.google.com and trip the enterprise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9DCE3" w:sz="1"/>
              <w:left w:val="single" w:color="D9DCE3" w:sz="1"/>
              <w:bottom w:val="single" w:color="D9DCE3" w:sz="1"/>
              <w:right w:val="single" w:color="D9DCE3" w:sz="1"/>
            </w:tcBorders>
            <w:shd w:fill="1E2436" w:val="clear"/>
            <w:tcMar>
              <w:top w:type="dxa" w:w="80"/>
              <w:left w:type="dxa" w:w="120"/>
              <w:bottom w:type="dxa" w:w="80"/>
              <w:right w:type="dxa" w:w="120"/>
            </w:tcMar>
            <w:vAlign w:val="center"/>
          </w:tcPr>
          <w:p>
            <w:r>
              <w:rPr>
                <w:b/>
                <w:bCs/>
                <w:color w:val="FFFFFF"/>
              </w:rPr>
              <w:t xml:space="preserve">Permission</w:t>
            </w:r>
          </w:p>
        </w:tc>
        <w:tc>
          <w:tcPr>
            <w:tcW w:type="dxa" w:w="6660"/>
            <w:tcBorders>
              <w:top w:val="single" w:color="D9DCE3" w:sz="1"/>
              <w:left w:val="single" w:color="D9DCE3" w:sz="1"/>
              <w:bottom w:val="single" w:color="D9DCE3" w:sz="1"/>
              <w:right w:val="single" w:color="D9DCE3" w:sz="1"/>
            </w:tcBorders>
            <w:shd w:fill="1E2436" w:val="clear"/>
            <w:tcMar>
              <w:top w:type="dxa" w:w="80"/>
              <w:left w:type="dxa" w:w="120"/>
              <w:bottom w:type="dxa" w:w="80"/>
              <w:right w:type="dxa" w:w="120"/>
            </w:tcMar>
            <w:vAlign w:val="center"/>
          </w:tcPr>
          <w:p>
            <w:r>
              <w:rPr>
                <w:b/>
                <w:bCs/>
                <w:color w:val="FFFFFF"/>
              </w:rPr>
              <w:t xml:space="preserve">Why it is needed</w:t>
            </w:r>
          </w:p>
        </w:tc>
      </w:tr>
      <w:tr>
        <w:tc>
          <w:tcPr>
            <w:tcW w:type="dxa" w:w="27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storage</w:t>
            </w:r>
          </w:p>
        </w:tc>
        <w:tc>
          <w:tcPr>
            <w:tcW w:type="dxa" w:w="66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Remember the last headers, mapping, presets and the uploaded file between sessions</w:t>
            </w:r>
          </w:p>
        </w:tc>
      </w:tr>
      <w:tr>
        <w:tc>
          <w:tcPr>
            <w:tcW w:type="dxa" w:w="27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clipboardRead</w:t>
            </w:r>
          </w:p>
        </w:tc>
        <w:tc>
          <w:tcPr>
            <w:tcW w:type="dxa" w:w="66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Power the “Paste headers from sheet” button</w:t>
            </w:r>
          </w:p>
        </w:tc>
      </w:tr>
      <w:tr>
        <w:tc>
          <w:tcPr>
            <w:tcW w:type="dxa" w:w="270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bCs/>
                <w:color w:val="1E2436"/>
              </w:rPr>
              <w:t xml:space="preserve">No host permissions</w:t>
            </w:r>
          </w:p>
        </w:tc>
        <w:tc>
          <w:tcPr>
            <w:tcW w:type="dxa" w:w="6660"/>
            <w:tcBorders>
              <w:top w:val="single" w:color="D9DCE3" w:sz="1"/>
              <w:left w:val="single" w:color="D9DCE3" w:sz="1"/>
              <w:bottom w:val="single" w:color="D9DCE3" w:sz="1"/>
              <w:right w:val="single" w:color="D9DCE3" w:sz="1"/>
            </w:tcBorders>
            <w:shd w:fill="FFFFFF" w:val="clear"/>
            <w:tcMar>
              <w:top w:type="dxa" w:w="80"/>
              <w:left w:type="dxa" w:w="120"/>
              <w:bottom w:type="dxa" w:w="80"/>
              <w:right w:type="dxa" w:w="120"/>
            </w:tcMar>
            <w:vAlign w:val="center"/>
          </w:tcPr>
          <w:p>
            <w:r>
              <w:rPr>
                <w:b w:val="false"/>
                <w:bCs w:val="false"/>
                <w:color w:val="1E2436"/>
              </w:rPr>
              <w:t xml:space="preserve">Intentionally absent — the extension never reads or writes a web page</w:t>
            </w:r>
          </w:p>
        </w:tc>
      </w:tr>
      <w:tr>
        <w:tc>
          <w:tcPr>
            <w:tcW w:type="dxa" w:w="270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bCs/>
                <w:color w:val="1E2436"/>
              </w:rPr>
              <w:t xml:space="preserve">No content scripts</w:t>
            </w:r>
          </w:p>
        </w:tc>
        <w:tc>
          <w:tcPr>
            <w:tcW w:type="dxa" w:w="6660"/>
            <w:tcBorders>
              <w:top w:val="single" w:color="D9DCE3" w:sz="1"/>
              <w:left w:val="single" w:color="D9DCE3" w:sz="1"/>
              <w:bottom w:val="single" w:color="D9DCE3" w:sz="1"/>
              <w:right w:val="single" w:color="D9DCE3" w:sz="1"/>
            </w:tcBorders>
            <w:shd w:fill="F6F8FB" w:val="clear"/>
            <w:tcMar>
              <w:top w:type="dxa" w:w="80"/>
              <w:left w:type="dxa" w:w="120"/>
              <w:bottom w:type="dxa" w:w="80"/>
              <w:right w:type="dxa" w:w="120"/>
            </w:tcMar>
            <w:vAlign w:val="center"/>
          </w:tcPr>
          <w:p>
            <w:r>
              <w:rPr>
                <w:b w:val="false"/>
                <w:bCs w:val="false"/>
                <w:color w:val="1E2436"/>
              </w:rPr>
              <w:t xml:space="preserve">Intentionally absent — all work happens inside the popup</w:t>
            </w:r>
          </w:p>
        </w:tc>
      </w:tr>
    </w:tbl>
    <w:p>
      <w:pPr>
        <w:pStyle w:val="Heading2"/>
      </w:pPr>
      <w:r>
        <w:t xml:space="preserve">5.3 Output format</w:t>
      </w:r>
    </w:p>
    <w:p>
      <w:pPr>
        <w:spacing w:after="140" w:line="276"/>
      </w:pPr>
      <w:r>
        <w:t xml:space="preserve">The copied payload is </w:t>
      </w:r>
      <w:r>
        <w:rPr>
          <w:b/>
          <w:bCs/>
        </w:rPr>
        <w:t xml:space="preserve">TSV</w:t>
      </w:r>
      <w:r>
        <w:t xml:space="preserve"> (tab-separated values, newline-separated rows). Google Sheets natively splits pasted TSV into cells, which is why the extension standardizes on it and sanitizes any tabs or newlines inside individual values.</w:t>
      </w:r>
    </w:p>
    <w:p>
      <w:pPr>
        <w:pStyle w:val="Heading2"/>
      </w:pPr>
      <w:r>
        <w:t xml:space="preserve">5.4 Offline and self-contained</w:t>
      </w:r>
    </w:p>
    <w:p>
      <w:pPr>
        <w:pStyle w:val="ListParagraph"/>
        <w:numPr>
          <w:ilvl w:val="0"/>
          <w:numId w:val="2"/>
        </w:numPr>
        <w:spacing w:after="60" w:line="276"/>
      </w:pPr>
      <w:r>
        <w:rPr>
          <w:b/>
          <w:bCs/>
        </w:rPr>
        <w:t xml:space="preserve">Fonts are bundled locally</w:t>
      </w:r>
      <w:r>
        <w:t xml:space="preserve"> (Outfit for the interface, Spline Sans Mono for data readouts) as woff2 files with no CDN references — the extension stays fully offline and policy-proof.</w:t>
      </w:r>
    </w:p>
    <w:p>
      <w:pPr>
        <w:pStyle w:val="ListParagraph"/>
        <w:numPr>
          <w:ilvl w:val="0"/>
          <w:numId w:val="2"/>
        </w:numPr>
        <w:spacing w:after="60" w:line="276"/>
      </w:pPr>
      <w:r>
        <w:rPr>
          <w:b/>
          <w:bCs/>
        </w:rPr>
        <w:t xml:space="preserve">No build step.</w:t>
      </w:r>
      <w:r>
        <w:t xml:space="preserve"> It loads unpacked via Chrome’s Developer Mode; there is no bundler or transpile stage between the source and the running extension.</w:t>
      </w:r>
    </w:p>
    <w:p>
      <w:pPr>
        <w:pStyle w:val="ListParagraph"/>
        <w:numPr>
          <w:ilvl w:val="0"/>
          <w:numId w:val="2"/>
        </w:numPr>
        <w:spacing w:after="60" w:line="276"/>
      </w:pPr>
      <w:r>
        <w:rPr>
          <w:b/>
          <w:bCs/>
        </w:rPr>
        <w:t xml:space="preserve">Tested transforms.</w:t>
      </w:r>
      <w:r>
        <w:t xml:space="preserve"> The data transforms ship with a dependency-free Node test suite that runs offline.</w:t>
      </w:r>
    </w:p>
    <w:p>
      <w:pPr>
        <w:pStyle w:val="Heading2"/>
      </w:pPr>
      <w:r>
        <w:t xml:space="preserve">5.5 Privacy</w:t>
      </w:r>
    </w:p>
    <w:p>
      <w:pPr>
        <w:spacing w:after="140" w:line="276"/>
      </w:pPr>
      <w:r>
        <w:t xml:space="preserve">No data leaves the machine: the extension makes no network requests, and the final hand-off is the user’s own clipboard. Persisted settings and the cached file are stored locally via the browser’s extension storage (and, like all such storage, are unencrypted on disk).</w:t>
      </w:r>
    </w:p>
    <w:p>
      <w:pPr>
        <w:pBdr>
          <w:bottom w:val="single" w:color="34A853" w:sz="12" w:space="1"/>
        </w:pBdr>
        <w:spacing w:after="160" w:before="40"/>
      </w:pPr>
      <w:r>
        <w:t xml:space="preserve"/>
      </w:r>
    </w:p>
    <w:p>
      <w:pPr>
        <w:pStyle w:val="Heading1"/>
      </w:pPr>
      <w:r>
        <w:t xml:space="preserve">6. Intentional Non-Goals</w:t>
      </w:r>
    </w:p>
    <w:p>
      <w:pPr>
        <w:spacing w:after="140" w:line="276"/>
      </w:pPr>
      <w:r>
        <w:t xml:space="preserve">A few things are out of scope by design, because they would be blocked by the same enterprise policy the tool is built to work around:</w:t>
      </w:r>
    </w:p>
    <w:p>
      <w:pPr>
        <w:pStyle w:val="ListParagraph"/>
        <w:numPr>
          <w:ilvl w:val="0"/>
          <w:numId w:val="2"/>
        </w:numPr>
        <w:spacing w:after="60" w:line="276"/>
      </w:pPr>
      <w:r>
        <w:t xml:space="preserve">Content scripts, host permissions, or scraping of Google pages.</w:t>
      </w:r>
    </w:p>
    <w:p>
      <w:pPr>
        <w:pStyle w:val="ListParagraph"/>
        <w:numPr>
          <w:ilvl w:val="0"/>
          <w:numId w:val="2"/>
        </w:numPr>
        <w:spacing w:after="60" w:line="276"/>
      </w:pPr>
      <w:r>
        <w:t xml:space="preserve">Remote font, script or style loading — everything is bundled and offline.</w:t>
      </w:r>
    </w:p>
    <w:p>
      <w:pPr>
        <w:pStyle w:val="ListParagraph"/>
        <w:numPr>
          <w:ilvl w:val="0"/>
          <w:numId w:val="2"/>
        </w:numPr>
        <w:spacing w:after="60" w:line="276"/>
      </w:pPr>
      <w:r>
        <w:t xml:space="preserve">Direct Google Sheets API writes (OAuth would route through a blocked Google host).</w:t>
      </w:r>
    </w:p>
    <w:p>
      <w:pPr>
        <w:spacing w:after="60"/>
      </w:pPr>
      <w:r>
        <w:t xml:space="preserve"/>
      </w:r>
    </w:p>
    <w:p>
      <w:pPr>
        <w:spacing w:after="140" w:line="276"/>
      </w:pPr>
      <w:r>
        <w:rPr>
          <w:b/>
          <w:bCs/>
        </w:rPr>
        <w:t xml:space="preserve">In short: </w:t>
      </w:r>
      <w:r>
        <w:t xml:space="preserve">CSV to Sheets Paster trades automation for resilience. By keeping every step inside its own popup and handing off through the clipboard, it delivers fast, accurate CSV-to-Sheets transfer in exactly the locked-down environments where more invasive tools cannot run at all.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CE3" w:sz="4" w:space="6"/>
      </w:pBdr>
      <w:tabs>
        <w:tab w:val="right" w:pos="9360"/>
      </w:tabs>
    </w:pPr>
    <w:r>
      <w:rPr>
        <w:color w:val="5F6675"/>
        <w:sz w:val="16"/>
        <w:szCs w:val="16"/>
      </w:rPr>
      <w:t xml:space="preserve">CSV to Sheets Paster — Capabilities &amp; Technical Overview</w:t>
    </w:r>
    <w:r>
      <w:rPr>
        <w:sz w:val="16"/>
        <w:szCs w:val="16"/>
      </w:rPr>
      <w:t xml:space="preserve">	</w:t>
    </w:r>
    <w:r>
      <w:rPr>
        <w:color w:val="5F6675"/>
        <w:sz w:val="16"/>
        <w:szCs w:val="16"/>
      </w:rPr>
      <w:t xml:space="preserve">Page </w:t>
    </w:r>
    <w:r>
      <w:rPr>
        <w:color w:val="5F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4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73E8" w:sz="8" w:space="4"/>
      </w:pBdr>
      <w:spacing w:after="160" w:before="320"/>
      <w:outlineLvl w:val="0"/>
    </w:pPr>
    <w:rPr>
      <w:rFonts w:ascii="Arial" w:cs="Arial" w:eastAsia="Arial" w:hAnsi="Arial"/>
      <w:b/>
      <w:bCs/>
      <w:color w:val="1E2436"/>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C334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bc692dc2cf96a82827e6e41437fbba5e87145c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CSV to Sheets Paster — Capabilities &amp; Technical Overview</dc:title>
  <dc:creator>gTech ads</dc:creator>
  <cp:lastModifiedBy>Un-named</cp:lastModifiedBy>
  <cp:revision>1</cp:revision>
  <dcterms:created xsi:type="dcterms:W3CDTF">2026-06-27T15:18:55.798Z</dcterms:created>
  <dcterms:modified xsi:type="dcterms:W3CDTF">2026-06-27T15:18:55.799Z</dcterms:modified>
</cp:coreProperties>
</file>

<file path=docProps/custom.xml><?xml version="1.0" encoding="utf-8"?>
<Properties xmlns="http://schemas.openxmlformats.org/officeDocument/2006/custom-properties" xmlns:vt="http://schemas.openxmlformats.org/officeDocument/2006/docPropsVTypes"/>
</file>