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OKRs — Q3 2026</w:t>
      </w:r>
    </w:p>
    <w:p>
      <w:pPr>
        <w:pStyle w:val="Heading1"/>
      </w:pPr>
      <w:r>
        <w:t>Objective 1: Billing customers can trust every invoice</w:t>
      </w:r>
    </w:p>
    <w:p>
      <w:r>
        <w:t>KR1: invoice processing median under one day (from 0.8 days, hold under load). KR2: billing alerts caused by double-charges to zero. KR3: chargeback handling fully automated for amounts under $500.</w:t>
      </w:r>
    </w:p>
    <w:p>
      <w:pPr>
        <w:pStyle w:val="Heading1"/>
      </w:pPr>
      <w:r>
        <w:t>Objective 2: The platform survives failure gracefully</w:t>
      </w:r>
    </w:p>
    <w:p>
      <w:r>
        <w:t>KR1: regional failover game day completes within the one-hour RTO. KR2: canary deployments cover 100% of stateless services. KR3: rollback strategies documented and drilled for the top ten services.</w:t>
      </w:r>
    </w:p>
    <w:p>
      <w:pPr>
        <w:pStyle w:val="Heading1"/>
      </w:pPr>
      <w:r>
        <w:t>Objective 3: Developers ship faster</w:t>
      </w:r>
    </w:p>
    <w:p>
      <w:r>
        <w:t>KR1: CI median under eight minutes via build caching. KR2: fast-track RFC lane adopted for half of small proposals. KR3: local dev env cold start under ten minutes on a new laptop.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OKRs — Q3 2026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