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Hiring Plan — H2 2026</w:t>
      </w:r>
    </w:p>
    <w:p>
      <w:pPr>
        <w:pStyle w:val="Heading1"/>
      </w:pPr>
      <w:r>
        <w:t>Headcount</w:t>
      </w:r>
    </w:p>
    <w:p>
      <w:r>
        <w:t>Eighteen open roles across platform, product engineering, and SRE. Priorities: two SRE seats for the oncall rotation, three billing engineers for usage billing and the promo code engine, and a staff engineer for tenant isolation.</w:t>
      </w:r>
    </w:p>
    <w:p>
      <w:pPr>
        <w:pStyle w:val="Heading1"/>
      </w:pPr>
      <w:r>
        <w:t>Process</w:t>
      </w:r>
    </w:p>
    <w:p>
      <w:r>
        <w:t>Structured loops with published rubrics from the developer handbook. Every loop includes a code review exercise and a systems design session scoped to team topologies. Time-to-decision target: five business days.</w:t>
      </w:r>
    </w:p>
    <w:p>
      <w:pPr>
        <w:pStyle w:val="Heading1"/>
      </w:pPr>
      <w:r>
        <w:t>Onboarding</w:t>
      </w:r>
    </w:p>
    <w:p>
      <w:r>
        <w:t>New hires follow the 30-60-90 onboarding plan: local dev env on day one, first deploy in week one via the deploy guide, oncall shadowing in month two, and a starter project from the product roadmap by month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Hiring Plan — H2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