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Style Guide</w:t>
      </w:r>
    </w:p>
    <w:p>
      <w:pPr>
        <w:pStyle w:val="Heading1"/>
      </w:pPr>
      <w:r>
        <w:t>Principles</w:t>
      </w:r>
    </w:p>
    <w:p>
      <w:r>
        <w:t>APIs are contracts. Breaking changes require a major version, a migration guide, and a deprecation window of at least two quarters. Prefer additive evolution: new optional fields, new endpoints, never repurposed ones.</w:t>
      </w:r>
    </w:p>
    <w:p>
      <w:pPr>
        <w:pStyle w:val="Heading1"/>
      </w:pPr>
      <w:r>
        <w:t>Conventions</w:t>
      </w:r>
    </w:p>
    <w:p>
      <w:r>
        <w:t>Resource names are plural nouns; actions beyond CRUD use sub-resources. Timestamps are RFC 3339 UTC. Errors follow the problem-details shape with a machine-readable code, a human message, and a correlation id for Datadog tracing.</w:t>
      </w:r>
    </w:p>
    <w:p>
      <w:r>
        <w:t>Pagination is cursor-based everywhere. Rate limiting headers mirror the API rate limiting policy: limit, remaining, and reset on every response.</w:t>
      </w:r>
    </w:p>
    <w:p>
      <w:pPr>
        <w:pStyle w:val="Heading1"/>
      </w:pPr>
      <w:r>
        <w:t>Review process</w:t>
      </w:r>
    </w:p>
    <w:p>
      <w:r>
        <w:t>Every new endpoint goes through the RFC process with an OpenAPI diff attached. The API gateway team reviews auth scopes; security reviews anything touching PII against the data classification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Style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