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Privacy Policy (Internal)</w:t>
      </w:r>
    </w:p>
    <w:p>
      <w:pPr>
        <w:pStyle w:val="Heading1"/>
      </w:pPr>
      <w:r>
        <w:t>Scope</w:t>
      </w:r>
    </w:p>
    <w:p>
      <w:r>
        <w:t>Applies to all systems processing customer personal data: the auth service, billing, analytics, and support tooling. Aligns with GDPR compliance and the data classification standard.</w:t>
      </w:r>
    </w:p>
    <w:p>
      <w:pPr>
        <w:pStyle w:val="Heading1"/>
      </w:pPr>
      <w:r>
        <w:t>Handling rules</w:t>
      </w:r>
    </w:p>
    <w:p>
      <w:r>
        <w:t>PII is classified Restricted: encrypted at rest, access via short-lived roles reviewed in the quarterly IAM audit, and every access recorded by audit logging. Data retention policy caps raw event storage at 13 months; deletion requests complete within 30 days across primaries, replicas, and backups.</w:t>
      </w:r>
    </w:p>
    <w:p>
      <w:pPr>
        <w:pStyle w:val="Heading1"/>
      </w:pPr>
      <w:r>
        <w:t>Subprocessors</w:t>
      </w:r>
    </w:p>
    <w:p>
      <w:r>
        <w:t>Subprocessor changes require a DPIA, legal sign-off, and 30-day customer notice. The current register lives with the vendor contract summary; tenant isolation guarantees are re-validated when any subprocessor touches multi-tenant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Privacy Policy (Internal)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