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Disaster Recovery Plan</w:t>
      </w:r>
    </w:p>
    <w:p>
      <w:pPr>
        <w:pStyle w:val="Heading1"/>
      </w:pPr>
      <w:r>
        <w:t>Objectives</w:t>
      </w:r>
    </w:p>
    <w:p>
      <w:r>
        <w:t>RPO of five minutes for transactional data, RTO of one hour for the core platform. Postgres replication streams to the secondary region continuously; S3 storage replicates cross-region with versioning.</w:t>
      </w:r>
    </w:p>
    <w:p>
      <w:pPr>
        <w:pStyle w:val="Heading1"/>
      </w:pPr>
      <w:r>
        <w:t>Scenarios</w:t>
      </w:r>
    </w:p>
    <w:p>
      <w:r>
        <w:t>Region loss: DNS management fails over via health-checked records; autoscaling groups warm in the secondary region within 20 minutes. Data corruption: restore from verified database backups, replaying the Kafka event bus from the last checkpoint. Credential compromise: secrets management rotation runbook, all sessions revoked through SSO.</w:t>
      </w:r>
    </w:p>
    <w:p>
      <w:pPr>
        <w:pStyle w:val="Heading1"/>
      </w:pPr>
      <w:r>
        <w:t>Verification</w:t>
      </w:r>
    </w:p>
    <w:p>
      <w:r>
        <w:t>Backup verification restores run weekly and are audited for SOC 2. A full regional failover game day runs twice a year with the incident runbook; results feed the post-mortem guide and this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Disaster Recovery 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