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Platform Team Offsite — Summary Notes</w:t>
      </w:r>
    </w:p>
    <w:p>
      <w:pPr>
        <w:pStyle w:val="Heading1"/>
      </w:pPr>
      <w:r>
        <w:t>Overview</w:t>
      </w:r>
    </w:p>
    <w:p>
      <w:r>
        <w:t>The platform team offsite reviewed team topologies, the product roadmap for the next two quarters, and friction in the RFC process. Twenty-two engineers attended across four workstreams.</w:t>
      </w:r>
    </w:p>
    <w:p>
      <w:pPr>
        <w:pStyle w:val="Heading1"/>
      </w:pPr>
      <w:r>
        <w:t>Decisions</w:t>
      </w:r>
    </w:p>
    <w:p>
      <w:r>
        <w:t>Adopt stream-aligned teams for billing and search, with a platform enabling team owning developer experience. The monorepo config stays; build caching investment continues after the 40% CI time reduction this quarter.</w:t>
      </w:r>
    </w:p>
    <w:p>
      <w:r>
        <w:t>The RFC process gains a 'fast-track' lane for changes under two days of work, cutting review latency. Tech spec templates move into the developer handbook.</w:t>
      </w:r>
    </w:p>
    <w:p>
      <w:pPr>
        <w:pStyle w:val="Heading1"/>
      </w:pPr>
      <w:r>
        <w:t>Roadmap Highlights</w:t>
      </w:r>
    </w:p>
    <w:p>
      <w:r>
        <w:t>Q3 focuses on usage billing accuracy, Stripe webhooks reliability, and feature flags for the new customer onboarding flow. Q4 tackles internationalization and web performance budgets.</w:t>
      </w:r>
    </w:p>
    <w:p>
      <w:pPr>
        <w:pStyle w:val="Heading1"/>
      </w:pPr>
      <w:r>
        <w:t>Action Items</w:t>
      </w:r>
    </w:p>
    <w:p>
      <w:r>
        <w:t>Publish the updated team topologies chart, schedule agile sprint cycle training for new leads, and pilot the fast-track RFC lane with the deploy guide refresh.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Team Offsite — Summary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