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Contract Summary — 2026 Renewals</w:t>
      </w:r>
    </w:p>
    <w:p>
      <w:pPr>
        <w:pStyle w:val="Heading1"/>
      </w:pPr>
      <w:r>
        <w:t>Overview</w:t>
      </w:r>
    </w:p>
    <w:p>
      <w:r>
        <w:t>Twelve vendor contracts renew in H2 2026. Total annualized spend is $2.4M, up 9% year over year, driven by observability volume growth and the Salesforce seat expansion.</w:t>
      </w:r>
    </w:p>
    <w:p>
      <w:pPr>
        <w:pStyle w:val="Heading1"/>
      </w:pPr>
      <w:r>
        <w:t>Key renewals</w:t>
      </w:r>
    </w:p>
    <w:p>
      <w:r>
        <w:t>Datadog: tracing volume renegotiated with a 20% committed-use discount. Stripe: processing tier unchanged; chargeback handling add-on trialed. PagerDuty: consolidated to one account for the oncall rotation. Okta: SSO seats plus the workforce MFA bundle. AWS: enterprise discount program renewal aligned with the cloud cost analysis.</w:t>
      </w:r>
    </w:p>
    <w:p>
      <w:pPr>
        <w:pStyle w:val="Heading1"/>
      </w:pPr>
      <w:r>
        <w:t>Risks</w:t>
      </w:r>
    </w:p>
    <w:p>
      <w:r>
        <w:t>The ClickHouse analytics vendor is a single point for product metrics; a self-hosted fallback is costed in the capacity planning notes. Legal flagged data retention policy alignment for two data processors under GDPR.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Contract Summary — 2026 Renewals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