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V8 ML Engine Blueprint</w:t>
      </w:r>
    </w:p>
    <w:p>
      <w:r>
        <w:t>This blueprint defines how a machine learning alpha-scoring engine should be incorporated into V8 as a controlled, secondary decision-support layer.</w:t>
      </w:r>
    </w:p>
    <w:p>
      <w:pPr>
        <w:pStyle w:val="Heading1"/>
      </w:pPr>
      <w:r>
        <w:t>1. Purpose</w:t>
      </w:r>
    </w:p>
    <w:p>
      <w:r>
        <w:t>The ML Engine in V8 is a secondary alpha-scoring layer. It learns from historical trade outcomes and assigns a predictive quality score to already-approved candidate trades. It does not replace deterministic rules, and it never overrides hard risk gates.</w:t>
      </w:r>
    </w:p>
    <w:p>
      <w:pPr>
        <w:pStyle w:val="Heading1"/>
      </w:pPr>
      <w:r>
        <w:t>2. Role in Architecture</w:t>
      </w:r>
    </w:p>
    <w:p>
      <w:r>
        <w:t>Correct placement:</w:t>
        <w:br/>
        <w:t>Scanner → Deterministic Filters → Candidate Pool → ML Alpha Engine → Selection Engine → Risk Engine Final Approval → Execution</w:t>
      </w:r>
    </w:p>
    <w:p>
      <w:r>
        <w:t>This means only trades that pass deterministic rules are eligible for ML scoring.</w:t>
      </w:r>
    </w:p>
    <w:p>
      <w:pPr>
        <w:pStyle w:val="Heading1"/>
      </w:pPr>
      <w:r>
        <w:t>3. What the ML Engine Should Do</w:t>
      </w:r>
    </w:p>
    <w:p>
      <w:r>
        <w:t>The ML engine may:</w:t>
        <w:br/>
        <w:t>• rank candidate trades</w:t>
        <w:br/>
        <w:t>• estimate relative historical alignment</w:t>
        <w:br/>
        <w:t>• improve prioritization inside the approved candidate pool</w:t>
        <w:br/>
        <w:t>• provide an Alpha Score from 1–100 or probability-style score</w:t>
        <w:br/>
        <w:t>• assist the Selection Engine in choosing the best combination of trades</w:t>
      </w:r>
    </w:p>
    <w:p>
      <w:pPr>
        <w:pStyle w:val="Heading1"/>
      </w:pPr>
      <w:r>
        <w:t>4. What the ML Engine Must Never Do</w:t>
      </w:r>
    </w:p>
    <w:p>
      <w:r>
        <w:t>The ML engine must never:</w:t>
        <w:br/>
        <w:t>• override hard deterministic filters</w:t>
        <w:br/>
        <w:t>• override risk caps</w:t>
        <w:br/>
        <w:t>• choose strikes from raw market data alone</w:t>
        <w:br/>
        <w:t>• submit, cancel, or route orders</w:t>
        <w:br/>
        <w:t>• decide portfolio limits</w:t>
        <w:br/>
        <w:t>• operate with insufficient training data</w:t>
        <w:br/>
        <w:t>• become the sole decision-maker</w:t>
      </w:r>
    </w:p>
    <w:p>
      <w:pPr>
        <w:pStyle w:val="Heading1"/>
      </w:pPr>
      <w:r>
        <w:t>5. Recommended Model Types</w:t>
      </w:r>
    </w:p>
    <w:p>
      <w:r>
        <w:t>Best starting models:</w:t>
        <w:br/>
        <w:t>• XGBoost</w:t>
        <w:br/>
        <w:t>• LightGBM</w:t>
        <w:br/>
        <w:t>• Random Forest</w:t>
      </w:r>
    </w:p>
    <w:p>
      <w:r>
        <w:t>Start with XGBoost for tabular data. It is strong, interpretable enough, and practical for structured trading features.</w:t>
      </w:r>
    </w:p>
    <w:p>
      <w:r>
        <w:t>Do not begin with deep neural networks unless you have large validated datasets and model-ops discipline.</w:t>
      </w:r>
    </w:p>
    <w:p>
      <w:pPr>
        <w:pStyle w:val="Heading1"/>
      </w:pPr>
      <w:r>
        <w:t>6. Data Source</w:t>
      </w:r>
    </w:p>
    <w:p>
      <w:r>
        <w:t>Build a Trade Outcome Database, not just a winners database.</w:t>
      </w:r>
    </w:p>
    <w:p>
      <w:r>
        <w:t>Each row should represent one closed trade and include:</w:t>
        <w:br/>
        <w:t>• trade ID</w:t>
        <w:br/>
        <w:t>• ticker</w:t>
        <w:br/>
        <w:t>• strategy type</w:t>
        <w:br/>
        <w:t>• entry timestamp</w:t>
        <w:br/>
        <w:t>• delta</w:t>
        <w:br/>
        <w:t>• DTE</w:t>
        <w:br/>
        <w:t>• credit/width</w:t>
        <w:br/>
        <w:t>• distance OTM</w:t>
        <w:br/>
        <w:t>• IV rank / IV level</w:t>
        <w:br/>
        <w:t>• VIX</w:t>
        <w:br/>
        <w:t>• SPY trend / market regime</w:t>
        <w:br/>
        <w:t>• sector / industry</w:t>
        <w:br/>
        <w:t>• portfolio state at entry</w:t>
        <w:br/>
        <w:t>• realized PnL</w:t>
        <w:br/>
        <w:t>• max drawdown during life of trade</w:t>
        <w:br/>
        <w:t>• time to 50% profit or stop</w:t>
        <w:br/>
        <w:t>• outcome label</w:t>
      </w:r>
    </w:p>
    <w:p>
      <w:pPr>
        <w:pStyle w:val="Heading1"/>
      </w:pPr>
      <w:r>
        <w:t>7. Labeling Strategy</w:t>
      </w:r>
    </w:p>
    <w:p>
      <w:r>
        <w:t>Use both winners and losers.</w:t>
      </w:r>
    </w:p>
    <w:p>
      <w:r>
        <w:t>Possible labels:</w:t>
        <w:br/>
        <w:t>• binary outcome: win = 1, loss = 0</w:t>
        <w:br/>
        <w:t>• multiclass outcome: strong win / controlled win / scratch / controlled loss / large loss</w:t>
        <w:br/>
        <w:t>• regression target: risk-adjusted return</w:t>
      </w:r>
    </w:p>
    <w:p>
      <w:r>
        <w:t>A simple and practical first version is a binary win/loss label plus additional tracked metrics.</w:t>
      </w:r>
    </w:p>
    <w:p>
      <w:pPr>
        <w:pStyle w:val="Heading1"/>
      </w:pPr>
      <w:r>
        <w:t>8. Feature Set</w:t>
      </w:r>
    </w:p>
    <w:p>
      <w:r>
        <w:t>Recommended features:</w:t>
      </w:r>
    </w:p>
    <w:p>
      <w:r>
        <w:t>Trade-level:</w:t>
        <w:br/>
        <w:t>• delta</w:t>
        <w:br/>
        <w:t>• DTE</w:t>
        <w:br/>
        <w:t>• credit % of width</w:t>
        <w:br/>
        <w:t>• distance OTM</w:t>
        <w:br/>
        <w:t>• liquidity score</w:t>
        <w:br/>
        <w:t>• bid/ask width</w:t>
      </w:r>
    </w:p>
    <w:p>
      <w:r>
        <w:t>Market-level:</w:t>
        <w:br/>
        <w:t>• VIX level</w:t>
        <w:br/>
        <w:t>• VIX trend</w:t>
        <w:br/>
        <w:t>• SPY trend state</w:t>
        <w:br/>
        <w:t>• realized volatility state</w:t>
        <w:br/>
        <w:t>• sector strength</w:t>
        <w:br/>
        <w:t>• breadth measures</w:t>
      </w:r>
    </w:p>
    <w:p>
      <w:r>
        <w:t>Portfolio-level:</w:t>
        <w:br/>
        <w:t>• net delta</w:t>
        <w:br/>
        <w:t>• net theta</w:t>
        <w:br/>
        <w:t>• beta-weighted delta</w:t>
        <w:br/>
        <w:t>• sector concentration</w:t>
        <w:br/>
        <w:t>• high-beta exposure</w:t>
        <w:br/>
        <w:t>• open portfolio risk</w:t>
      </w:r>
    </w:p>
    <w:p>
      <w:pPr>
        <w:pStyle w:val="Heading1"/>
      </w:pPr>
      <w:r>
        <w:t>9. Minimum Data Requirements</w:t>
      </w:r>
    </w:p>
    <w:p>
      <w:r>
        <w:t>Do not deploy ML scoring with tiny data.</w:t>
      </w:r>
    </w:p>
    <w:p>
      <w:r>
        <w:t>Suggested minimum:</w:t>
        <w:br/>
        <w:t>• 200–500 closed trades for early experimentation</w:t>
        <w:br/>
        <w:t>• more is strongly preferred</w:t>
        <w:br/>
        <w:t>• ensure representation across regimes and tickers</w:t>
      </w:r>
    </w:p>
    <w:p>
      <w:r>
        <w:t>Below that, use the model only for offline research, not production influence.</w:t>
      </w:r>
    </w:p>
    <w:p>
      <w:pPr>
        <w:pStyle w:val="Heading1"/>
      </w:pPr>
      <w:r>
        <w:t>10. Training Process</w:t>
      </w:r>
    </w:p>
    <w:p>
      <w:r>
        <w:t>Recommended cadence:</w:t>
        <w:br/>
        <w:t>• train weekly or monthly</w:t>
        <w:br/>
        <w:t>• never retrain on every run</w:t>
        <w:br/>
        <w:t>• maintain train/validation/test separation</w:t>
        <w:br/>
        <w:t>• use walk-forward or time-based validation</w:t>
      </w:r>
    </w:p>
    <w:p>
      <w:r>
        <w:t>Trading data is time-dependent. Random splits are usually weaker than chronological validation.</w:t>
      </w:r>
    </w:p>
    <w:p>
      <w:pPr>
        <w:pStyle w:val="Heading1"/>
      </w:pPr>
      <w:r>
        <w:t>11. Overfitting Controls</w:t>
      </w:r>
    </w:p>
    <w:p>
      <w:r>
        <w:t>Required safeguards:</w:t>
        <w:br/>
        <w:t>• out-of-sample testing</w:t>
        <w:br/>
        <w:t>• walk-forward validation</w:t>
        <w:br/>
        <w:t>• regime-aware evaluation</w:t>
        <w:br/>
        <w:t>• feature importance review</w:t>
        <w:br/>
        <w:t>• cap model influence in production</w:t>
      </w:r>
    </w:p>
    <w:p>
      <w:r>
        <w:t>Do not assume a strong backtest means durable future performance.</w:t>
      </w:r>
    </w:p>
    <w:p>
      <w:pPr>
        <w:pStyle w:val="Heading1"/>
      </w:pPr>
      <w:r>
        <w:t>12. Production Scoring Design</w:t>
      </w:r>
    </w:p>
    <w:p>
      <w:r>
        <w:t>Each candidate trade receives:</w:t>
        <w:br/>
        <w:t>• deterministic score</w:t>
        <w:br/>
        <w:t>• ML alpha score</w:t>
        <w:br/>
        <w:t>• portfolio fit score</w:t>
      </w:r>
    </w:p>
    <w:p>
      <w:r>
        <w:t>Recommended blended formula example:</w:t>
        <w:br/>
        <w:t>Final Score = (Deterministic × 0.70) + (ML Alpha × 0.30)</w:t>
      </w:r>
    </w:p>
    <w:p>
      <w:r>
        <w:t>The deterministic layer remains dominant early on.</w:t>
      </w:r>
    </w:p>
    <w:p>
      <w:pPr>
        <w:pStyle w:val="Heading1"/>
      </w:pPr>
      <w:r>
        <w:t>13. Selection Engine Integration</w:t>
      </w:r>
    </w:p>
    <w:p>
      <w:r>
        <w:t>The Selection Engine should use ML as one dimension, not the only one.</w:t>
      </w:r>
    </w:p>
    <w:p>
      <w:r>
        <w:t>Example:</w:t>
        <w:br/>
        <w:t>• candidate passes all rules</w:t>
        <w:br/>
        <w:t>• ML raises AMD above TSLA due to better historical alignment in current regime</w:t>
        <w:br/>
        <w:t>• final set is still screened for concentration, correlation, and risk balance</w:t>
      </w:r>
    </w:p>
    <w:p>
      <w:pPr>
        <w:pStyle w:val="Heading1"/>
      </w:pPr>
      <w:r>
        <w:t>14. Guardrails</w:t>
      </w:r>
    </w:p>
    <w:p>
      <w:r>
        <w:t>Hard rules:</w:t>
        <w:br/>
        <w:t>• no ML-only trade approvals</w:t>
        <w:br/>
        <w:t>• no bypass of risk engine</w:t>
        <w:br/>
        <w:t>• no use when data freshness is uncertain</w:t>
        <w:br/>
        <w:t>• no use if model quality drops below threshold</w:t>
        <w:br/>
        <w:t>• no use if training population is too sparse for the current regime</w:t>
      </w:r>
    </w:p>
    <w:p>
      <w:pPr>
        <w:pStyle w:val="Heading1"/>
      </w:pPr>
      <w:r>
        <w:t>15. Model Monitoring</w:t>
      </w:r>
    </w:p>
    <w:p>
      <w:r>
        <w:t>Track:</w:t>
        <w:br/>
        <w:t>• model version</w:t>
        <w:br/>
        <w:t>• training window</w:t>
        <w:br/>
        <w:t>• feature set version</w:t>
        <w:br/>
        <w:t>• out-of-sample performance</w:t>
        <w:br/>
        <w:t>• live production score distribution</w:t>
        <w:br/>
        <w:t>• realized performance by ML bucket</w:t>
      </w:r>
    </w:p>
    <w:p>
      <w:r>
        <w:t>This is necessary to know whether the model is helping or drifting.</w:t>
      </w:r>
    </w:p>
    <w:p>
      <w:pPr>
        <w:pStyle w:val="Heading1"/>
      </w:pPr>
      <w:r>
        <w:t>16. Fallback Behavior</w:t>
      </w:r>
    </w:p>
    <w:p>
      <w:r>
        <w:t>If the ML engine fails or is unavailable:</w:t>
        <w:br/>
        <w:t>• continue with deterministic scoring only</w:t>
        <w:br/>
        <w:t>• log ML failure</w:t>
        <w:br/>
        <w:t>• do not block scanning or execution unnecessarily</w:t>
      </w:r>
    </w:p>
    <w:p>
      <w:r>
        <w:t>The platform must remain operational without ML.</w:t>
      </w:r>
    </w:p>
    <w:p>
      <w:pPr>
        <w:pStyle w:val="Heading1"/>
      </w:pPr>
      <w:r>
        <w:t>17. Explainability Layer for ML</w:t>
      </w:r>
    </w:p>
    <w:p>
      <w:r>
        <w:t>Do not expose raw model internals to users, but provide controlled explanations such as:</w:t>
        <w:br/>
        <w:t>• 'Historical alignment is stronger in elevated-volatility conditions.'</w:t>
        <w:br/>
        <w:t>• 'This candidate scores well relative to prior successful setups in similar regimes.'</w:t>
      </w:r>
    </w:p>
    <w:p>
      <w:r>
        <w:t>This can be paired with the AI Explainability Module for user-facing communication.</w:t>
      </w:r>
    </w:p>
    <w:p>
      <w:pPr>
        <w:pStyle w:val="Heading1"/>
      </w:pPr>
      <w:r>
        <w:t>18. Security and Reliability Rules</w:t>
      </w:r>
    </w:p>
    <w:p>
      <w:r>
        <w:t>The ML engine should:</w:t>
        <w:br/>
        <w:t>• run server-side only</w:t>
        <w:br/>
        <w:t>• read sanitized historical data</w:t>
        <w:br/>
        <w:t>• have model version control</w:t>
        <w:br/>
        <w:t>• have validation gates before promotion</w:t>
        <w:br/>
        <w:t>• never directly touch broker or execution permissions</w:t>
      </w:r>
    </w:p>
    <w:p>
      <w:pPr>
        <w:pStyle w:val="Heading1"/>
      </w:pPr>
      <w:r>
        <w:t>19. Rollout Plan</w:t>
      </w:r>
    </w:p>
    <w:p>
      <w:r>
        <w:t>Phase 1:</w:t>
        <w:br/>
        <w:t>• offline research only</w:t>
        <w:br/>
        <w:t>• compare to deterministic-only baseline</w:t>
      </w:r>
    </w:p>
    <w:p>
      <w:r>
        <w:t>Phase 2:</w:t>
        <w:br/>
        <w:t>• shadow scoring in production</w:t>
        <w:br/>
        <w:t>• no user-visible effect yet</w:t>
      </w:r>
    </w:p>
    <w:p>
      <w:r>
        <w:t>Phase 3:</w:t>
        <w:br/>
        <w:t>• low-weight integration in final ranking</w:t>
        <w:br/>
        <w:t>• monitor live effect carefully</w:t>
      </w:r>
    </w:p>
    <w:p>
      <w:r>
        <w:t>Phase 4:</w:t>
        <w:br/>
        <w:t>• increase influence only if validated by real outcomes</w:t>
      </w:r>
    </w:p>
    <w:p>
      <w:pPr>
        <w:pStyle w:val="Heading1"/>
      </w:pPr>
      <w:r>
        <w:t>20. Product Value</w:t>
      </w:r>
    </w:p>
    <w:p>
      <w:r>
        <w:t>The ML engine can improve:</w:t>
        <w:br/>
        <w:t>• ranking precision</w:t>
        <w:br/>
        <w:t>• adaptation to changing market conditions</w:t>
        <w:br/>
        <w:t>• long-term edge refinement</w:t>
      </w:r>
    </w:p>
    <w:p>
      <w:r>
        <w:t>Used correctly, it becomes a real institutional advantage. Used incorrectly, it becomes an overfit hazard.</w:t>
      </w:r>
    </w:p>
    <w:p>
      <w:pPr>
        <w:pStyle w:val="Heading1"/>
      </w:pPr>
      <w:r>
        <w:t>21. Final Standard</w:t>
      </w:r>
    </w:p>
    <w:p>
      <w:r>
        <w:t>The V8 ML Engine should function as an adaptive scoring assistant layered on top of deterministic controls. It should improve prioritization and learning while leaving hard filters, risk approval, and execution safety fully under deterministic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