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Mme. MAILLET Noémi</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20, impasse Lesage</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boulevard de Leveque</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37319 Cohen</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10/10/2021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MAILLET</w:t>
            </w:r>
            <w:r w:rsidR="000367AC">
              <w:rPr>
                <w:rFonts w:ascii="Arial" w:hAnsi="Arial" w:cs="Arial"/>
                <w:sz w:val="28"/>
                <w:szCs w:val="28"/>
                <w:lang w:val="en-US"/>
              </w:rPr>
              <w:t xml:space="preserve"> </w:t>
            </w:r>
            <w:r w:rsidR="000367AC" w:rsidRPr="006401DC">
              <w:rPr>
                <w:rFonts w:ascii="Arial" w:hAnsi="Arial" w:cs="Arial"/>
                <w:sz w:val="28"/>
                <w:szCs w:val="28"/>
                <w:lang w:val="en-US"/>
              </w:rPr>
              <w:t>Noémi</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1051</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10/10/2021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boulevard de Leveque</w:t>
            </w:r>
          </w:p>
          <w:p w14:paraId="634B0667" w14:textId="77777777" w:rsidR="006401DC" w:rsidRDefault="006401DC" w:rsidP="006401DC">
            <w:pPr>
              <w:rPr>
                <w:rFonts w:ascii="Arial" w:hAnsi="Arial" w:cs="Arial"/>
                <w:sz w:val="28"/>
                <w:szCs w:val="28"/>
              </w:rPr>
            </w:pPr>
            <w:r>
              <w:rPr>
                <w:rFonts w:ascii="Arial" w:hAnsi="Arial" w:cs="Arial"/>
                <w:sz w:val="28"/>
                <w:szCs w:val="28"/>
              </w:rPr>
              <w:t>20, impasse Lesage</w:t>
            </w:r>
          </w:p>
          <w:p w14:paraId="292533E1" w14:textId="7C017FB4" w:rsidR="00062540" w:rsidRDefault="006401DC" w:rsidP="006401DC">
            <w:pPr>
              <w:rPr>
                <w:rFonts w:ascii="Arial" w:hAnsi="Arial" w:cs="Arial"/>
                <w:sz w:val="28"/>
                <w:szCs w:val="28"/>
              </w:rPr>
            </w:pPr>
            <w:r>
              <w:rPr>
                <w:rFonts w:ascii="Arial" w:hAnsi="Arial" w:cs="Arial"/>
                <w:sz w:val="28"/>
                <w:szCs w:val="28"/>
              </w:rPr>
              <w:t>37319 Cohen</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880.00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171.00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Chèque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10/10/2021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