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MPANA Germain</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6 AVENUE DES SABLON</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6 Avenue des sablon</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MPANA</w:t>
            </w:r>
            <w:r w:rsidR="000367AC">
              <w:rPr>
                <w:rFonts w:ascii="Arial" w:hAnsi="Arial" w:cs="Arial"/>
                <w:sz w:val="28"/>
                <w:szCs w:val="28"/>
                <w:lang w:val="en-US"/>
              </w:rPr>
              <w:t xml:space="preserve"> </w:t>
            </w:r>
            <w:r w:rsidR="000367AC" w:rsidRPr="006401DC">
              <w:rPr>
                <w:rFonts w:ascii="Arial" w:hAnsi="Arial" w:cs="Arial"/>
                <w:sz w:val="28"/>
                <w:szCs w:val="28"/>
                <w:lang w:val="en-US"/>
              </w:rPr>
              <w:t>Germain</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660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6 AVENUE DES SABLON</w:t>
            </w:r>
          </w:p>
          <w:p w14:paraId="634B0667" w14:textId="77777777" w:rsidR="006401DC" w:rsidRDefault="006401DC" w:rsidP="006401DC">
            <w:pPr>
              <w:rPr>
                <w:rFonts w:ascii="Arial" w:hAnsi="Arial" w:cs="Arial"/>
                <w:sz w:val="28"/>
                <w:szCs w:val="28"/>
              </w:rPr>
            </w:pPr>
            <w:r>
              <w:rPr>
                <w:rFonts w:ascii="Arial" w:hAnsi="Arial" w:cs="Arial"/>
                <w:sz w:val="28"/>
                <w:szCs w:val="28"/>
              </w:rPr>
              <w:t>6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500.00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160.00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