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AF79F" w14:textId="77777777" w:rsidR="00C01700" w:rsidRDefault="00C01700" w:rsidP="00C01700">
      <w:pPr>
        <w:pBdr>
          <w:bottom w:val="single" w:sz="12" w:space="1" w:color="auto"/>
        </w:pBdr>
      </w:pPr>
      <w:r>
        <w:rPr>
          <w:rFonts w:ascii="Times" w:eastAsia="Times New Roman" w:hAnsi="Times" w:cs="Times New Roman"/>
          <w:noProof/>
          <w:sz w:val="20"/>
          <w:szCs w:val="20"/>
        </w:rPr>
        <w:drawing>
          <wp:inline distT="0" distB="0" distL="0" distR="0" wp14:anchorId="512C8503" wp14:editId="03E14751">
            <wp:extent cx="1714500" cy="1103586"/>
            <wp:effectExtent l="0" t="0" r="0" b="0"/>
            <wp:docPr id="3" name="Picture 3" descr="https://tse3.mm.bing.net/th?id=OIP.OFr5LBxplm-o5OIliPeCqQHaEx&amp;pid=15.1&amp;P=0&amp;w=261&amp;h=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3.mm.bing.net/th?id=OIP.OFr5LBxplm-o5OIliPeCqQHaEx&amp;pid=15.1&amp;P=0&amp;w=261&amp;h=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103586"/>
                    </a:xfrm>
                    <a:prstGeom prst="rect">
                      <a:avLst/>
                    </a:prstGeom>
                    <a:noFill/>
                    <a:ln>
                      <a:noFill/>
                    </a:ln>
                  </pic:spPr>
                </pic:pic>
              </a:graphicData>
            </a:graphic>
          </wp:inline>
        </w:drawing>
      </w:r>
      <w:r w:rsidRPr="00C01700">
        <w:t xml:space="preserve"> </w:t>
      </w:r>
      <w:r>
        <w:t xml:space="preserve">              </w:t>
      </w:r>
      <w:r>
        <w:tab/>
      </w:r>
      <w:r>
        <w:tab/>
      </w:r>
      <w:r>
        <w:tab/>
      </w:r>
    </w:p>
    <w:p w14:paraId="29E66A54" w14:textId="77777777" w:rsidR="00C01700" w:rsidRDefault="00C01700" w:rsidP="00C01700"/>
    <w:p w14:paraId="4B8DA0BF" w14:textId="191A550C" w:rsidR="00C01700" w:rsidRPr="00C01700" w:rsidRDefault="00C01700" w:rsidP="00C01700">
      <w:pPr>
        <w:jc w:val="right"/>
        <w:rPr>
          <w:b/>
          <w:sz w:val="36"/>
          <w:szCs w:val="36"/>
        </w:rPr>
      </w:pPr>
      <w:r w:rsidRPr="00C01700">
        <w:rPr>
          <w:b/>
          <w:sz w:val="36"/>
          <w:szCs w:val="36"/>
        </w:rPr>
        <w:t>Customer Churn Summary</w:t>
      </w:r>
    </w:p>
    <w:p w14:paraId="6209ACFE" w14:textId="7F66FB1B" w:rsidR="00C01700" w:rsidRPr="00C01700" w:rsidRDefault="00C01700" w:rsidP="00C01700">
      <w:pPr>
        <w:jc w:val="right"/>
        <w:rPr>
          <w:sz w:val="20"/>
          <w:szCs w:val="20"/>
        </w:rPr>
      </w:pPr>
      <w:r w:rsidRPr="00C01700">
        <w:rPr>
          <w:sz w:val="20"/>
          <w:szCs w:val="20"/>
        </w:rPr>
        <w:t>Created By: Christopher C. Beville</w:t>
      </w:r>
    </w:p>
    <w:p w14:paraId="3DBED62B" w14:textId="77777777" w:rsidR="00C01700" w:rsidRPr="00F53CE3" w:rsidRDefault="00C01700" w:rsidP="00F53CE3">
      <w:pPr>
        <w:rPr>
          <w:rFonts w:ascii="Times" w:eastAsia="Times New Roman" w:hAnsi="Times" w:cs="Times New Roman"/>
          <w:sz w:val="20"/>
          <w:szCs w:val="20"/>
        </w:rPr>
      </w:pPr>
    </w:p>
    <w:p w14:paraId="0E94B52E" w14:textId="77777777" w:rsidR="00F53CE3" w:rsidRDefault="00F53CE3"/>
    <w:p w14:paraId="7FF5F4BC" w14:textId="30813D5E" w:rsidR="00840F32" w:rsidRDefault="00840F32" w:rsidP="00840F32">
      <w:pPr>
        <w:rPr>
          <w:b/>
          <w:sz w:val="28"/>
          <w:szCs w:val="28"/>
        </w:rPr>
      </w:pPr>
      <w:r>
        <w:rPr>
          <w:b/>
          <w:sz w:val="28"/>
          <w:szCs w:val="28"/>
        </w:rPr>
        <w:t>Data and Code</w:t>
      </w:r>
    </w:p>
    <w:p w14:paraId="19BADB71" w14:textId="66C32B46" w:rsidR="00840F32" w:rsidRDefault="00840F32" w:rsidP="00840F32">
      <w:r>
        <w:t xml:space="preserve">This data consists of 7043 observations </w:t>
      </w:r>
      <w:r>
        <w:t>and consists of</w:t>
      </w:r>
      <w:r>
        <w:t xml:space="preserve"> 21 variables</w:t>
      </w:r>
      <w:r>
        <w:t xml:space="preserve"> (names and definitions can be found at the end of this document)</w:t>
      </w:r>
      <w:r>
        <w:t>.  A PDF file containing the R code used to create this analysis has been sent in tandem with this summary.  The .</w:t>
      </w:r>
      <w:proofErr w:type="spellStart"/>
      <w:r>
        <w:t>csv</w:t>
      </w:r>
      <w:proofErr w:type="spellEnd"/>
      <w:r>
        <w:t xml:space="preserve"> file and an interactive .</w:t>
      </w:r>
      <w:proofErr w:type="spellStart"/>
      <w:r>
        <w:t>Rmd</w:t>
      </w:r>
      <w:proofErr w:type="spellEnd"/>
      <w:r>
        <w:t xml:space="preserve"> file will be made available upon request.</w:t>
      </w:r>
    </w:p>
    <w:p w14:paraId="3A09277A" w14:textId="77777777" w:rsidR="00840F32" w:rsidRDefault="00840F32" w:rsidP="00861F18">
      <w:pPr>
        <w:rPr>
          <w:b/>
          <w:sz w:val="28"/>
          <w:szCs w:val="28"/>
        </w:rPr>
      </w:pPr>
    </w:p>
    <w:p w14:paraId="1E4F49AC" w14:textId="35416B95" w:rsidR="00861F18" w:rsidRPr="00C01700" w:rsidRDefault="00861F18" w:rsidP="00861F18">
      <w:pPr>
        <w:rPr>
          <w:b/>
          <w:sz w:val="28"/>
          <w:szCs w:val="28"/>
        </w:rPr>
      </w:pPr>
      <w:r w:rsidRPr="00C01700">
        <w:rPr>
          <w:b/>
          <w:sz w:val="28"/>
          <w:szCs w:val="28"/>
        </w:rPr>
        <w:t xml:space="preserve">Challenge </w:t>
      </w:r>
    </w:p>
    <w:p w14:paraId="0F0AFCDB" w14:textId="757B5A5C" w:rsidR="00F3711B" w:rsidRDefault="00861F18">
      <w:r>
        <w:t xml:space="preserve">We are experiencing a great deal of customer turnover.  We need to identify those customers that are most likely to leave and identify the reasons why they might be leaving. </w:t>
      </w:r>
    </w:p>
    <w:p w14:paraId="33930845" w14:textId="77777777" w:rsidR="00F3711B" w:rsidRDefault="00F3711B"/>
    <w:p w14:paraId="03F50FA0" w14:textId="2235FEE5" w:rsidR="00DB3ECA" w:rsidRPr="00C01700" w:rsidRDefault="00DB3ECA">
      <w:pPr>
        <w:rPr>
          <w:b/>
          <w:sz w:val="28"/>
          <w:szCs w:val="28"/>
        </w:rPr>
      </w:pPr>
      <w:r w:rsidRPr="00C01700">
        <w:rPr>
          <w:b/>
          <w:sz w:val="28"/>
          <w:szCs w:val="28"/>
        </w:rPr>
        <w:t>At Risk Customer Persona</w:t>
      </w:r>
    </w:p>
    <w:p w14:paraId="24495958" w14:textId="56EABA6E" w:rsidR="00932304" w:rsidRPr="00932304" w:rsidRDefault="00DB3ECA">
      <w:r>
        <w:t>Our most at risk customers are those that have subscribed to our “Fiber Optic” package, have been with us for less than 12 months, and are on a “Month to Month” (no contract) payment plan.  These customers tend to be young professionals that enjoy spending on the newest and the most advanced technology.</w:t>
      </w:r>
      <w:r w:rsidR="00C36AB7">
        <w:t xml:space="preserve">  They may not understand the difference between the “Fiber Optic” and “DSL” services</w:t>
      </w:r>
      <w:r w:rsidR="007C6F1F">
        <w:t xml:space="preserve"> and subsequently may be misunderstanding the technical aspects of running their devices on the fiber optic network.</w:t>
      </w:r>
      <w:r>
        <w:t xml:space="preserve"> </w:t>
      </w:r>
    </w:p>
    <w:p w14:paraId="2CF53B25" w14:textId="77777777" w:rsidR="00932304" w:rsidRDefault="00932304">
      <w:pPr>
        <w:rPr>
          <w:b/>
          <w:sz w:val="28"/>
          <w:szCs w:val="28"/>
        </w:rPr>
      </w:pPr>
    </w:p>
    <w:p w14:paraId="61C8E499" w14:textId="77777777" w:rsidR="00575838" w:rsidRPr="00C01700" w:rsidRDefault="00575838">
      <w:pPr>
        <w:rPr>
          <w:b/>
          <w:sz w:val="28"/>
          <w:szCs w:val="28"/>
        </w:rPr>
      </w:pPr>
      <w:r w:rsidRPr="00C01700">
        <w:rPr>
          <w:b/>
          <w:sz w:val="28"/>
          <w:szCs w:val="28"/>
        </w:rPr>
        <w:t>Executive Summary</w:t>
      </w:r>
    </w:p>
    <w:p w14:paraId="0D09E14E" w14:textId="77777777" w:rsidR="00CB65FD" w:rsidRDefault="006831E5">
      <w:r>
        <w:t xml:space="preserve">A large portion of our customer churn is coming from our </w:t>
      </w:r>
      <w:r w:rsidR="00CB65FD">
        <w:t>customer segment with the 3 following main attributes:</w:t>
      </w:r>
    </w:p>
    <w:p w14:paraId="5DFC8EF0" w14:textId="77777777" w:rsidR="00CB65FD" w:rsidRDefault="006831E5" w:rsidP="00CB65FD">
      <w:pPr>
        <w:pStyle w:val="ListParagraph"/>
        <w:numPr>
          <w:ilvl w:val="0"/>
          <w:numId w:val="3"/>
        </w:numPr>
      </w:pPr>
      <w:r>
        <w:t xml:space="preserve">“Fiber Optic” Internet customers </w:t>
      </w:r>
    </w:p>
    <w:p w14:paraId="2A1ED94D" w14:textId="77777777" w:rsidR="00CB65FD" w:rsidRDefault="00CB65FD" w:rsidP="00CB65FD">
      <w:pPr>
        <w:pStyle w:val="ListParagraph"/>
        <w:numPr>
          <w:ilvl w:val="0"/>
          <w:numId w:val="3"/>
        </w:numPr>
      </w:pPr>
      <w:r>
        <w:t>“T</w:t>
      </w:r>
      <w:r w:rsidR="006831E5">
        <w:t>enure</w:t>
      </w:r>
      <w:r>
        <w:t>”</w:t>
      </w:r>
      <w:r w:rsidR="006831E5">
        <w:t xml:space="preserve"> younger than 12 months </w:t>
      </w:r>
    </w:p>
    <w:p w14:paraId="2AB10713" w14:textId="2044446C" w:rsidR="00F3711B" w:rsidRDefault="00CB65FD" w:rsidP="00CB65FD">
      <w:pPr>
        <w:pStyle w:val="ListParagraph"/>
        <w:numPr>
          <w:ilvl w:val="0"/>
          <w:numId w:val="3"/>
        </w:numPr>
      </w:pPr>
      <w:r>
        <w:t>On a “Month to Month” contract</w:t>
      </w:r>
    </w:p>
    <w:p w14:paraId="18F5943A" w14:textId="77777777" w:rsidR="00CB65FD" w:rsidRDefault="00CB65FD" w:rsidP="00CB65FD"/>
    <w:p w14:paraId="319C47A8" w14:textId="7A28050A" w:rsidR="00CB65FD" w:rsidRDefault="00CB65FD" w:rsidP="00CB65FD">
      <w:r>
        <w:t xml:space="preserve">The breakdown of total customers in this segment </w:t>
      </w:r>
      <w:r w:rsidR="00C37BB4">
        <w:t>and the associated churn rate are</w:t>
      </w:r>
      <w:r>
        <w:t xml:space="preserve"> presented in the table below.</w:t>
      </w:r>
    </w:p>
    <w:p w14:paraId="56D04779" w14:textId="77777777" w:rsidR="006831E5" w:rsidRDefault="006831E5"/>
    <w:tbl>
      <w:tblPr>
        <w:tblStyle w:val="TableGrid"/>
        <w:tblW w:w="0" w:type="auto"/>
        <w:tblLook w:val="04A0" w:firstRow="1" w:lastRow="0" w:firstColumn="1" w:lastColumn="0" w:noHBand="0" w:noVBand="1"/>
      </w:tblPr>
      <w:tblGrid>
        <w:gridCol w:w="2952"/>
        <w:gridCol w:w="2952"/>
        <w:gridCol w:w="2952"/>
      </w:tblGrid>
      <w:tr w:rsidR="00CB65FD" w14:paraId="5E42DE0C" w14:textId="77777777" w:rsidTr="0092210D">
        <w:tc>
          <w:tcPr>
            <w:tcW w:w="2952" w:type="dxa"/>
            <w:shd w:val="clear" w:color="auto" w:fill="E0E0E0"/>
          </w:tcPr>
          <w:p w14:paraId="5050E2CF" w14:textId="6F5EFC8E" w:rsidR="00CB65FD" w:rsidRPr="00EB307F" w:rsidRDefault="00CB65FD" w:rsidP="00C37BB4">
            <w:pPr>
              <w:jc w:val="center"/>
              <w:rPr>
                <w:b/>
              </w:rPr>
            </w:pPr>
            <w:r w:rsidRPr="00EB307F">
              <w:rPr>
                <w:b/>
              </w:rPr>
              <w:t>Total Customers</w:t>
            </w:r>
          </w:p>
        </w:tc>
        <w:tc>
          <w:tcPr>
            <w:tcW w:w="2952" w:type="dxa"/>
            <w:shd w:val="clear" w:color="auto" w:fill="E0E0E0"/>
          </w:tcPr>
          <w:p w14:paraId="4A1A101E" w14:textId="1E00353A" w:rsidR="00CB65FD" w:rsidRPr="00EB307F" w:rsidRDefault="00CB65FD" w:rsidP="00C37BB4">
            <w:pPr>
              <w:jc w:val="center"/>
              <w:rPr>
                <w:b/>
              </w:rPr>
            </w:pPr>
            <w:r w:rsidRPr="00EB307F">
              <w:rPr>
                <w:b/>
              </w:rPr>
              <w:t>Churn</w:t>
            </w:r>
          </w:p>
        </w:tc>
        <w:tc>
          <w:tcPr>
            <w:tcW w:w="2952" w:type="dxa"/>
            <w:shd w:val="clear" w:color="auto" w:fill="E0E0E0"/>
          </w:tcPr>
          <w:p w14:paraId="64E91E78" w14:textId="5EA5220E" w:rsidR="00CB65FD" w:rsidRPr="00EB307F" w:rsidRDefault="00CB65FD" w:rsidP="00C37BB4">
            <w:pPr>
              <w:jc w:val="center"/>
              <w:rPr>
                <w:b/>
              </w:rPr>
            </w:pPr>
            <w:r w:rsidRPr="00EB307F">
              <w:rPr>
                <w:b/>
              </w:rPr>
              <w:t>Churn Rate</w:t>
            </w:r>
          </w:p>
        </w:tc>
      </w:tr>
      <w:tr w:rsidR="00CB65FD" w14:paraId="71DDA9CB" w14:textId="77777777" w:rsidTr="00CB65FD">
        <w:tc>
          <w:tcPr>
            <w:tcW w:w="2952" w:type="dxa"/>
          </w:tcPr>
          <w:p w14:paraId="464D673F" w14:textId="21E2CFD6" w:rsidR="00CB65FD" w:rsidRDefault="00B23D23" w:rsidP="00C37BB4">
            <w:pPr>
              <w:jc w:val="center"/>
            </w:pPr>
            <w:r>
              <w:t>876</w:t>
            </w:r>
          </w:p>
        </w:tc>
        <w:tc>
          <w:tcPr>
            <w:tcW w:w="2952" w:type="dxa"/>
          </w:tcPr>
          <w:p w14:paraId="227EC384" w14:textId="20333A5C" w:rsidR="00CB65FD" w:rsidRDefault="00B23D23" w:rsidP="00C37BB4">
            <w:pPr>
              <w:jc w:val="center"/>
            </w:pPr>
            <w:r>
              <w:t>618</w:t>
            </w:r>
          </w:p>
        </w:tc>
        <w:tc>
          <w:tcPr>
            <w:tcW w:w="2952" w:type="dxa"/>
          </w:tcPr>
          <w:p w14:paraId="741F5A71" w14:textId="460C7384" w:rsidR="00CB65FD" w:rsidRDefault="00B23D23" w:rsidP="00C37BB4">
            <w:pPr>
              <w:jc w:val="center"/>
            </w:pPr>
            <w:r>
              <w:t>70.5</w:t>
            </w:r>
            <w:r w:rsidR="00CB65FD">
              <w:t xml:space="preserve"> %</w:t>
            </w:r>
          </w:p>
        </w:tc>
      </w:tr>
    </w:tbl>
    <w:p w14:paraId="6602E709" w14:textId="77777777" w:rsidR="00CB65FD" w:rsidRDefault="00CB65FD"/>
    <w:p w14:paraId="7BFCD5A6" w14:textId="4E3216FF" w:rsidR="00575838" w:rsidRDefault="00CB65FD">
      <w:r>
        <w:lastRenderedPageBreak/>
        <w:t xml:space="preserve">In addition to the main attributes listed above, we have identified 5 subsequent attributes that will help identify </w:t>
      </w:r>
      <w:r w:rsidR="00985ADE">
        <w:t>potential customers that may be in danger of leaving.  The</w:t>
      </w:r>
      <w:r w:rsidR="00F70FF5">
        <w:t>ses attributes</w:t>
      </w:r>
      <w:r w:rsidR="00985ADE">
        <w:t xml:space="preserve"> are as follows:</w:t>
      </w:r>
    </w:p>
    <w:p w14:paraId="4542EF87" w14:textId="1CEDCBDD" w:rsidR="00985ADE" w:rsidRDefault="00985ADE" w:rsidP="00985ADE">
      <w:pPr>
        <w:pStyle w:val="ListParagraph"/>
        <w:numPr>
          <w:ilvl w:val="0"/>
          <w:numId w:val="4"/>
        </w:numPr>
      </w:pPr>
      <w:r>
        <w:t>Payment Method is by “Electronic Check”</w:t>
      </w:r>
    </w:p>
    <w:p w14:paraId="69B2AB35" w14:textId="72D79FCC" w:rsidR="00985ADE" w:rsidRDefault="00DF4516" w:rsidP="00985ADE">
      <w:pPr>
        <w:pStyle w:val="ListParagraph"/>
        <w:numPr>
          <w:ilvl w:val="0"/>
          <w:numId w:val="4"/>
        </w:numPr>
      </w:pPr>
      <w:r>
        <w:t>Customer has</w:t>
      </w:r>
      <w:r w:rsidR="00985ADE">
        <w:t xml:space="preserve"> "No” Dependents </w:t>
      </w:r>
    </w:p>
    <w:p w14:paraId="065F0CDD" w14:textId="1E896B6C" w:rsidR="00985ADE" w:rsidRDefault="00DF4516" w:rsidP="00985ADE">
      <w:pPr>
        <w:pStyle w:val="ListParagraph"/>
        <w:numPr>
          <w:ilvl w:val="0"/>
          <w:numId w:val="4"/>
        </w:numPr>
      </w:pPr>
      <w:r>
        <w:t>Monthly Charges are between 50 and 100 dollars</w:t>
      </w:r>
    </w:p>
    <w:p w14:paraId="2E3E13C6" w14:textId="18EAD592" w:rsidR="00DF4516" w:rsidRDefault="00DF4516" w:rsidP="00985ADE">
      <w:pPr>
        <w:pStyle w:val="ListParagraph"/>
        <w:numPr>
          <w:ilvl w:val="0"/>
          <w:numId w:val="4"/>
        </w:numPr>
      </w:pPr>
      <w:r>
        <w:t>Customer is below 65 years of age</w:t>
      </w:r>
    </w:p>
    <w:p w14:paraId="551A39E3" w14:textId="26851493" w:rsidR="00DF4516" w:rsidRDefault="00DF4516" w:rsidP="00985ADE">
      <w:pPr>
        <w:pStyle w:val="ListParagraph"/>
        <w:numPr>
          <w:ilvl w:val="0"/>
          <w:numId w:val="4"/>
        </w:numPr>
      </w:pPr>
      <w:r>
        <w:t>Customer did not use Tech Support service</w:t>
      </w:r>
    </w:p>
    <w:p w14:paraId="6A2B9F24" w14:textId="0E7F8C2A" w:rsidR="00DF4516" w:rsidRDefault="00DF4516" w:rsidP="00985ADE">
      <w:pPr>
        <w:pStyle w:val="ListParagraph"/>
        <w:numPr>
          <w:ilvl w:val="0"/>
          <w:numId w:val="4"/>
        </w:numPr>
      </w:pPr>
      <w:r>
        <w:t>Customer did not use Online Security Service</w:t>
      </w:r>
    </w:p>
    <w:p w14:paraId="5A7325D7" w14:textId="77777777" w:rsidR="00DF4516" w:rsidRDefault="00DF4516" w:rsidP="00DF4516"/>
    <w:p w14:paraId="6D0CB117" w14:textId="41B75DF1" w:rsidR="00CB65FD" w:rsidRDefault="005919C2">
      <w:r>
        <w:t>* The following data is all a subset of the above table</w:t>
      </w:r>
    </w:p>
    <w:tbl>
      <w:tblPr>
        <w:tblStyle w:val="TableGrid"/>
        <w:tblW w:w="0" w:type="auto"/>
        <w:tblLook w:val="04A0" w:firstRow="1" w:lastRow="0" w:firstColumn="1" w:lastColumn="0" w:noHBand="0" w:noVBand="1"/>
      </w:tblPr>
      <w:tblGrid>
        <w:gridCol w:w="2214"/>
        <w:gridCol w:w="2214"/>
        <w:gridCol w:w="2214"/>
        <w:gridCol w:w="2214"/>
      </w:tblGrid>
      <w:tr w:rsidR="001315A2" w14:paraId="4E50EEB8" w14:textId="77777777" w:rsidTr="0092210D">
        <w:tc>
          <w:tcPr>
            <w:tcW w:w="2214" w:type="dxa"/>
            <w:shd w:val="clear" w:color="auto" w:fill="E0E0E0"/>
          </w:tcPr>
          <w:p w14:paraId="7BA19CE5" w14:textId="77777777" w:rsidR="001315A2" w:rsidRDefault="001315A2"/>
        </w:tc>
        <w:tc>
          <w:tcPr>
            <w:tcW w:w="2214" w:type="dxa"/>
            <w:shd w:val="clear" w:color="auto" w:fill="E0E0E0"/>
          </w:tcPr>
          <w:p w14:paraId="020CFC6C" w14:textId="2C0F6409" w:rsidR="001315A2" w:rsidRPr="00EB307F" w:rsidRDefault="001315A2" w:rsidP="00EB307F">
            <w:pPr>
              <w:jc w:val="center"/>
              <w:rPr>
                <w:b/>
              </w:rPr>
            </w:pPr>
            <w:r w:rsidRPr="00EB307F">
              <w:rPr>
                <w:b/>
              </w:rPr>
              <w:t>Total Customers</w:t>
            </w:r>
          </w:p>
        </w:tc>
        <w:tc>
          <w:tcPr>
            <w:tcW w:w="2214" w:type="dxa"/>
            <w:shd w:val="clear" w:color="auto" w:fill="E0E0E0"/>
          </w:tcPr>
          <w:p w14:paraId="473C7F32" w14:textId="657D64DD" w:rsidR="001315A2" w:rsidRPr="00EB307F" w:rsidRDefault="001315A2" w:rsidP="00EB307F">
            <w:pPr>
              <w:jc w:val="center"/>
              <w:rPr>
                <w:b/>
              </w:rPr>
            </w:pPr>
            <w:r w:rsidRPr="00EB307F">
              <w:rPr>
                <w:b/>
              </w:rPr>
              <w:t>Churn</w:t>
            </w:r>
          </w:p>
        </w:tc>
        <w:tc>
          <w:tcPr>
            <w:tcW w:w="2214" w:type="dxa"/>
            <w:shd w:val="clear" w:color="auto" w:fill="E0E0E0"/>
          </w:tcPr>
          <w:p w14:paraId="76E87156" w14:textId="169369F3" w:rsidR="001315A2" w:rsidRPr="00EB307F" w:rsidRDefault="001315A2" w:rsidP="00EB307F">
            <w:pPr>
              <w:jc w:val="center"/>
              <w:rPr>
                <w:b/>
              </w:rPr>
            </w:pPr>
            <w:r w:rsidRPr="00EB307F">
              <w:rPr>
                <w:b/>
              </w:rPr>
              <w:t>Churn Rate</w:t>
            </w:r>
          </w:p>
        </w:tc>
      </w:tr>
      <w:tr w:rsidR="00EB307F" w14:paraId="18F6030E" w14:textId="77777777" w:rsidTr="00EB307F">
        <w:tc>
          <w:tcPr>
            <w:tcW w:w="2214" w:type="dxa"/>
          </w:tcPr>
          <w:p w14:paraId="3893A7D2" w14:textId="2E96E72D" w:rsidR="00EB307F" w:rsidRDefault="00EB307F">
            <w:r>
              <w:t>Pay With Electronic Check</w:t>
            </w:r>
          </w:p>
        </w:tc>
        <w:tc>
          <w:tcPr>
            <w:tcW w:w="2214" w:type="dxa"/>
            <w:vAlign w:val="center"/>
          </w:tcPr>
          <w:p w14:paraId="139A0825" w14:textId="6E2F6BCE" w:rsidR="00EB307F" w:rsidRDefault="00EB307F" w:rsidP="00EB307F">
            <w:pPr>
              <w:jc w:val="center"/>
            </w:pPr>
            <w:r>
              <w:t>606</w:t>
            </w:r>
          </w:p>
        </w:tc>
        <w:tc>
          <w:tcPr>
            <w:tcW w:w="2214" w:type="dxa"/>
            <w:vAlign w:val="center"/>
          </w:tcPr>
          <w:p w14:paraId="173739A7" w14:textId="2C47C276" w:rsidR="00EB307F" w:rsidRDefault="00EB307F" w:rsidP="00EB307F">
            <w:pPr>
              <w:jc w:val="center"/>
            </w:pPr>
            <w:r>
              <w:t>435</w:t>
            </w:r>
          </w:p>
        </w:tc>
        <w:tc>
          <w:tcPr>
            <w:tcW w:w="2214" w:type="dxa"/>
            <w:vAlign w:val="center"/>
          </w:tcPr>
          <w:p w14:paraId="3CAB76B6" w14:textId="57FBEFD3" w:rsidR="00EB307F" w:rsidRDefault="00EB307F" w:rsidP="00EB307F">
            <w:pPr>
              <w:jc w:val="center"/>
            </w:pPr>
            <w:r>
              <w:t>71.8 %</w:t>
            </w:r>
          </w:p>
        </w:tc>
      </w:tr>
      <w:tr w:rsidR="00EB307F" w14:paraId="2F719A0E" w14:textId="77777777" w:rsidTr="00EB307F">
        <w:tc>
          <w:tcPr>
            <w:tcW w:w="2214" w:type="dxa"/>
          </w:tcPr>
          <w:p w14:paraId="594CCFE8" w14:textId="42E990CB" w:rsidR="00EB307F" w:rsidRDefault="00EB307F">
            <w:r>
              <w:t>No Dependents</w:t>
            </w:r>
          </w:p>
        </w:tc>
        <w:tc>
          <w:tcPr>
            <w:tcW w:w="2214" w:type="dxa"/>
            <w:vAlign w:val="center"/>
          </w:tcPr>
          <w:p w14:paraId="72D0EF17" w14:textId="5F9DBF0E" w:rsidR="00EB307F" w:rsidRDefault="00EB307F" w:rsidP="00EB307F">
            <w:pPr>
              <w:jc w:val="center"/>
            </w:pPr>
            <w:r>
              <w:t>770</w:t>
            </w:r>
          </w:p>
        </w:tc>
        <w:tc>
          <w:tcPr>
            <w:tcW w:w="2214" w:type="dxa"/>
            <w:vAlign w:val="center"/>
          </w:tcPr>
          <w:p w14:paraId="54713034" w14:textId="6AE9E6BF" w:rsidR="00EB307F" w:rsidRDefault="00EB307F" w:rsidP="00EB307F">
            <w:pPr>
              <w:jc w:val="center"/>
            </w:pPr>
            <w:r>
              <w:t>547</w:t>
            </w:r>
          </w:p>
        </w:tc>
        <w:tc>
          <w:tcPr>
            <w:tcW w:w="2214" w:type="dxa"/>
            <w:vAlign w:val="center"/>
          </w:tcPr>
          <w:p w14:paraId="155315A2" w14:textId="2A462247" w:rsidR="00EB307F" w:rsidRDefault="00EB307F" w:rsidP="00EB307F">
            <w:pPr>
              <w:jc w:val="center"/>
            </w:pPr>
            <w:r>
              <w:t>71.0 %</w:t>
            </w:r>
          </w:p>
        </w:tc>
      </w:tr>
      <w:tr w:rsidR="003771CB" w14:paraId="4F5E8F59" w14:textId="77777777" w:rsidTr="00EB307F">
        <w:tc>
          <w:tcPr>
            <w:tcW w:w="2214" w:type="dxa"/>
          </w:tcPr>
          <w:p w14:paraId="5F0C7293" w14:textId="206A9167" w:rsidR="003771CB" w:rsidRDefault="003771CB">
            <w:r>
              <w:t>Does not have a Partner</w:t>
            </w:r>
          </w:p>
        </w:tc>
        <w:tc>
          <w:tcPr>
            <w:tcW w:w="2214" w:type="dxa"/>
            <w:vAlign w:val="center"/>
          </w:tcPr>
          <w:p w14:paraId="7B945B6C" w14:textId="49C19AA1" w:rsidR="003771CB" w:rsidRDefault="003771CB" w:rsidP="00EB307F">
            <w:pPr>
              <w:jc w:val="center"/>
            </w:pPr>
            <w:r>
              <w:t>65</w:t>
            </w:r>
            <w:r w:rsidR="00B23D23">
              <w:t>3</w:t>
            </w:r>
          </w:p>
        </w:tc>
        <w:tc>
          <w:tcPr>
            <w:tcW w:w="2214" w:type="dxa"/>
            <w:vAlign w:val="center"/>
          </w:tcPr>
          <w:p w14:paraId="05843F44" w14:textId="30137E50" w:rsidR="003771CB" w:rsidRDefault="00B23D23" w:rsidP="00EB307F">
            <w:pPr>
              <w:jc w:val="center"/>
            </w:pPr>
            <w:r>
              <w:t>459</w:t>
            </w:r>
          </w:p>
        </w:tc>
        <w:tc>
          <w:tcPr>
            <w:tcW w:w="2214" w:type="dxa"/>
            <w:vAlign w:val="center"/>
          </w:tcPr>
          <w:p w14:paraId="3D7BBF16" w14:textId="01E2636A" w:rsidR="003771CB" w:rsidRDefault="00E04680" w:rsidP="00EB307F">
            <w:pPr>
              <w:jc w:val="center"/>
            </w:pPr>
            <w:r>
              <w:t xml:space="preserve">70.3 </w:t>
            </w:r>
            <w:r w:rsidR="003771CB">
              <w:t>%</w:t>
            </w:r>
          </w:p>
        </w:tc>
      </w:tr>
      <w:tr w:rsidR="00EB307F" w14:paraId="2D2A43B2" w14:textId="77777777" w:rsidTr="00EB307F">
        <w:tc>
          <w:tcPr>
            <w:tcW w:w="2214" w:type="dxa"/>
          </w:tcPr>
          <w:p w14:paraId="11E2FA10" w14:textId="305445D4" w:rsidR="00EB307F" w:rsidRDefault="00EB307F">
            <w:r>
              <w:t>Monthly Charges &gt;= 50 and &lt;100</w:t>
            </w:r>
          </w:p>
        </w:tc>
        <w:tc>
          <w:tcPr>
            <w:tcW w:w="2214" w:type="dxa"/>
            <w:vAlign w:val="center"/>
          </w:tcPr>
          <w:p w14:paraId="4B9FFCE5" w14:textId="61E78EAF" w:rsidR="00EB307F" w:rsidRDefault="00EB307F" w:rsidP="00EB307F">
            <w:pPr>
              <w:jc w:val="center"/>
            </w:pPr>
            <w:r>
              <w:t>831</w:t>
            </w:r>
          </w:p>
        </w:tc>
        <w:tc>
          <w:tcPr>
            <w:tcW w:w="2214" w:type="dxa"/>
            <w:vAlign w:val="center"/>
          </w:tcPr>
          <w:p w14:paraId="53B5C92A" w14:textId="0B59B2DC" w:rsidR="00EB307F" w:rsidRDefault="00EB307F" w:rsidP="00EB307F">
            <w:pPr>
              <w:jc w:val="center"/>
            </w:pPr>
            <w:r>
              <w:t>584</w:t>
            </w:r>
          </w:p>
        </w:tc>
        <w:tc>
          <w:tcPr>
            <w:tcW w:w="2214" w:type="dxa"/>
            <w:vAlign w:val="center"/>
          </w:tcPr>
          <w:p w14:paraId="7FF32047" w14:textId="6A289259" w:rsidR="00EB307F" w:rsidRDefault="00EB307F" w:rsidP="00EB307F">
            <w:pPr>
              <w:jc w:val="center"/>
            </w:pPr>
            <w:r>
              <w:t>70.3 %</w:t>
            </w:r>
          </w:p>
        </w:tc>
      </w:tr>
      <w:tr w:rsidR="00EB307F" w14:paraId="51B11830" w14:textId="77777777" w:rsidTr="00EB307F">
        <w:tc>
          <w:tcPr>
            <w:tcW w:w="2214" w:type="dxa"/>
          </w:tcPr>
          <w:p w14:paraId="74F234D7" w14:textId="11F9C0A8" w:rsidR="00EB307F" w:rsidRDefault="00EB307F">
            <w:r>
              <w:t>Younger than 65</w:t>
            </w:r>
          </w:p>
        </w:tc>
        <w:tc>
          <w:tcPr>
            <w:tcW w:w="2214" w:type="dxa"/>
            <w:vAlign w:val="center"/>
          </w:tcPr>
          <w:p w14:paraId="0AE2236E" w14:textId="2639F183" w:rsidR="00EB307F" w:rsidRDefault="00EB307F" w:rsidP="00EB307F">
            <w:pPr>
              <w:jc w:val="center"/>
            </w:pPr>
            <w:r>
              <w:t>653</w:t>
            </w:r>
          </w:p>
        </w:tc>
        <w:tc>
          <w:tcPr>
            <w:tcW w:w="2214" w:type="dxa"/>
            <w:vAlign w:val="center"/>
          </w:tcPr>
          <w:p w14:paraId="2075E83D" w14:textId="17F2F5A0" w:rsidR="00EB307F" w:rsidRDefault="00EB307F" w:rsidP="00EB307F">
            <w:pPr>
              <w:jc w:val="center"/>
            </w:pPr>
            <w:r>
              <w:t>456</w:t>
            </w:r>
          </w:p>
        </w:tc>
        <w:tc>
          <w:tcPr>
            <w:tcW w:w="2214" w:type="dxa"/>
            <w:vAlign w:val="center"/>
          </w:tcPr>
          <w:p w14:paraId="665B2541" w14:textId="3183470F" w:rsidR="00EB307F" w:rsidRDefault="00EB307F" w:rsidP="00EB307F">
            <w:pPr>
              <w:jc w:val="center"/>
            </w:pPr>
            <w:r>
              <w:t>69.8 %</w:t>
            </w:r>
          </w:p>
        </w:tc>
      </w:tr>
      <w:tr w:rsidR="00EB307F" w14:paraId="0244E1B5" w14:textId="77777777" w:rsidTr="00EB307F">
        <w:tc>
          <w:tcPr>
            <w:tcW w:w="2214" w:type="dxa"/>
          </w:tcPr>
          <w:p w14:paraId="4844BC02" w14:textId="27939CBF" w:rsidR="00EB307F" w:rsidRDefault="00EB307F">
            <w:r>
              <w:t>Did not use Tech Support</w:t>
            </w:r>
          </w:p>
        </w:tc>
        <w:tc>
          <w:tcPr>
            <w:tcW w:w="2214" w:type="dxa"/>
            <w:vAlign w:val="center"/>
          </w:tcPr>
          <w:p w14:paraId="0FED84C7" w14:textId="2E24AA3D" w:rsidR="00EB307F" w:rsidRDefault="00EB307F" w:rsidP="00EB307F">
            <w:pPr>
              <w:jc w:val="center"/>
            </w:pPr>
            <w:r>
              <w:t>80</w:t>
            </w:r>
            <w:r w:rsidR="00E04680">
              <w:t>0</w:t>
            </w:r>
          </w:p>
        </w:tc>
        <w:tc>
          <w:tcPr>
            <w:tcW w:w="2214" w:type="dxa"/>
            <w:vAlign w:val="center"/>
          </w:tcPr>
          <w:p w14:paraId="260B76EC" w14:textId="5535D438" w:rsidR="00EB307F" w:rsidRDefault="00EB307F" w:rsidP="00EB307F">
            <w:pPr>
              <w:jc w:val="center"/>
            </w:pPr>
            <w:r>
              <w:t>573</w:t>
            </w:r>
          </w:p>
        </w:tc>
        <w:tc>
          <w:tcPr>
            <w:tcW w:w="2214" w:type="dxa"/>
            <w:vAlign w:val="center"/>
          </w:tcPr>
          <w:p w14:paraId="20DE1128" w14:textId="56D03FC4" w:rsidR="00EB307F" w:rsidRDefault="00E04680" w:rsidP="00EB307F">
            <w:pPr>
              <w:jc w:val="center"/>
            </w:pPr>
            <w:r>
              <w:t>71.6</w:t>
            </w:r>
            <w:r w:rsidR="00EB307F">
              <w:t xml:space="preserve"> %</w:t>
            </w:r>
          </w:p>
        </w:tc>
      </w:tr>
      <w:tr w:rsidR="00EB307F" w14:paraId="08C68C59" w14:textId="77777777" w:rsidTr="00EB307F">
        <w:tc>
          <w:tcPr>
            <w:tcW w:w="2214" w:type="dxa"/>
          </w:tcPr>
          <w:p w14:paraId="1137A341" w14:textId="4402F7DE" w:rsidR="00EB307F" w:rsidRDefault="00EB307F">
            <w:r>
              <w:t>Did not use Online Security</w:t>
            </w:r>
          </w:p>
        </w:tc>
        <w:tc>
          <w:tcPr>
            <w:tcW w:w="2214" w:type="dxa"/>
            <w:vAlign w:val="center"/>
          </w:tcPr>
          <w:p w14:paraId="1E7EAE16" w14:textId="2AE1D580" w:rsidR="00EB307F" w:rsidRDefault="00E04680" w:rsidP="00EB307F">
            <w:pPr>
              <w:jc w:val="center"/>
            </w:pPr>
            <w:r>
              <w:t>800</w:t>
            </w:r>
          </w:p>
        </w:tc>
        <w:tc>
          <w:tcPr>
            <w:tcW w:w="2214" w:type="dxa"/>
            <w:vAlign w:val="center"/>
          </w:tcPr>
          <w:p w14:paraId="7CE941AE" w14:textId="056A3835" w:rsidR="00EB307F" w:rsidRDefault="00E04680" w:rsidP="00EB307F">
            <w:pPr>
              <w:jc w:val="center"/>
            </w:pPr>
            <w:r>
              <w:t>579</w:t>
            </w:r>
          </w:p>
        </w:tc>
        <w:tc>
          <w:tcPr>
            <w:tcW w:w="2214" w:type="dxa"/>
            <w:vAlign w:val="center"/>
          </w:tcPr>
          <w:p w14:paraId="1B899930" w14:textId="74F24CC9" w:rsidR="00EB307F" w:rsidRDefault="00E04680" w:rsidP="00EB307F">
            <w:pPr>
              <w:jc w:val="center"/>
            </w:pPr>
            <w:r>
              <w:t>72.4</w:t>
            </w:r>
            <w:r w:rsidR="00EB307F">
              <w:t xml:space="preserve"> %</w:t>
            </w:r>
          </w:p>
        </w:tc>
      </w:tr>
    </w:tbl>
    <w:p w14:paraId="2B3B35C8" w14:textId="77777777" w:rsidR="001315A2" w:rsidRDefault="001315A2"/>
    <w:p w14:paraId="198AF321" w14:textId="77777777" w:rsidR="001315A2" w:rsidRDefault="001315A2"/>
    <w:p w14:paraId="2ECE55EB" w14:textId="69920BE1" w:rsidR="00F53D8E" w:rsidRPr="00C01700" w:rsidRDefault="005A4AA2">
      <w:pPr>
        <w:rPr>
          <w:b/>
          <w:sz w:val="28"/>
          <w:szCs w:val="28"/>
        </w:rPr>
      </w:pPr>
      <w:r w:rsidRPr="00C01700">
        <w:rPr>
          <w:b/>
          <w:sz w:val="28"/>
          <w:szCs w:val="28"/>
        </w:rPr>
        <w:t xml:space="preserve">Tactical </w:t>
      </w:r>
      <w:r w:rsidR="00575838" w:rsidRPr="00C01700">
        <w:rPr>
          <w:b/>
          <w:sz w:val="28"/>
          <w:szCs w:val="28"/>
        </w:rPr>
        <w:t>Recommendation</w:t>
      </w:r>
      <w:r w:rsidR="009448E1" w:rsidRPr="00C01700">
        <w:rPr>
          <w:b/>
          <w:sz w:val="28"/>
          <w:szCs w:val="28"/>
        </w:rPr>
        <w:t>s</w:t>
      </w:r>
    </w:p>
    <w:p w14:paraId="34AEF96D" w14:textId="1A8BA0F7" w:rsidR="00BA27D2" w:rsidRDefault="00BA27D2" w:rsidP="00F53D8E">
      <w:pPr>
        <w:pStyle w:val="ListParagraph"/>
        <w:numPr>
          <w:ilvl w:val="0"/>
          <w:numId w:val="5"/>
        </w:numPr>
      </w:pPr>
      <w:r>
        <w:t>Use the Logistic Regression model to help identify the customers that are at risk of leaving us for another service.  The Logistic Regression model can be found on lines 354 – 373.  Click on the green arrow on the top right corner to run the model and see a statistical</w:t>
      </w:r>
      <w:r w:rsidR="00746385">
        <w:t>/performance</w:t>
      </w:r>
      <w:r>
        <w:t xml:space="preserve"> summary of all of the variables and the model as a whole.</w:t>
      </w:r>
    </w:p>
    <w:p w14:paraId="4DBA588B" w14:textId="6DA4A48C" w:rsidR="00F53D8E" w:rsidRDefault="00F53D8E" w:rsidP="00F53D8E">
      <w:pPr>
        <w:pStyle w:val="ListParagraph"/>
        <w:numPr>
          <w:ilvl w:val="0"/>
          <w:numId w:val="5"/>
        </w:numPr>
      </w:pPr>
      <w:r>
        <w:t>When signing up new customers we should push to enroll them in an automatic payment option.  Customers are less likely to leave if payment is</w:t>
      </w:r>
      <w:r w:rsidR="00725BE1">
        <w:t xml:space="preserve"> automatic.</w:t>
      </w:r>
    </w:p>
    <w:p w14:paraId="4066F73E" w14:textId="14A69AB6" w:rsidR="003771CB" w:rsidRDefault="00F53D8E" w:rsidP="00F53D8E">
      <w:pPr>
        <w:pStyle w:val="ListParagraph"/>
        <w:numPr>
          <w:ilvl w:val="0"/>
          <w:numId w:val="5"/>
        </w:numPr>
      </w:pPr>
      <w:r>
        <w:t xml:space="preserve">We should follow up with the former customers </w:t>
      </w:r>
      <w:r w:rsidR="009448E1">
        <w:t>so that we may understand if anything may have gone awry</w:t>
      </w:r>
      <w:r>
        <w:t xml:space="preserve"> with our technology and/or user experience.  If the customer was dissatisfied with our technology we will need to determine if our technology failed</w:t>
      </w:r>
      <w:r w:rsidR="009448E1">
        <w:t>.  If the customer was dissatisfied with their experience due to</w:t>
      </w:r>
      <w:r>
        <w:t xml:space="preserve"> </w:t>
      </w:r>
      <w:r w:rsidR="009448E1">
        <w:t>user error</w:t>
      </w:r>
      <w:r w:rsidR="00D04AAE">
        <w:t xml:space="preserve">, we will need to do a better job of educating the customer on the new technology. </w:t>
      </w:r>
    </w:p>
    <w:p w14:paraId="6E4E9C8D" w14:textId="04A711D1" w:rsidR="00F53D8E" w:rsidRDefault="00F53D8E" w:rsidP="00F53D8E">
      <w:pPr>
        <w:pStyle w:val="ListParagraph"/>
        <w:numPr>
          <w:ilvl w:val="0"/>
          <w:numId w:val="5"/>
        </w:numPr>
      </w:pPr>
      <w:r>
        <w:t xml:space="preserve">We should make “Tech Support” part of the customer experience </w:t>
      </w:r>
      <w:r w:rsidR="00D04AAE">
        <w:t xml:space="preserve">from the onset of the customer relationship.  </w:t>
      </w:r>
      <w:r>
        <w:t>If we can catch any misconception or misunderstanding of the technology from the customer’s perspective we will be able to build good will with the customer and avoid any fallout from user error.</w:t>
      </w:r>
    </w:p>
    <w:p w14:paraId="2649F474" w14:textId="4239E2E6" w:rsidR="00725BE1" w:rsidRDefault="00725BE1" w:rsidP="00F53D8E">
      <w:pPr>
        <w:pStyle w:val="ListParagraph"/>
        <w:numPr>
          <w:ilvl w:val="0"/>
          <w:numId w:val="5"/>
        </w:numPr>
      </w:pPr>
      <w:r>
        <w:t>Our competitors have been offering</w:t>
      </w:r>
      <w:r w:rsidR="00D04AAE">
        <w:t xml:space="preserve"> aggressive</w:t>
      </w:r>
      <w:r>
        <w:t xml:space="preserve"> pricing </w:t>
      </w:r>
      <w:r w:rsidR="00D04AAE">
        <w:t xml:space="preserve">on their fiber optic services </w:t>
      </w:r>
      <w:r>
        <w:t>over the past year</w:t>
      </w:r>
      <w:r w:rsidR="00D04AAE">
        <w:t>.  W</w:t>
      </w:r>
      <w:r>
        <w:t xml:space="preserve">hile our technology is superior, the customer may not understand why and simply be shopping on price.  If we cannot compete on price we will need to </w:t>
      </w:r>
      <w:r w:rsidR="00D04AAE">
        <w:t>refine our</w:t>
      </w:r>
      <w:r>
        <w:t xml:space="preserve"> target audience and position our product accordingly. </w:t>
      </w:r>
    </w:p>
    <w:p w14:paraId="6BCDAF9A" w14:textId="77777777" w:rsidR="00DF6806" w:rsidRDefault="00DF6806" w:rsidP="00DF6806"/>
    <w:p w14:paraId="00519893" w14:textId="0254A310" w:rsidR="00DF6806" w:rsidRPr="00C01700" w:rsidRDefault="00DF6806" w:rsidP="00DF6806">
      <w:pPr>
        <w:rPr>
          <w:b/>
          <w:sz w:val="28"/>
          <w:szCs w:val="28"/>
        </w:rPr>
      </w:pPr>
      <w:r w:rsidRPr="00C01700">
        <w:rPr>
          <w:b/>
          <w:sz w:val="28"/>
          <w:szCs w:val="28"/>
        </w:rPr>
        <w:t>Conclusion</w:t>
      </w:r>
    </w:p>
    <w:p w14:paraId="5556E9D0" w14:textId="038EB3A2" w:rsidR="00DF6806" w:rsidRDefault="00DF6806" w:rsidP="00DF6806">
      <w:r>
        <w:t xml:space="preserve">The margin at the moment on our “Fiber Optic” offering is thin and our competitors understand that.  </w:t>
      </w:r>
      <w:r w:rsidR="00247A09">
        <w:t>Our competitors</w:t>
      </w:r>
      <w:r>
        <w:t xml:space="preserve"> are trying to gain market share with an inferior product by offering at a price point that will be impossible for us to match.  </w:t>
      </w:r>
      <w:r w:rsidR="00247A09">
        <w:t>We should disengage from this “race to the bottom” pricing strategy all together and</w:t>
      </w:r>
      <w:r>
        <w:t xml:space="preserve"> reposition our offering </w:t>
      </w:r>
      <w:r w:rsidR="00247A09">
        <w:t>for the tech savvy early ado</w:t>
      </w:r>
      <w:r>
        <w:t xml:space="preserve">pters that are not afraid of the technical nature of </w:t>
      </w:r>
      <w:r w:rsidR="00247A09">
        <w:t>our</w:t>
      </w:r>
      <w:r>
        <w:t xml:space="preserve"> </w:t>
      </w:r>
      <w:r w:rsidR="00247A09">
        <w:t>“Fiber O</w:t>
      </w:r>
      <w:r>
        <w:t>ptic</w:t>
      </w:r>
      <w:r w:rsidR="00247A09">
        <w:t xml:space="preserve">” offering.  Selling them on the technology will be simple and we can use their experience through their interaction with our Tech Support team to gain insight on making the tech experience more palatable for the masses.  As we start to accomplish a more user-friendly experience we can begin implementing strategic and aggressive pricing campaigns so that we can get to scale and re-win our loss of market share.    </w:t>
      </w:r>
    </w:p>
    <w:p w14:paraId="62950CF6" w14:textId="77777777" w:rsidR="00932304" w:rsidRDefault="00932304" w:rsidP="00EB307F"/>
    <w:p w14:paraId="36352495" w14:textId="77777777" w:rsidR="004231B8" w:rsidRDefault="004231B8" w:rsidP="00EB307F"/>
    <w:p w14:paraId="4286A586" w14:textId="77777777" w:rsidR="00840F32" w:rsidRDefault="00840F32"/>
    <w:p w14:paraId="4288D720" w14:textId="77777777" w:rsidR="00840F32" w:rsidRDefault="00840F32"/>
    <w:p w14:paraId="35F9C261" w14:textId="6A52E595" w:rsidR="00932304" w:rsidRDefault="00932304">
      <w:pPr>
        <w:rPr>
          <w:b/>
          <w:sz w:val="28"/>
          <w:szCs w:val="28"/>
        </w:rPr>
      </w:pPr>
      <w:r>
        <w:rPr>
          <w:b/>
          <w:sz w:val="28"/>
          <w:szCs w:val="28"/>
        </w:rPr>
        <w:br w:type="page"/>
      </w:r>
    </w:p>
    <w:p w14:paraId="49A2D01D" w14:textId="3442567E" w:rsidR="00932304" w:rsidRPr="00932304" w:rsidRDefault="00932304" w:rsidP="00932304">
      <w:pPr>
        <w:pBdr>
          <w:bottom w:val="single" w:sz="12" w:space="1" w:color="auto"/>
        </w:pBdr>
        <w:rPr>
          <w:b/>
          <w:sz w:val="36"/>
          <w:szCs w:val="36"/>
        </w:rPr>
      </w:pPr>
      <w:r w:rsidRPr="00932304">
        <w:rPr>
          <w:b/>
          <w:sz w:val="36"/>
          <w:szCs w:val="36"/>
        </w:rPr>
        <w:t>Appendix</w:t>
      </w:r>
    </w:p>
    <w:p w14:paraId="0FB2572E" w14:textId="77777777" w:rsidR="00932304" w:rsidRDefault="00932304" w:rsidP="00932304">
      <w:bookmarkStart w:id="0" w:name="_GoBack"/>
      <w:bookmarkEnd w:id="0"/>
    </w:p>
    <w:tbl>
      <w:tblPr>
        <w:tblStyle w:val="TableGrid"/>
        <w:tblW w:w="0" w:type="auto"/>
        <w:tblLook w:val="04A0" w:firstRow="1" w:lastRow="0" w:firstColumn="1" w:lastColumn="0" w:noHBand="0" w:noVBand="1"/>
      </w:tblPr>
      <w:tblGrid>
        <w:gridCol w:w="2268"/>
        <w:gridCol w:w="6588"/>
      </w:tblGrid>
      <w:tr w:rsidR="00932304" w14:paraId="7695C4D7" w14:textId="77777777" w:rsidTr="00021230">
        <w:tc>
          <w:tcPr>
            <w:tcW w:w="2268" w:type="dxa"/>
            <w:shd w:val="clear" w:color="auto" w:fill="E0E0E0"/>
          </w:tcPr>
          <w:p w14:paraId="47C730F0" w14:textId="77777777" w:rsidR="00932304" w:rsidRPr="0092210D" w:rsidRDefault="00932304" w:rsidP="00021230">
            <w:pPr>
              <w:rPr>
                <w:b/>
              </w:rPr>
            </w:pPr>
            <w:r w:rsidRPr="0092210D">
              <w:rPr>
                <w:b/>
              </w:rPr>
              <w:t>Variable</w:t>
            </w:r>
          </w:p>
        </w:tc>
        <w:tc>
          <w:tcPr>
            <w:tcW w:w="6588" w:type="dxa"/>
            <w:shd w:val="clear" w:color="auto" w:fill="E0E0E0"/>
          </w:tcPr>
          <w:p w14:paraId="3FAD4DFD" w14:textId="77777777" w:rsidR="00932304" w:rsidRPr="0092210D" w:rsidRDefault="00932304" w:rsidP="00021230">
            <w:pPr>
              <w:rPr>
                <w:b/>
              </w:rPr>
            </w:pPr>
            <w:r w:rsidRPr="0092210D">
              <w:rPr>
                <w:b/>
              </w:rPr>
              <w:t>Definition</w:t>
            </w:r>
          </w:p>
        </w:tc>
      </w:tr>
      <w:tr w:rsidR="00932304" w14:paraId="190780FE" w14:textId="77777777" w:rsidTr="00021230">
        <w:tc>
          <w:tcPr>
            <w:tcW w:w="2268" w:type="dxa"/>
          </w:tcPr>
          <w:p w14:paraId="6AAD5574" w14:textId="77777777" w:rsidR="00932304" w:rsidRDefault="00932304" w:rsidP="00021230">
            <w:r>
              <w:t>Customer ID</w:t>
            </w:r>
          </w:p>
        </w:tc>
        <w:tc>
          <w:tcPr>
            <w:tcW w:w="6588" w:type="dxa"/>
          </w:tcPr>
          <w:p w14:paraId="16B42BF8" w14:textId="77777777" w:rsidR="00932304" w:rsidRDefault="00932304" w:rsidP="00021230">
            <w:r>
              <w:t>Unique customer identifier</w:t>
            </w:r>
          </w:p>
        </w:tc>
      </w:tr>
      <w:tr w:rsidR="00932304" w14:paraId="73913669" w14:textId="77777777" w:rsidTr="00021230">
        <w:tc>
          <w:tcPr>
            <w:tcW w:w="2268" w:type="dxa"/>
          </w:tcPr>
          <w:p w14:paraId="4FEC5714" w14:textId="77777777" w:rsidR="00932304" w:rsidRDefault="00932304" w:rsidP="00021230">
            <w:r>
              <w:t>Gender</w:t>
            </w:r>
          </w:p>
        </w:tc>
        <w:tc>
          <w:tcPr>
            <w:tcW w:w="6588" w:type="dxa"/>
          </w:tcPr>
          <w:p w14:paraId="38D58D0E" w14:textId="77777777" w:rsidR="00932304" w:rsidRDefault="00932304" w:rsidP="00021230">
            <w:r>
              <w:t>Binary, Male or Female</w:t>
            </w:r>
          </w:p>
        </w:tc>
      </w:tr>
      <w:tr w:rsidR="00932304" w14:paraId="206CDB5C" w14:textId="77777777" w:rsidTr="00021230">
        <w:tc>
          <w:tcPr>
            <w:tcW w:w="2268" w:type="dxa"/>
          </w:tcPr>
          <w:p w14:paraId="24E162AA" w14:textId="77777777" w:rsidR="00932304" w:rsidRDefault="00932304" w:rsidP="00021230">
            <w:r>
              <w:t>Senior Citizen</w:t>
            </w:r>
          </w:p>
        </w:tc>
        <w:tc>
          <w:tcPr>
            <w:tcW w:w="6588" w:type="dxa"/>
          </w:tcPr>
          <w:p w14:paraId="7592EBCC" w14:textId="77777777" w:rsidR="00932304" w:rsidRDefault="00932304" w:rsidP="00021230">
            <w:r>
              <w:t xml:space="preserve">Senior Citizen is defined as 65 years old or </w:t>
            </w:r>
            <w:proofErr w:type="gramStart"/>
            <w:r>
              <w:t xml:space="preserve">over    </w:t>
            </w:r>
            <w:proofErr w:type="gramEnd"/>
          </w:p>
        </w:tc>
      </w:tr>
      <w:tr w:rsidR="00932304" w14:paraId="4FF97A88" w14:textId="77777777" w:rsidTr="00021230">
        <w:tc>
          <w:tcPr>
            <w:tcW w:w="2268" w:type="dxa"/>
          </w:tcPr>
          <w:p w14:paraId="0B2821C8" w14:textId="77777777" w:rsidR="00932304" w:rsidRDefault="00932304" w:rsidP="00021230">
            <w:r>
              <w:t>Partner</w:t>
            </w:r>
          </w:p>
        </w:tc>
        <w:tc>
          <w:tcPr>
            <w:tcW w:w="6588" w:type="dxa"/>
          </w:tcPr>
          <w:p w14:paraId="1DA4A277" w14:textId="77777777" w:rsidR="00932304" w:rsidRDefault="00932304" w:rsidP="00021230">
            <w:r>
              <w:t>A person having a partner has given equal access to their account</w:t>
            </w:r>
          </w:p>
        </w:tc>
      </w:tr>
      <w:tr w:rsidR="00932304" w14:paraId="2B24319E" w14:textId="77777777" w:rsidTr="00021230">
        <w:tc>
          <w:tcPr>
            <w:tcW w:w="2268" w:type="dxa"/>
          </w:tcPr>
          <w:p w14:paraId="30DEA24D" w14:textId="77777777" w:rsidR="00932304" w:rsidRDefault="00932304" w:rsidP="00021230">
            <w:r>
              <w:t>Dependents</w:t>
            </w:r>
          </w:p>
        </w:tc>
        <w:tc>
          <w:tcPr>
            <w:tcW w:w="6588" w:type="dxa"/>
          </w:tcPr>
          <w:p w14:paraId="68053737" w14:textId="77777777" w:rsidR="00932304" w:rsidRDefault="00932304" w:rsidP="00021230">
            <w:r>
              <w:t>As defined by State and Federal Tax law</w:t>
            </w:r>
          </w:p>
        </w:tc>
      </w:tr>
      <w:tr w:rsidR="00932304" w14:paraId="03306D0B" w14:textId="77777777" w:rsidTr="00021230">
        <w:tc>
          <w:tcPr>
            <w:tcW w:w="2268" w:type="dxa"/>
          </w:tcPr>
          <w:p w14:paraId="26903ECF" w14:textId="77777777" w:rsidR="00932304" w:rsidRDefault="00932304" w:rsidP="00021230">
            <w:r>
              <w:t>Tenure</w:t>
            </w:r>
          </w:p>
        </w:tc>
        <w:tc>
          <w:tcPr>
            <w:tcW w:w="6588" w:type="dxa"/>
          </w:tcPr>
          <w:p w14:paraId="06C65ED3" w14:textId="77777777" w:rsidR="00932304" w:rsidRDefault="00932304" w:rsidP="00021230">
            <w:r>
              <w:t>A customer’s tenure is stated in months</w:t>
            </w:r>
          </w:p>
        </w:tc>
      </w:tr>
      <w:tr w:rsidR="00932304" w14:paraId="6B0E153C" w14:textId="77777777" w:rsidTr="00021230">
        <w:tc>
          <w:tcPr>
            <w:tcW w:w="2268" w:type="dxa"/>
          </w:tcPr>
          <w:p w14:paraId="73D3EECC" w14:textId="77777777" w:rsidR="00932304" w:rsidRDefault="00932304" w:rsidP="00021230">
            <w:proofErr w:type="spellStart"/>
            <w:r>
              <w:t>PhoneService</w:t>
            </w:r>
            <w:proofErr w:type="spellEnd"/>
          </w:p>
        </w:tc>
        <w:tc>
          <w:tcPr>
            <w:tcW w:w="6588" w:type="dxa"/>
          </w:tcPr>
          <w:p w14:paraId="247D03F8" w14:textId="77777777" w:rsidR="00932304" w:rsidRDefault="00932304" w:rsidP="00021230">
            <w:r>
              <w:t>‘Yes’ or ‘No’</w:t>
            </w:r>
          </w:p>
        </w:tc>
      </w:tr>
      <w:tr w:rsidR="00932304" w14:paraId="5ED96A99" w14:textId="77777777" w:rsidTr="00021230">
        <w:tc>
          <w:tcPr>
            <w:tcW w:w="2268" w:type="dxa"/>
          </w:tcPr>
          <w:p w14:paraId="16519E54" w14:textId="77777777" w:rsidR="00932304" w:rsidRDefault="00932304" w:rsidP="00021230">
            <w:proofErr w:type="spellStart"/>
            <w:r>
              <w:t>MultipleLines</w:t>
            </w:r>
            <w:proofErr w:type="spellEnd"/>
          </w:p>
        </w:tc>
        <w:tc>
          <w:tcPr>
            <w:tcW w:w="6588" w:type="dxa"/>
          </w:tcPr>
          <w:p w14:paraId="5433B5FC" w14:textId="77777777" w:rsidR="00932304" w:rsidRDefault="00932304" w:rsidP="00021230">
            <w:r>
              <w:t>‘Yes’, ‘No’, or ‘No Phone Service’</w:t>
            </w:r>
          </w:p>
        </w:tc>
      </w:tr>
      <w:tr w:rsidR="00932304" w14:paraId="0B597C97" w14:textId="77777777" w:rsidTr="00021230">
        <w:tc>
          <w:tcPr>
            <w:tcW w:w="2268" w:type="dxa"/>
          </w:tcPr>
          <w:p w14:paraId="55DB588E" w14:textId="77777777" w:rsidR="00932304" w:rsidRDefault="00932304" w:rsidP="00021230">
            <w:proofErr w:type="spellStart"/>
            <w:r>
              <w:t>InternetService</w:t>
            </w:r>
            <w:proofErr w:type="spellEnd"/>
          </w:p>
        </w:tc>
        <w:tc>
          <w:tcPr>
            <w:tcW w:w="6588" w:type="dxa"/>
          </w:tcPr>
          <w:p w14:paraId="5AE12BC8" w14:textId="77777777" w:rsidR="00932304" w:rsidRDefault="00932304" w:rsidP="00021230">
            <w:r>
              <w:t>‘No’, ‘DSL’, or ‘Fiber Optic Cable’</w:t>
            </w:r>
          </w:p>
        </w:tc>
      </w:tr>
      <w:tr w:rsidR="00932304" w14:paraId="57630917" w14:textId="77777777" w:rsidTr="00021230">
        <w:tc>
          <w:tcPr>
            <w:tcW w:w="2268" w:type="dxa"/>
          </w:tcPr>
          <w:p w14:paraId="030D53AC" w14:textId="77777777" w:rsidR="00932304" w:rsidRDefault="00932304" w:rsidP="00021230">
            <w:proofErr w:type="spellStart"/>
            <w:r>
              <w:t>OnlineSecurity</w:t>
            </w:r>
            <w:proofErr w:type="spellEnd"/>
          </w:p>
        </w:tc>
        <w:tc>
          <w:tcPr>
            <w:tcW w:w="6588" w:type="dxa"/>
          </w:tcPr>
          <w:p w14:paraId="314FA468" w14:textId="77777777" w:rsidR="00932304" w:rsidRDefault="00932304" w:rsidP="00021230">
            <w:r>
              <w:t>‘No’, ‘DSL’, or ‘Fiber Optic Cable’</w:t>
            </w:r>
          </w:p>
        </w:tc>
      </w:tr>
      <w:tr w:rsidR="00932304" w14:paraId="053160F2" w14:textId="77777777" w:rsidTr="00021230">
        <w:tc>
          <w:tcPr>
            <w:tcW w:w="2268" w:type="dxa"/>
          </w:tcPr>
          <w:p w14:paraId="0D60AA00" w14:textId="77777777" w:rsidR="00932304" w:rsidRDefault="00932304" w:rsidP="00021230">
            <w:proofErr w:type="spellStart"/>
            <w:r>
              <w:t>OnlineBackup</w:t>
            </w:r>
            <w:proofErr w:type="spellEnd"/>
          </w:p>
        </w:tc>
        <w:tc>
          <w:tcPr>
            <w:tcW w:w="6588" w:type="dxa"/>
          </w:tcPr>
          <w:p w14:paraId="50667207" w14:textId="77777777" w:rsidR="00932304" w:rsidRDefault="00932304" w:rsidP="00021230">
            <w:r>
              <w:t>‘Yes’, ‘No’, or ‘No Internet Service’</w:t>
            </w:r>
          </w:p>
        </w:tc>
      </w:tr>
      <w:tr w:rsidR="00932304" w14:paraId="28979A54" w14:textId="77777777" w:rsidTr="00021230">
        <w:tc>
          <w:tcPr>
            <w:tcW w:w="2268" w:type="dxa"/>
          </w:tcPr>
          <w:p w14:paraId="5260D4B1" w14:textId="77777777" w:rsidR="00932304" w:rsidRDefault="00932304" w:rsidP="00021230">
            <w:proofErr w:type="spellStart"/>
            <w:r>
              <w:t>DeviceProtection</w:t>
            </w:r>
            <w:proofErr w:type="spellEnd"/>
          </w:p>
        </w:tc>
        <w:tc>
          <w:tcPr>
            <w:tcW w:w="6588" w:type="dxa"/>
          </w:tcPr>
          <w:p w14:paraId="67CC6DA7" w14:textId="77777777" w:rsidR="00932304" w:rsidRDefault="00932304" w:rsidP="00021230">
            <w:r>
              <w:t>‘Yes’ or ‘No’</w:t>
            </w:r>
          </w:p>
        </w:tc>
      </w:tr>
      <w:tr w:rsidR="00932304" w14:paraId="5AC763F3" w14:textId="77777777" w:rsidTr="00021230">
        <w:tc>
          <w:tcPr>
            <w:tcW w:w="2268" w:type="dxa"/>
          </w:tcPr>
          <w:p w14:paraId="5B084941" w14:textId="77777777" w:rsidR="00932304" w:rsidRDefault="00932304" w:rsidP="00021230">
            <w:proofErr w:type="spellStart"/>
            <w:r>
              <w:t>TechSupport</w:t>
            </w:r>
            <w:proofErr w:type="spellEnd"/>
          </w:p>
        </w:tc>
        <w:tc>
          <w:tcPr>
            <w:tcW w:w="6588" w:type="dxa"/>
          </w:tcPr>
          <w:p w14:paraId="67EF1A0D" w14:textId="77777777" w:rsidR="00932304" w:rsidRDefault="00932304" w:rsidP="00021230">
            <w:r>
              <w:t xml:space="preserve">‘Yes’, ‘No’, or ‘No Internet </w:t>
            </w:r>
            <w:proofErr w:type="gramStart"/>
            <w:r>
              <w:t xml:space="preserve">Service’      </w:t>
            </w:r>
            <w:proofErr w:type="gramEnd"/>
          </w:p>
        </w:tc>
      </w:tr>
      <w:tr w:rsidR="00932304" w14:paraId="03624999" w14:textId="77777777" w:rsidTr="00021230">
        <w:tc>
          <w:tcPr>
            <w:tcW w:w="2268" w:type="dxa"/>
          </w:tcPr>
          <w:p w14:paraId="2E524B74" w14:textId="77777777" w:rsidR="00932304" w:rsidRDefault="00932304" w:rsidP="00021230">
            <w:proofErr w:type="spellStart"/>
            <w:r>
              <w:t>StreamingTV</w:t>
            </w:r>
            <w:proofErr w:type="spellEnd"/>
          </w:p>
        </w:tc>
        <w:tc>
          <w:tcPr>
            <w:tcW w:w="6588" w:type="dxa"/>
          </w:tcPr>
          <w:p w14:paraId="26256361" w14:textId="77777777" w:rsidR="00932304" w:rsidRDefault="00932304" w:rsidP="00021230">
            <w:r>
              <w:t xml:space="preserve">‘Yes’, ‘No’, or ‘No Internet </w:t>
            </w:r>
            <w:proofErr w:type="gramStart"/>
            <w:r>
              <w:t xml:space="preserve">Service’       </w:t>
            </w:r>
            <w:proofErr w:type="gramEnd"/>
          </w:p>
        </w:tc>
      </w:tr>
      <w:tr w:rsidR="00932304" w14:paraId="165FB176" w14:textId="77777777" w:rsidTr="00021230">
        <w:tc>
          <w:tcPr>
            <w:tcW w:w="2268" w:type="dxa"/>
          </w:tcPr>
          <w:p w14:paraId="6CAE1F63" w14:textId="77777777" w:rsidR="00932304" w:rsidRDefault="00932304" w:rsidP="00021230">
            <w:proofErr w:type="spellStart"/>
            <w:r>
              <w:t>StreamingMovies</w:t>
            </w:r>
            <w:proofErr w:type="spellEnd"/>
          </w:p>
        </w:tc>
        <w:tc>
          <w:tcPr>
            <w:tcW w:w="6588" w:type="dxa"/>
          </w:tcPr>
          <w:p w14:paraId="6EF70AA1" w14:textId="77777777" w:rsidR="00932304" w:rsidRDefault="00932304" w:rsidP="00021230">
            <w:r>
              <w:t xml:space="preserve">Yes’, ‘No’, or ‘No Internet </w:t>
            </w:r>
            <w:proofErr w:type="gramStart"/>
            <w:r>
              <w:t xml:space="preserve">Service’  </w:t>
            </w:r>
            <w:proofErr w:type="gramEnd"/>
          </w:p>
        </w:tc>
      </w:tr>
      <w:tr w:rsidR="00932304" w14:paraId="51BFAC50" w14:textId="77777777" w:rsidTr="00021230">
        <w:tc>
          <w:tcPr>
            <w:tcW w:w="2268" w:type="dxa"/>
          </w:tcPr>
          <w:p w14:paraId="7027AFCA" w14:textId="77777777" w:rsidR="00932304" w:rsidRDefault="00932304" w:rsidP="00021230">
            <w:r>
              <w:t>Contract</w:t>
            </w:r>
          </w:p>
        </w:tc>
        <w:tc>
          <w:tcPr>
            <w:tcW w:w="6588" w:type="dxa"/>
          </w:tcPr>
          <w:p w14:paraId="3D8FD3DD" w14:textId="77777777" w:rsidR="00932304" w:rsidRDefault="00932304" w:rsidP="00021230">
            <w:r>
              <w:t>‘Month to Month’, ‘One Year’, or ‘Two Year’</w:t>
            </w:r>
          </w:p>
        </w:tc>
      </w:tr>
      <w:tr w:rsidR="00932304" w14:paraId="0F137AEA" w14:textId="77777777" w:rsidTr="00021230">
        <w:tc>
          <w:tcPr>
            <w:tcW w:w="2268" w:type="dxa"/>
          </w:tcPr>
          <w:p w14:paraId="41424989" w14:textId="77777777" w:rsidR="00932304" w:rsidRDefault="00932304" w:rsidP="00021230">
            <w:proofErr w:type="spellStart"/>
            <w:r>
              <w:t>PaperlessBilling</w:t>
            </w:r>
            <w:proofErr w:type="spellEnd"/>
          </w:p>
        </w:tc>
        <w:tc>
          <w:tcPr>
            <w:tcW w:w="6588" w:type="dxa"/>
          </w:tcPr>
          <w:p w14:paraId="270BE9C2" w14:textId="77777777" w:rsidR="00932304" w:rsidRDefault="00932304" w:rsidP="00021230">
            <w:r>
              <w:t>‘Yes’ or ‘No’</w:t>
            </w:r>
          </w:p>
        </w:tc>
      </w:tr>
      <w:tr w:rsidR="00932304" w14:paraId="22B7ADB5" w14:textId="77777777" w:rsidTr="00021230">
        <w:tc>
          <w:tcPr>
            <w:tcW w:w="2268" w:type="dxa"/>
          </w:tcPr>
          <w:p w14:paraId="795F28C3" w14:textId="77777777" w:rsidR="00932304" w:rsidRDefault="00932304" w:rsidP="00021230">
            <w:proofErr w:type="spellStart"/>
            <w:r>
              <w:t>PaymentMethod</w:t>
            </w:r>
            <w:proofErr w:type="spellEnd"/>
          </w:p>
        </w:tc>
        <w:tc>
          <w:tcPr>
            <w:tcW w:w="6588" w:type="dxa"/>
          </w:tcPr>
          <w:p w14:paraId="52ABC52A" w14:textId="77777777" w:rsidR="00932304" w:rsidRDefault="00932304" w:rsidP="00021230">
            <w:r>
              <w:t>‘Credit card (automatic)', 'Bank transfer (automatic), 'Electronic check', or 'Mailed check'</w:t>
            </w:r>
          </w:p>
        </w:tc>
      </w:tr>
      <w:tr w:rsidR="00932304" w14:paraId="5B3F3B74" w14:textId="77777777" w:rsidTr="00021230">
        <w:tc>
          <w:tcPr>
            <w:tcW w:w="2268" w:type="dxa"/>
          </w:tcPr>
          <w:p w14:paraId="7B8FBD3C" w14:textId="77777777" w:rsidR="00932304" w:rsidRDefault="00932304" w:rsidP="00021230">
            <w:proofErr w:type="spellStart"/>
            <w:r>
              <w:t>MonthlyCharges</w:t>
            </w:r>
            <w:proofErr w:type="spellEnd"/>
          </w:p>
        </w:tc>
        <w:tc>
          <w:tcPr>
            <w:tcW w:w="6588" w:type="dxa"/>
          </w:tcPr>
          <w:p w14:paraId="545BA7BF" w14:textId="77777777" w:rsidR="00932304" w:rsidRDefault="00932304" w:rsidP="00021230">
            <w:r>
              <w:t>The customer’s current monthly rate in dollars</w:t>
            </w:r>
          </w:p>
        </w:tc>
      </w:tr>
      <w:tr w:rsidR="00932304" w14:paraId="04ED5F98" w14:textId="77777777" w:rsidTr="00021230">
        <w:tc>
          <w:tcPr>
            <w:tcW w:w="2268" w:type="dxa"/>
          </w:tcPr>
          <w:p w14:paraId="23D8AEA7" w14:textId="77777777" w:rsidR="00932304" w:rsidRDefault="00932304" w:rsidP="00021230">
            <w:proofErr w:type="spellStart"/>
            <w:r>
              <w:t>TotalCharges</w:t>
            </w:r>
            <w:proofErr w:type="spellEnd"/>
          </w:p>
        </w:tc>
        <w:tc>
          <w:tcPr>
            <w:tcW w:w="6588" w:type="dxa"/>
          </w:tcPr>
          <w:p w14:paraId="4AB10A85" w14:textId="77777777" w:rsidR="00932304" w:rsidRDefault="00932304" w:rsidP="00021230">
            <w:r>
              <w:t>Total amount spent by that customer to date</w:t>
            </w:r>
          </w:p>
        </w:tc>
      </w:tr>
      <w:tr w:rsidR="00932304" w14:paraId="77AF61CA" w14:textId="77777777" w:rsidTr="00021230">
        <w:tc>
          <w:tcPr>
            <w:tcW w:w="2268" w:type="dxa"/>
          </w:tcPr>
          <w:p w14:paraId="21790471" w14:textId="77777777" w:rsidR="00932304" w:rsidRDefault="00932304" w:rsidP="00021230">
            <w:r>
              <w:t>Churn</w:t>
            </w:r>
          </w:p>
        </w:tc>
        <w:tc>
          <w:tcPr>
            <w:tcW w:w="6588" w:type="dxa"/>
          </w:tcPr>
          <w:p w14:paraId="3AAC1BB2" w14:textId="77777777" w:rsidR="00932304" w:rsidRDefault="00932304" w:rsidP="00021230">
            <w:r>
              <w:t>‘Yes’, or ‘No’</w:t>
            </w:r>
          </w:p>
        </w:tc>
      </w:tr>
    </w:tbl>
    <w:p w14:paraId="05FEEC73" w14:textId="77777777" w:rsidR="00932304" w:rsidRDefault="00932304" w:rsidP="00EB307F"/>
    <w:p w14:paraId="338F1A88" w14:textId="40B82E74" w:rsidR="00EB307F" w:rsidRDefault="00EB307F" w:rsidP="00EB307F"/>
    <w:p w14:paraId="06729A68" w14:textId="77777777" w:rsidR="00EB307F" w:rsidRDefault="00EB307F"/>
    <w:sectPr w:rsidR="00EB307F" w:rsidSect="00B559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A6DD4"/>
    <w:multiLevelType w:val="hybridMultilevel"/>
    <w:tmpl w:val="53BE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E7CAC"/>
    <w:multiLevelType w:val="hybridMultilevel"/>
    <w:tmpl w:val="2670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21BB6"/>
    <w:multiLevelType w:val="hybridMultilevel"/>
    <w:tmpl w:val="8094235A"/>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nsid w:val="797B3C20"/>
    <w:multiLevelType w:val="hybridMultilevel"/>
    <w:tmpl w:val="93EEB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10572"/>
    <w:multiLevelType w:val="hybridMultilevel"/>
    <w:tmpl w:val="3290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838"/>
    <w:rsid w:val="001315A2"/>
    <w:rsid w:val="00247A09"/>
    <w:rsid w:val="002C6F96"/>
    <w:rsid w:val="00353F9B"/>
    <w:rsid w:val="0037578F"/>
    <w:rsid w:val="003771CB"/>
    <w:rsid w:val="003E4CDA"/>
    <w:rsid w:val="003F0519"/>
    <w:rsid w:val="004231B8"/>
    <w:rsid w:val="00575838"/>
    <w:rsid w:val="005919C2"/>
    <w:rsid w:val="005A4AA2"/>
    <w:rsid w:val="00655075"/>
    <w:rsid w:val="006831E5"/>
    <w:rsid w:val="00725BE1"/>
    <w:rsid w:val="00746385"/>
    <w:rsid w:val="007C6F1F"/>
    <w:rsid w:val="00811AD1"/>
    <w:rsid w:val="008349E8"/>
    <w:rsid w:val="00840F32"/>
    <w:rsid w:val="00861F18"/>
    <w:rsid w:val="0092210D"/>
    <w:rsid w:val="00932304"/>
    <w:rsid w:val="009448E1"/>
    <w:rsid w:val="00985ADE"/>
    <w:rsid w:val="009B7685"/>
    <w:rsid w:val="00B23D23"/>
    <w:rsid w:val="00B55985"/>
    <w:rsid w:val="00B72DA9"/>
    <w:rsid w:val="00BA27D2"/>
    <w:rsid w:val="00C01700"/>
    <w:rsid w:val="00C36AB7"/>
    <w:rsid w:val="00C37BB4"/>
    <w:rsid w:val="00CB65FD"/>
    <w:rsid w:val="00D04AAE"/>
    <w:rsid w:val="00DB3ECA"/>
    <w:rsid w:val="00DF4516"/>
    <w:rsid w:val="00DF6806"/>
    <w:rsid w:val="00E04680"/>
    <w:rsid w:val="00E5649B"/>
    <w:rsid w:val="00EB307F"/>
    <w:rsid w:val="00F3711B"/>
    <w:rsid w:val="00F53CE3"/>
    <w:rsid w:val="00F53D8E"/>
    <w:rsid w:val="00F70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EF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85"/>
    <w:pPr>
      <w:ind w:left="720"/>
      <w:contextualSpacing/>
    </w:pPr>
  </w:style>
  <w:style w:type="paragraph" w:styleId="BalloonText">
    <w:name w:val="Balloon Text"/>
    <w:basedOn w:val="Normal"/>
    <w:link w:val="BalloonTextChar"/>
    <w:uiPriority w:val="99"/>
    <w:semiHidden/>
    <w:unhideWhenUsed/>
    <w:rsid w:val="00F53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CE3"/>
    <w:rPr>
      <w:rFonts w:ascii="Lucida Grande" w:hAnsi="Lucida Grande" w:cs="Lucida Grande"/>
      <w:sz w:val="18"/>
      <w:szCs w:val="18"/>
    </w:rPr>
  </w:style>
  <w:style w:type="table" w:styleId="TableGrid">
    <w:name w:val="Table Grid"/>
    <w:basedOn w:val="TableNormal"/>
    <w:uiPriority w:val="59"/>
    <w:rsid w:val="00683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85"/>
    <w:pPr>
      <w:ind w:left="720"/>
      <w:contextualSpacing/>
    </w:pPr>
  </w:style>
  <w:style w:type="paragraph" w:styleId="BalloonText">
    <w:name w:val="Balloon Text"/>
    <w:basedOn w:val="Normal"/>
    <w:link w:val="BalloonTextChar"/>
    <w:uiPriority w:val="99"/>
    <w:semiHidden/>
    <w:unhideWhenUsed/>
    <w:rsid w:val="00F53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CE3"/>
    <w:rPr>
      <w:rFonts w:ascii="Lucida Grande" w:hAnsi="Lucida Grande" w:cs="Lucida Grande"/>
      <w:sz w:val="18"/>
      <w:szCs w:val="18"/>
    </w:rPr>
  </w:style>
  <w:style w:type="table" w:styleId="TableGrid">
    <w:name w:val="Table Grid"/>
    <w:basedOn w:val="TableNormal"/>
    <w:uiPriority w:val="59"/>
    <w:rsid w:val="00683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14790">
      <w:bodyDiv w:val="1"/>
      <w:marLeft w:val="0"/>
      <w:marRight w:val="0"/>
      <w:marTop w:val="0"/>
      <w:marBottom w:val="0"/>
      <w:divBdr>
        <w:top w:val="none" w:sz="0" w:space="0" w:color="auto"/>
        <w:left w:val="none" w:sz="0" w:space="0" w:color="auto"/>
        <w:bottom w:val="none" w:sz="0" w:space="0" w:color="auto"/>
        <w:right w:val="none" w:sz="0" w:space="0" w:color="auto"/>
      </w:divBdr>
    </w:div>
    <w:div w:id="1499349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882</Words>
  <Characters>5028</Characters>
  <Application>Microsoft Macintosh Word</Application>
  <DocSecurity>0</DocSecurity>
  <Lines>41</Lines>
  <Paragraphs>11</Paragraphs>
  <ScaleCrop>false</ScaleCrop>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Beville</dc:creator>
  <cp:keywords/>
  <dc:description/>
  <cp:lastModifiedBy>Christopher Beville</cp:lastModifiedBy>
  <cp:revision>26</cp:revision>
  <dcterms:created xsi:type="dcterms:W3CDTF">2019-02-01T18:51:00Z</dcterms:created>
  <dcterms:modified xsi:type="dcterms:W3CDTF">2019-02-05T20:46:00Z</dcterms:modified>
</cp:coreProperties>
</file>