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0032A0"/>
          <w:sz w:val="32"/>
          <w:szCs w:val="32"/>
        </w:rPr>
        <w:t xml:space="preserve">CAS Advanced AI in Marketing HWZ</w:t>
      </w:r>
    </w:p>
    <w:p>
      <w:pPr>
        <w:spacing w:after="60"/>
      </w:pPr>
      <w:r>
        <w:rPr>
          <w:sz w:val="22"/>
          <w:szCs w:val="22"/>
        </w:rPr>
        <w:t xml:space="preserve">Modul: Tag 14 · GenAI Praxisfälle (Marketing &amp; Sales)</w:t>
      </w:r>
    </w:p>
    <w:p>
      <w:pPr>
        <w:spacing w:after="300"/>
      </w:pPr>
      <w:r>
        <w:rPr>
          <w:sz w:val="22"/>
          <w:szCs w:val="22"/>
        </w:rPr>
        <w:t xml:space="preserve">Studiengruppe: MCA-AAIM26-1 (Bezeichnung durch HWZ bestätigen)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1  Allgemeine Informationen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Modulinfo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Dozent/in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Michael Kyburz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Thema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GenAI Praxisfälle (Marketing &amp; Sales)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Block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Praxis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Anzahl Blocktage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Lektionen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8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Unterrichtszeiten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Raum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Infoscreen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Leitidee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Transfertag: Alle Bausteine werden an fremden Marketing- und Sales-Cases angewandt. Das prüft, ob die Methode trägt oder nur das eigene Projekt gelernt wurde.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Ziele &amp; Bewertung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Lernziele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eine personalisierte Kampagne entlang eines fremden Cases bauen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Content-Generierung mit den Bausteinen aus Tag 3 bis 13 anwenden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KPIs am fremden Case auswerten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Kompetenzfelder und Bloom-Stufen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6 Strategische Integration: Analysieren (Stufe 4 von 6)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Feld 4 Kritisches Urteil und Modellwahl: Evaluieren (Stufe 5 von 6)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Beitrag zum Leistungsnachweis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T – Transfer auf fremden Case</w:t>
            </w:r>
          </w:p>
          <w:p>
            <w:r>
              <w:rPr>
                <w:b w:val="false"/>
                <w:bCs w:val="false"/>
                <w:sz w:val="20"/>
                <w:szCs w:val="20"/>
              </w:rPr>
              <w:t xml:space="preserve">Fremder Case im Team. Prüft, ob die Methode über das eigene Projekt hinaus trägt. Unbewertet.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Transfer ins klassische Marketing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Der Transfertag. Alle Bausteine werden an einem Case angewandt, der nicht der eigene ist. Das prüft, ob die Methode trägt oder nur das eigene Projekt gelernt wurde.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Marketing-Disziplinen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Analytics, Content, CRM, E-Mail, SEA, SEO, Social Ads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Quellenverweise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Pflichtliteratur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Skript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Empfohlene Literatur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Siehe separate Liste</w:t>
            </w:r>
          </w:p>
        </w:tc>
      </w:tr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Hinweise für den Tag (jeder Tag steht für sich; Vorlagen im Materialpool auf myHWZ)</w:t>
            </w:r>
          </w:p>
        </w:tc>
      </w:tr>
      <w:tr>
        <w:tc>
          <w:tcPr>
            <w:tcW w:type="dxa" w:w="9000"/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2 bis 3 echte Cases beschaffen (Kunden von BEYONDER, mit Freigabe)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Dozenteninfo: Das in der Matrix genannte Churn-Modell kann nicht geliefert werden (keine Daten). Lernziel gestrichen, Fokus auf Personalisierung und Content-Generierung</w:t>
            </w:r>
          </w:p>
          <w:p>
            <w:pPr>
              <w:pStyle w:val="ListParagraph"/>
              <w:numPr>
                <w:ilvl w:val="0"/>
                <w:numId w:val="2"/>
              </w:numPr>
            </w:pPr>
            <w:r>
              <w:rPr>
                <w:sz w:val="20"/>
                <w:szCs w:val="20"/>
              </w:rPr>
              <w:t xml:space="preserve">Kurzpräsentation im Plenum, unbewertet</w:t>
            </w:r>
          </w:p>
        </w:tc>
      </w:tr>
    </w:tbl>
    <w:p>
      <w:pPr>
        <w:spacing w:after="120" w:before="400"/>
      </w:pPr>
      <w:r>
        <w:rPr>
          <w:b/>
          <w:bCs/>
          <w:sz w:val="24"/>
          <w:szCs w:val="24"/>
        </w:rPr>
        <w:t xml:space="preserve">2  Inhalte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9000"/>
            <w:gridSpan w:val="2"/>
            <w:shd w:fill="E8ECF4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Präsenzlektionen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Datum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Fr 06.11.2026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Zeit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08.15 – 16.45 Uhr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Inhalt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Praxistag: Personalisierung, Content-Generierung entlang echter Marketing- und Sales-Cases.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Besonderes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26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sz w:val="20"/>
                <w:szCs w:val="20"/>
              </w:rPr>
              <w:t xml:space="preserve">Abgabe auf myHWZ</w:t>
            </w:r>
          </w:p>
        </w:tc>
        <w:tc>
          <w:tcPr>
            <w:tcW w:type="dxa" w:w="64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Curriculum 10 Arbeitstage, Präsentation (PDF + PPTX, HWZ-Vorlage) 5 Arbeitstage vor dem Kurstag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00" w:right="1300" w:bottom="10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r>
      <w:rPr>
        <w:color w:val="666666"/>
        <w:sz w:val="16"/>
        <w:szCs w:val="16"/>
      </w:rPr>
      <w:t xml:space="preserve">Curriculum CAS Advanced AI in Marketing HWZ · Herbst 2026 · Vorschlag aus dem Cockpit, vor Abgabe prüfen · Seite </w:t>
    </w:r>
    <w:r>
      <w:rPr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b/>
        <w:bCs/>
        <w:color w:val="0032A0"/>
        <w:sz w:val="18"/>
        <w:szCs w:val="18"/>
      </w:rPr>
      <w:t xml:space="preserve">HWZ Hochschule für Wirtschaft Zürich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2026-08-27T14:42:23.516Z</dcterms:created>
  <dcterms:modified xsi:type="dcterms:W3CDTF">2026-08-27T14:42:23.516Z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