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360" w:firstLine="0"/>
        <w:jc w:val="left"/>
        <w:rPr>
          <w:rFonts w:ascii="Google Sans" w:hAnsi="Google Sans" w:cs="Google Sans" w:eastAsia="Google Sans"/>
          <w:color w:val="434343"/>
          <w:spacing w:val="0"/>
          <w:position w:val="0"/>
          <w:sz w:val="28"/>
          <w:shd w:fill="auto" w:val="clear"/>
        </w:rPr>
      </w:pPr>
      <w:r>
        <w:rPr>
          <w:rFonts w:ascii="Google Sans" w:hAnsi="Google Sans" w:cs="Google Sans" w:eastAsia="Google Sans"/>
          <w:b/>
          <w:color w:val="4A86E8"/>
          <w:spacing w:val="0"/>
          <w:position w:val="0"/>
          <w:sz w:val="40"/>
          <w:shd w:fill="auto" w:val="clear"/>
        </w:rPr>
        <w:t xml:space="preserve">Data leak worksheet</w:t>
      </w:r>
    </w:p>
    <w:p>
      <w:pPr>
        <w:spacing w:before="0" w:after="0" w:line="240"/>
        <w:ind w:right="0" w:left="-360" w:firstLine="0"/>
        <w:jc w:val="left"/>
        <w:rPr>
          <w:rFonts w:ascii="Google Sans" w:hAnsi="Google Sans" w:cs="Google Sans" w:eastAsia="Google Sans"/>
          <w:color w:val="auto"/>
          <w:spacing w:val="0"/>
          <w:position w:val="0"/>
          <w:sz w:val="22"/>
          <w:shd w:fill="auto" w:val="clear"/>
        </w:rPr>
      </w:pPr>
    </w:p>
    <w:p>
      <w:pPr>
        <w:spacing w:before="0" w:after="0" w:line="360"/>
        <w:ind w:right="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Incident summary:</w:t>
      </w:r>
      <w:r>
        <w:rPr>
          <w:rFonts w:ascii="Google Sans" w:hAnsi="Google Sans" w:cs="Google Sans" w:eastAsia="Google Sans"/>
          <w:color w:val="auto"/>
          <w:spacing w:val="0"/>
          <w:position w:val="0"/>
          <w:sz w:val="22"/>
          <w:shd w:fill="auto" w:val="clea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2355"/>
        <w:gridCol w:w="7725"/>
      </w:tblGrid>
      <w:tr>
        <w:trPr>
          <w:trHeight w:val="420" w:hRule="auto"/>
          <w:jc w:val="left"/>
        </w:trPr>
        <w:tc>
          <w:tcPr>
            <w:tcW w:w="235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Control</w:t>
            </w:r>
          </w:p>
        </w:tc>
        <w:tc>
          <w:tcPr>
            <w:tcW w:w="772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Google Sans" w:hAnsi="Google Sans" w:cs="Google Sans" w:eastAsia="Google Sans"/>
                <w:b/>
                <w:color w:val="434343"/>
                <w:spacing w:val="0"/>
                <w:position w:val="0"/>
                <w:sz w:val="22"/>
                <w:shd w:fill="auto" w:val="clear"/>
              </w:rPr>
              <w:t xml:space="preserve">Least privilege</w:t>
            </w:r>
          </w:p>
        </w:tc>
      </w:tr>
      <w:tr>
        <w:trPr>
          <w:trHeight w:val="391" w:hRule="auto"/>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Issue(s)</w:t>
            </w:r>
          </w:p>
        </w:tc>
        <w:tc>
          <w:tcPr>
            <w:tcW w:w="77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What factors contributed to the information leak?</w:t>
            </w:r>
          </w:p>
          <w:p>
            <w:pPr>
              <w:spacing w:before="0" w:after="0" w:line="36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leak occurred due to the manager forgetting to revoke access to the internal folder and the representative mistakenly sharing the wrong link. Lack of oversight and proper access controls contributed to the leak.</w:t>
            </w:r>
          </w:p>
        </w:tc>
      </w:tr>
      <w:tr>
        <w:trPr>
          <w:trHeight w:val="586" w:hRule="auto"/>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Review</w:t>
            </w:r>
          </w:p>
        </w:tc>
        <w:tc>
          <w:tcPr>
            <w:tcW w:w="77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What does NIST SP 800-53: AC-6 address?</w:t>
            </w:r>
          </w:p>
          <w:p>
            <w:pPr>
              <w:spacing w:before="0" w:after="0" w:line="36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NIST SP 800-53: AC-6 addresses the principle of least privilege, ensuring users have only the minimal access necessary to perform their tasks. It emphasizes restricting access based on roles and regularly auditing user privileges to prevent unauthorized access.</w:t>
            </w:r>
          </w:p>
        </w:tc>
      </w:tr>
      <w:tr>
        <w:trPr>
          <w:trHeight w:val="586" w:hRule="auto"/>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Recommendation(s)</w:t>
            </w:r>
          </w:p>
        </w:tc>
        <w:tc>
          <w:tcPr>
            <w:tcW w:w="77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How might the principle of least privilege be improved at the company?</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Automatically revoke access to sensitive resources after a set period.</w:t>
            </w:r>
          </w:p>
          <w:p>
            <w:pPr>
              <w:spacing w:before="0" w:after="0" w:line="36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2. Regularly audit user privileges to ensure access is appropriate and necessary.</w:t>
            </w:r>
          </w:p>
        </w:tc>
      </w:tr>
      <w:tr>
        <w:trPr>
          <w:trHeight w:val="616" w:hRule="auto"/>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Justification</w:t>
            </w:r>
          </w:p>
        </w:tc>
        <w:tc>
          <w:tcPr>
            <w:tcW w:w="77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How might these improvements address the issues?</w:t>
            </w:r>
          </w:p>
          <w:p>
            <w:pPr>
              <w:spacing w:before="0" w:after="0" w:line="36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revoking access would prevent prolonged exposure of sensitive data, while regular audits would ensure that access rights are aligned with current roles and responsibilities, reducing the risk of accidental or intentional data leaks.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keepNext w:val="true"/>
        <w:keepLines w:val="true"/>
        <w:spacing w:before="320" w:after="80" w:line="240"/>
        <w:ind w:right="-360" w:left="-360" w:firstLine="0"/>
        <w:jc w:val="left"/>
        <w:rPr>
          <w:rFonts w:ascii="Google Sans" w:hAnsi="Google Sans" w:cs="Google Sans" w:eastAsia="Google Sans"/>
          <w:b/>
          <w:color w:val="4A86E8"/>
          <w:spacing w:val="0"/>
          <w:position w:val="0"/>
          <w:sz w:val="28"/>
          <w:shd w:fill="auto" w:val="clear"/>
        </w:rPr>
      </w:pPr>
      <w:r>
        <w:rPr>
          <w:rFonts w:ascii="Google Sans" w:hAnsi="Google Sans" w:cs="Google Sans" w:eastAsia="Google Sans"/>
          <w:b/>
          <w:color w:val="4A86E8"/>
          <w:spacing w:val="0"/>
          <w:position w:val="0"/>
          <w:sz w:val="28"/>
          <w:shd w:fill="auto" w:val="clear"/>
        </w:rPr>
        <w:t xml:space="preserve">Security plan snapshot</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695"/>
        <w:gridCol w:w="2370"/>
        <w:gridCol w:w="3360"/>
        <w:gridCol w:w="2640"/>
      </w:tblGrid>
      <w:tr>
        <w:trPr>
          <w:trHeight w:val="1" w:hRule="atLeast"/>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Function</w:t>
            </w:r>
          </w:p>
        </w:tc>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Category</w:t>
            </w:r>
          </w:p>
        </w:tc>
        <w:tc>
          <w:tcPr>
            <w:tcW w:w="3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Subcategory</w:t>
            </w:r>
          </w:p>
        </w:tc>
        <w:tc>
          <w:tcPr>
            <w:tcW w:w="2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Reference(s)</w:t>
            </w:r>
          </w:p>
        </w:tc>
      </w:tr>
      <w:tr>
        <w:trPr>
          <w:trHeight w:val="865" w:hRule="auto"/>
          <w:jc w:val="left"/>
        </w:trPr>
        <w:tc>
          <w:tcPr>
            <w:tcW w:w="1695" w:type="dxa"/>
            <w:tcBorders>
              <w:top w:val="single" w:color="000000" w:sz="8"/>
              <w:left w:val="single" w:color="000000" w:sz="8"/>
              <w:bottom w:val="single" w:color="000000" w:sz="8"/>
              <w:right w:val="single" w:color="000000" w:sz="8"/>
            </w:tcBorders>
            <w:shd w:color="000000" w:fill="d9d2e9" w:val="clear"/>
            <w:tcMar>
              <w:left w:w="100" w:type="dxa"/>
              <w:right w:w="100" w:type="dxa"/>
            </w:tcMar>
            <w:vAlign w:val="top"/>
          </w:tcPr>
          <w:p>
            <w:pPr>
              <w:spacing w:before="0" w:after="0" w:line="240"/>
              <w:ind w:right="-36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Protect</w:t>
            </w:r>
          </w:p>
        </w:tc>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PR.DS: </w:t>
            </w:r>
            <w:r>
              <w:rPr>
                <w:rFonts w:ascii="Google Sans" w:hAnsi="Google Sans" w:cs="Google Sans" w:eastAsia="Google Sans"/>
                <w:i/>
                <w:color w:val="auto"/>
                <w:spacing w:val="0"/>
                <w:position w:val="0"/>
                <w:sz w:val="22"/>
                <w:shd w:fill="auto" w:val="clear"/>
              </w:rPr>
              <w:t xml:space="preserve">Data security</w:t>
            </w:r>
          </w:p>
        </w:tc>
        <w:tc>
          <w:tcPr>
            <w:tcW w:w="3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9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PR.DS-5: </w:t>
            </w:r>
            <w:r>
              <w:rPr>
                <w:rFonts w:ascii="Google Sans" w:hAnsi="Google Sans" w:cs="Google Sans" w:eastAsia="Google Sans"/>
                <w:i/>
                <w:color w:val="auto"/>
                <w:spacing w:val="0"/>
                <w:position w:val="0"/>
                <w:sz w:val="22"/>
                <w:shd w:fill="auto" w:val="clear"/>
              </w:rPr>
              <w:t xml:space="preserve">Protections against data leaks.</w:t>
            </w:r>
          </w:p>
        </w:tc>
        <w:tc>
          <w:tcPr>
            <w:tcW w:w="2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NIST SP 800-53: AC-6</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Calibri" w:hAnsi="Calibri" w:cs="Calibri" w:eastAsia="Calibri"/>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this example, the implemented controls that are used by the manufacturer to protect against data leaks are defined in NIST SP 800-53</w:t>
      </w:r>
      <w:r>
        <w:rPr>
          <w:rFonts w:ascii="Calibri" w:hAnsi="Calibri" w:cs="Calibri" w:eastAsia="Calibri"/>
          <w:color w:val="auto"/>
          <w:spacing w:val="0"/>
          <w:position w:val="0"/>
          <w:sz w:val="22"/>
          <w:shd w:fill="auto" w:val="clear"/>
        </w:rPr>
        <w:t xml:space="preserve">—a set of guidelines for securing the privacy of information systems.</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Note:</w:t>
      </w:r>
      <w:r>
        <w:rPr>
          <w:rFonts w:ascii="Google Sans" w:hAnsi="Google Sans" w:cs="Google Sans" w:eastAsia="Google Sans"/>
          <w:color w:val="auto"/>
          <w:spacing w:val="0"/>
          <w:position w:val="0"/>
          <w:sz w:val="22"/>
          <w:shd w:fill="auto" w:val="clear"/>
        </w:rP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keepNext w:val="true"/>
        <w:keepLines w:val="true"/>
        <w:spacing w:before="320" w:after="80" w:line="240"/>
        <w:ind w:right="-360" w:left="-360" w:firstLine="0"/>
        <w:jc w:val="left"/>
        <w:rPr>
          <w:rFonts w:ascii="Google Sans" w:hAnsi="Google Sans" w:cs="Google Sans" w:eastAsia="Google Sans"/>
          <w:b/>
          <w:color w:val="4A86E8"/>
          <w:spacing w:val="0"/>
          <w:position w:val="0"/>
          <w:sz w:val="28"/>
          <w:shd w:fill="auto" w:val="clear"/>
        </w:rPr>
      </w:pPr>
      <w:r>
        <w:rPr>
          <w:rFonts w:ascii="Google Sans" w:hAnsi="Google Sans" w:cs="Google Sans" w:eastAsia="Google Sans"/>
          <w:b/>
          <w:color w:val="4A86E8"/>
          <w:spacing w:val="0"/>
          <w:position w:val="0"/>
          <w:sz w:val="28"/>
          <w:shd w:fill="auto" w:val="clear"/>
        </w:rPr>
        <w:t xml:space="preserve">NIST SP 800-53: AC-6</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NIST developed SP 800-53 to provide businesses with a customizable information privacy plan. It's a comprehensive resource that describes a wide range of control categories. Each control provides a few key pieces of information:</w:t>
      </w:r>
    </w:p>
    <w:p>
      <w:pPr>
        <w:numPr>
          <w:ilvl w:val="0"/>
          <w:numId w:val="33"/>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Control:</w:t>
      </w:r>
      <w:r>
        <w:rPr>
          <w:rFonts w:ascii="Google Sans" w:hAnsi="Google Sans" w:cs="Google Sans" w:eastAsia="Google Sans"/>
          <w:color w:val="auto"/>
          <w:spacing w:val="0"/>
          <w:position w:val="0"/>
          <w:sz w:val="22"/>
          <w:shd w:fill="auto" w:val="clear"/>
        </w:rPr>
        <w:t xml:space="preserve"> A definition of the security control.</w:t>
      </w:r>
    </w:p>
    <w:p>
      <w:pPr>
        <w:numPr>
          <w:ilvl w:val="0"/>
          <w:numId w:val="33"/>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Discussion:</w:t>
      </w:r>
      <w:r>
        <w:rPr>
          <w:rFonts w:ascii="Google Sans" w:hAnsi="Google Sans" w:cs="Google Sans" w:eastAsia="Google Sans"/>
          <w:color w:val="auto"/>
          <w:spacing w:val="0"/>
          <w:position w:val="0"/>
          <w:sz w:val="22"/>
          <w:shd w:fill="auto" w:val="clear"/>
        </w:rPr>
        <w:t xml:space="preserve"> A description of how the control should be implemented.</w:t>
      </w:r>
    </w:p>
    <w:p>
      <w:pPr>
        <w:numPr>
          <w:ilvl w:val="0"/>
          <w:numId w:val="33"/>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Control enhancements:</w:t>
      </w:r>
      <w:r>
        <w:rPr>
          <w:rFonts w:ascii="Google Sans" w:hAnsi="Google Sans" w:cs="Google Sans" w:eastAsia="Google Sans"/>
          <w:color w:val="auto"/>
          <w:spacing w:val="0"/>
          <w:position w:val="0"/>
          <w:sz w:val="22"/>
          <w:shd w:fill="auto" w:val="clear"/>
        </w:rPr>
        <w:t xml:space="preserve"> A list of suggestions to improve the effectiveness of the control.</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200"/>
        <w:gridCol w:w="8865"/>
      </w:tblGrid>
      <w:tr>
        <w:trPr>
          <w:trHeight w:val="420" w:hRule="auto"/>
          <w:jc w:val="left"/>
        </w:trPr>
        <w:tc>
          <w:tcPr>
            <w:tcW w:w="1200"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36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AC-6</w:t>
            </w:r>
          </w:p>
        </w:tc>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15"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Least Privilege</w:t>
            </w:r>
          </w:p>
        </w:tc>
      </w:tr>
      <w:tr>
        <w:trPr>
          <w:trHeight w:val="420" w:hRule="auto"/>
          <w:jc w:val="left"/>
        </w:trPr>
        <w:tc>
          <w:tcPr>
            <w:tcW w:w="1200"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15" w:left="0" w:firstLine="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Control:</w:t>
            </w:r>
          </w:p>
          <w:p>
            <w:pPr>
              <w:spacing w:before="0" w:after="0" w:line="360"/>
              <w:ind w:right="15"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Only the minimal access and authorization required to complete a task or function should be provided to users.</w:t>
            </w:r>
          </w:p>
        </w:tc>
      </w:tr>
      <w:tr>
        <w:trPr>
          <w:trHeight w:val="420" w:hRule="auto"/>
          <w:jc w:val="left"/>
        </w:trPr>
        <w:tc>
          <w:tcPr>
            <w:tcW w:w="1200"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15"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Discussion:</w:t>
            </w:r>
          </w:p>
          <w:p>
            <w:pPr>
              <w:spacing w:before="0" w:after="0" w:line="360"/>
              <w:ind w:right="15"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Processes, user accounts, and roles should be enforced as necessary to achieve least privilege. The intention is to prevent a user from operating at privilege levels higher than what is necessary to accomplish business objectives.</w:t>
            </w:r>
          </w:p>
        </w:tc>
      </w:tr>
      <w:tr>
        <w:trPr>
          <w:trHeight w:val="420" w:hRule="auto"/>
          <w:jc w:val="left"/>
        </w:trPr>
        <w:tc>
          <w:tcPr>
            <w:tcW w:w="1200"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15"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Control enhancements:</w:t>
            </w:r>
          </w:p>
          <w:p>
            <w:pPr>
              <w:numPr>
                <w:ilvl w:val="0"/>
                <w:numId w:val="48"/>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Restrict access to sensitive resources based on user role.</w:t>
            </w:r>
          </w:p>
          <w:p>
            <w:pPr>
              <w:numPr>
                <w:ilvl w:val="0"/>
                <w:numId w:val="48"/>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Automatically revoke access to information after a period of time.</w:t>
            </w:r>
          </w:p>
          <w:p>
            <w:pPr>
              <w:numPr>
                <w:ilvl w:val="0"/>
                <w:numId w:val="48"/>
              </w:numPr>
              <w:spacing w:before="0" w:after="0" w:line="360"/>
              <w:ind w:right="-36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Keep activity logs of provisioned user accounts.</w:t>
            </w:r>
          </w:p>
          <w:p>
            <w:pPr>
              <w:numPr>
                <w:ilvl w:val="0"/>
                <w:numId w:val="48"/>
              </w:numPr>
              <w:spacing w:before="0" w:after="0" w:line="360"/>
              <w:ind w:right="-360" w:left="720" w:hanging="36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Regularly audit user privileges.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Note:</w:t>
      </w:r>
      <w:r>
        <w:rPr>
          <w:rFonts w:ascii="Google Sans" w:hAnsi="Google Sans" w:cs="Google Sans" w:eastAsia="Google Sans"/>
          <w:color w:val="auto"/>
          <w:spacing w:val="0"/>
          <w:position w:val="0"/>
          <w:sz w:val="22"/>
          <w:shd w:fill="auto" w:val="clear"/>
        </w:rPr>
        <w:t xml:space="preserve"> In the category of access controls, SP 800-53 lists least privilege sixth, i.e. AC-6.</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3">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