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pPr>
      <w:r>
        <w:rPr>
          <w:b/>
          <w:color w:val="087E8B"/>
          <w:sz w:val="26"/>
        </w:rPr>
        <w:t>SYMGOV</w:t>
      </w:r>
    </w:p>
    <w:p>
      <w:pPr>
        <w:pStyle w:val="Title"/>
        <w:spacing w:before="520" w:after="40"/>
      </w:pPr>
      <w:r>
        <w:t>Engineering Symbol Sources</w:t>
      </w:r>
    </w:p>
    <w:p>
      <w:pPr>
        <w:pStyle w:val="Title"/>
        <w:spacing w:before="0" w:after="280"/>
      </w:pPr>
      <w:r>
        <w:t>Deep Research Report</w:t>
      </w:r>
    </w:p>
    <w:p>
      <w:pPr>
        <w:pStyle w:val="Subtitle"/>
        <w:spacing w:after="360"/>
      </w:pPr>
      <w:r>
        <w:t>Authoritative standards, vendor implementations, owner/operator practices, open libraries, licensing and ingestion strategy</w:t>
      </w:r>
    </w:p>
    <w:tbl>
      <w:tblPr>
        <w:tblW w:type="auto" w:w="0"/>
        <w:jc w:val="center"/>
        <w:tblLayout w:type="fixed"/>
        <w:tblLook w:firstColumn="1" w:firstRow="1" w:lastColumn="0" w:lastRow="0" w:noHBand="0" w:noVBand="1" w:val="04A0"/>
      </w:tblPr>
      <w:tblGrid>
        <w:gridCol w:w="9411"/>
      </w:tblGrid>
      <w:tr>
        <w:trPr>
          <w:cantSplit/>
        </w:trPr>
        <w:tc>
          <w:tcPr>
            <w:tcW w:type="dxa" w:w="9866"/>
            <w:shd w:fill="EAF2F8"/>
            <w:tcMar>
              <w:top w:w="150" w:type="dxa"/>
              <w:start w:w="180" w:type="dxa"/>
              <w:bottom w:w="150" w:type="dxa"/>
              <w:end w:w="180" w:type="dxa"/>
            </w:tcMar>
            <w:tcBorders>
              <w:top w:val="single" w:sz="8" w:color="2B6F9F"/>
              <w:left w:val="single" w:sz="8" w:color="2B6F9F"/>
              <w:bottom w:val="single" w:sz="8" w:color="2B6F9F"/>
              <w:right w:val="single" w:sz="8" w:color="2B6F9F"/>
            </w:tcBorders>
          </w:tcPr>
          <w:p>
            <w:pPr>
              <w:spacing w:after="60"/>
            </w:pPr>
            <w:r>
              <w:rPr>
                <w:b/>
                <w:color w:val="163A5F"/>
                <w:sz w:val="20"/>
              </w:rPr>
              <w:t>Research objective</w:t>
            </w:r>
          </w:p>
          <w:p>
            <w:pPr>
              <w:spacing w:after="0" w:line="252" w:lineRule="auto"/>
            </w:pPr>
            <w:r>
              <w:t>Identify, evaluate and rank the world's most authoritative engineering symbol sources as potential inputs to SymGov, including the organisations that define or govern them. Assess authority, adoption, quality, licensing, machine readability and ingestion fit; then define a licensing, provenance and partnership roadmap.</w:t>
            </w:r>
          </w:p>
        </w:tc>
      </w:tr>
    </w:tbl>
    <w:p/>
    <w:tbl>
      <w:tblPr>
        <w:tblW w:type="auto" w:w="0"/>
        <w:jc w:val="left"/>
        <w:tblLayout w:type="fixed"/>
        <w:tblLook w:firstColumn="1" w:firstRow="1" w:lastColumn="0" w:lastRow="0" w:noHBand="0" w:noVBand="1" w:val="04A0"/>
      </w:tblPr>
      <w:tblGrid>
        <w:gridCol w:w="4933"/>
        <w:gridCol w:w="4933"/>
      </w:tblGrid>
      <w:tr>
        <w:trPr>
          <w:cantSplit/>
        </w:trPr>
        <w:tc>
          <w:tcPr>
            <w:tcW w:type="dxa" w:w="2098"/>
            <w:shd w:fill="F2F4F5"/>
            <w:tcMar>
              <w:top w:w="100" w:type="dxa"/>
              <w:start w:w="120" w:type="dxa"/>
              <w:bottom w:w="100" w:type="dxa"/>
              <w:end w:w="120" w:type="dxa"/>
            </w:tcMar>
          </w:tcPr>
          <w:p>
            <w:r>
              <w:rPr>
                <w:b/>
              </w:rPr>
              <w:t>Date</w:t>
            </w:r>
          </w:p>
        </w:tc>
        <w:tc>
          <w:tcPr>
            <w:tcW w:type="dxa" w:w="7143"/>
            <w:tcMar>
              <w:top w:w="100" w:type="dxa"/>
              <w:start w:w="120" w:type="dxa"/>
              <w:bottom w:w="100" w:type="dxa"/>
              <w:end w:w="120" w:type="dxa"/>
            </w:tcMar>
          </w:tcPr>
          <w:p>
            <w:r>
              <w:t>5 September 2026</w:t>
            </w:r>
          </w:p>
        </w:tc>
      </w:tr>
      <w:tr>
        <w:trPr>
          <w:cantSplit/>
        </w:trPr>
        <w:tc>
          <w:tcPr>
            <w:tcW w:type="dxa" w:w="2098"/>
            <w:shd w:fill="F2F4F5"/>
            <w:tcMar>
              <w:top w:w="100" w:type="dxa"/>
              <w:start w:w="120" w:type="dxa"/>
              <w:bottom w:w="100" w:type="dxa"/>
              <w:end w:w="120" w:type="dxa"/>
            </w:tcMar>
          </w:tcPr>
          <w:p>
            <w:r>
              <w:rPr>
                <w:b/>
              </w:rPr>
              <w:t>Audience</w:t>
            </w:r>
          </w:p>
        </w:tc>
        <w:tc>
          <w:tcPr>
            <w:tcW w:type="dxa" w:w="7143"/>
            <w:tcMar>
              <w:top w:w="100" w:type="dxa"/>
              <w:start w:w="120" w:type="dxa"/>
              <w:bottom w:w="100" w:type="dxa"/>
              <w:end w:w="120" w:type="dxa"/>
            </w:tcMar>
          </w:tcPr>
          <w:p>
            <w:r>
              <w:t>SymGov product, engineering and commercial planning</w:t>
            </w:r>
          </w:p>
        </w:tc>
      </w:tr>
      <w:tr>
        <w:trPr>
          <w:cantSplit/>
        </w:trPr>
        <w:tc>
          <w:tcPr>
            <w:tcW w:type="dxa" w:w="2098"/>
            <w:shd w:fill="F2F4F5"/>
            <w:tcMar>
              <w:top w:w="100" w:type="dxa"/>
              <w:start w:w="120" w:type="dxa"/>
              <w:bottom w:w="100" w:type="dxa"/>
              <w:end w:w="120" w:type="dxa"/>
            </w:tcMar>
          </w:tcPr>
          <w:p>
            <w:r>
              <w:rPr>
                <w:b/>
              </w:rPr>
              <w:t>Geography</w:t>
            </w:r>
          </w:p>
        </w:tc>
        <w:tc>
          <w:tcPr>
            <w:tcW w:type="dxa" w:w="7143"/>
            <w:tcMar>
              <w:top w:w="100" w:type="dxa"/>
              <w:start w:w="120" w:type="dxa"/>
              <w:bottom w:w="100" w:type="dxa"/>
              <w:end w:w="120" w:type="dxa"/>
            </w:tcMar>
          </w:tcPr>
          <w:p>
            <w:r>
              <w:t>Global, with process, electrical, mechanical and owner/operator coverage</w:t>
            </w:r>
          </w:p>
        </w:tc>
      </w:tr>
      <w:tr>
        <w:trPr>
          <w:cantSplit/>
        </w:trPr>
        <w:tc>
          <w:tcPr>
            <w:tcW w:type="dxa" w:w="2098"/>
            <w:shd w:fill="F2F4F5"/>
            <w:tcMar>
              <w:top w:w="100" w:type="dxa"/>
              <w:start w:w="120" w:type="dxa"/>
              <w:bottom w:w="100" w:type="dxa"/>
              <w:end w:w="120" w:type="dxa"/>
            </w:tcMar>
          </w:tcPr>
          <w:p>
            <w:r>
              <w:rPr>
                <w:b/>
              </w:rPr>
              <w:t>Evidence base</w:t>
            </w:r>
          </w:p>
        </w:tc>
        <w:tc>
          <w:tcPr>
            <w:tcW w:type="dxa" w:w="7143"/>
            <w:tcMar>
              <w:top w:w="100" w:type="dxa"/>
              <w:start w:w="120" w:type="dxa"/>
              <w:bottom w:w="100" w:type="dxa"/>
              <w:end w:w="120" w:type="dxa"/>
            </w:tcMar>
          </w:tcPr>
          <w:p>
            <w:r>
              <w:t>Primary standards-body, vendor, owner/operator and open-source documentation</w:t>
            </w:r>
          </w:p>
        </w:tc>
      </w:tr>
    </w:tbl>
    <w:p>
      <w:pPr>
        <w:spacing w:before="400"/>
      </w:pPr>
      <w:r>
        <w:rPr>
          <w:color w:val="64717D"/>
          <w:sz w:val="18"/>
        </w:rPr>
        <w:t>Prepared as a decision document for source acquisition, partnership and ingestion architecture.</w:t>
      </w:r>
    </w:p>
    <w:p>
      <w:r>
        <w:br w:type="page"/>
      </w:r>
    </w:p>
    <w:p>
      <w:pPr>
        <w:pStyle w:val="Heading1"/>
        <w:keepNext/>
      </w:pPr>
      <w:r>
        <w:t>Executive summary</w:t>
      </w:r>
    </w:p>
    <w:tbl>
      <w:tblPr>
        <w:tblW w:type="auto" w:w="0"/>
        <w:jc w:val="center"/>
        <w:tblLayout w:type="fixed"/>
        <w:tblLook w:firstColumn="1" w:firstRow="1" w:lastColumn="0" w:lastRow="0" w:noHBand="0" w:noVBand="1" w:val="04A0"/>
      </w:tblPr>
      <w:tblGrid>
        <w:gridCol w:w="9411"/>
      </w:tblGrid>
      <w:tr>
        <w:trPr>
          <w:cantSplit/>
        </w:trPr>
        <w:tc>
          <w:tcPr>
            <w:tcW w:type="dxa" w:w="9866"/>
            <w:shd w:fill="E8F4F4"/>
            <w:tcMar>
              <w:top w:w="150" w:type="dxa"/>
              <w:start w:w="180" w:type="dxa"/>
              <w:bottom w:w="150" w:type="dxa"/>
              <w:end w:w="180" w:type="dxa"/>
            </w:tcMar>
            <w:tcBorders>
              <w:top w:val="single" w:sz="8" w:color="087E8B"/>
              <w:left w:val="single" w:sz="8" w:color="087E8B"/>
              <w:bottom w:val="single" w:sz="8" w:color="087E8B"/>
              <w:right w:val="single" w:sz="8" w:color="087E8B"/>
            </w:tcBorders>
          </w:tcPr>
          <w:p>
            <w:pPr>
              <w:spacing w:after="60"/>
            </w:pPr>
            <w:r>
              <w:rPr>
                <w:b/>
                <w:color w:val="163A5F"/>
                <w:sz w:val="20"/>
              </w:rPr>
              <w:t>Core conclusion</w:t>
            </w:r>
          </w:p>
          <w:p>
            <w:pPr>
              <w:spacing w:after="0" w:line="252" w:lineRule="auto"/>
            </w:pPr>
            <w:r>
              <w:t>SymGov should not become an undifferentiated image library. The defensible product is a provenance-first engineering symbol governance network: a neutral concept layer linked to each standard-specific graphical representation, vendor implementation, company deviation and project-approved variant.</w:t>
            </w:r>
          </w:p>
        </w:tc>
      </w:tr>
    </w:tbl>
    <w:p>
      <w:pPr>
        <w:keepLines/>
      </w:pPr>
      <w:r>
        <w:t>There is no single authoritative global engineering-symbol corpus that SymGov can safely ingest and redistribute. The most authoritative sources are split by discipline and geography, and most protected standards require a commercial licence for digital platform integration.</w:t>
      </w:r>
    </w:p>
    <w:p>
      <w:pPr>
        <w:keepLines/>
      </w:pPr>
      <w:r>
        <w:t>The highest-priority canonical sources are IEC 60617, ISO 14617-2, ANSI/ISA-5.1, ISO 10628-2, NORSOK Z-004:2025, PIP process-control practices and ISO 1219-1. These should define provenance and meaning; vendor and company libraries should be treated as implementations or deviations, not silent replacements for the standards.</w:t>
      </w:r>
    </w:p>
    <w:p>
      <w:pPr>
        <w:keepLines/>
      </w:pPr>
      <w:r>
        <w:t>DEXPI 2.0 is strategically exceptional. It explicitly is not a drawing standard, but provides an open, vendor-neutral plant information model, DEXPI XML, graphical-object linking and an ISO 15926-compatible reference data library. That makes it an excellent semantic bridge underneath the graphical catalogue.</w:t>
      </w:r>
    </w:p>
    <w:p>
      <w:pPr>
        <w:keepLines/>
      </w:pPr>
      <w:r>
        <w:t>There is strong precedent for commercial licensing. Autodesk explicitly documents that Plant 3D uses P&amp;ID symbols under licence from PIP, ISA, ISO and DIN, and JIS symbols by permission. SymGov should therefore approach standards bodies with a controlled digital-distribution proposition rather than attempting to recreate protected sets.</w:t>
      </w:r>
    </w:p>
    <w:p>
      <w:pPr>
        <w:keepLines/>
      </w:pPr>
      <w:r>
        <w:t>Open libraries are useful for proving ingestion technology but should not be confused with normative authority. QElectroTech is highly ingestible but carries an explicit no-machine-learning-training condition; KiCad is machine-readable but CC BY-SA collection obligations require segregation or compatible redistribution.</w:t>
      </w:r>
    </w:p>
    <w:p>
      <w:pPr>
        <w:pStyle w:val="Heading2"/>
        <w:keepNext/>
      </w:pPr>
      <w:r>
        <w:t>Recommended source strategy at a glance</w:t>
      </w:r>
    </w:p>
    <w:tbl>
      <w:tblPr>
        <w:tblW w:type="auto" w:w="0"/>
        <w:jc w:val="center"/>
        <w:tblLayout w:type="fixed"/>
        <w:tblLook w:firstColumn="1" w:firstRow="1" w:lastColumn="0" w:lastRow="0" w:noHBand="0" w:noVBand="1" w:val="04A0"/>
      </w:tblPr>
      <w:tblGrid>
        <w:gridCol w:w="1701"/>
        <w:gridCol w:w="2268"/>
        <w:gridCol w:w="3118"/>
        <w:gridCol w:w="2268"/>
      </w:tblGrid>
      <w:tr>
        <w:trPr>
          <w:tblHeader w:val="true"/>
          <w:cantSplit/>
        </w:trPr>
        <w:tc>
          <w:tcPr>
            <w:tcW w:type="dxa" w:w="2466"/>
            <w:shd w:fill="163A5F"/>
          </w:tcPr>
          <w:p>
            <w:r>
              <w:rPr>
                <w:b/>
                <w:color w:val="FFFFFF"/>
              </w:rPr>
              <w:t>Layer</w:t>
            </w:r>
          </w:p>
        </w:tc>
        <w:tc>
          <w:tcPr>
            <w:tcW w:type="dxa" w:w="2466"/>
            <w:shd w:fill="163A5F"/>
          </w:tcPr>
          <w:p>
            <w:r>
              <w:rPr>
                <w:b/>
                <w:color w:val="FFFFFF"/>
              </w:rPr>
              <w:t>Purpose</w:t>
            </w:r>
          </w:p>
        </w:tc>
        <w:tc>
          <w:tcPr>
            <w:tcW w:type="dxa" w:w="2466"/>
            <w:shd w:fill="163A5F"/>
          </w:tcPr>
          <w:p>
            <w:r>
              <w:rPr>
                <w:b/>
                <w:color w:val="FFFFFF"/>
              </w:rPr>
              <w:t>Priority sources</w:t>
            </w:r>
          </w:p>
        </w:tc>
        <w:tc>
          <w:tcPr>
            <w:tcW w:type="dxa" w:w="2466"/>
            <w:shd w:fill="163A5F"/>
          </w:tcPr>
          <w:p>
            <w:r>
              <w:rPr>
                <w:b/>
                <w:color w:val="FFFFFF"/>
              </w:rPr>
              <w:t>Treatment</w:t>
            </w:r>
          </w:p>
        </w:tc>
      </w:tr>
      <w:tr>
        <w:trPr>
          <w:cantSplit/>
        </w:trPr>
        <w:tc>
          <w:tcPr>
            <w:tcW w:type="dxa" w:w="1701"/>
            <w:tcMar>
              <w:top w:w="80" w:type="dxa"/>
              <w:start w:w="100" w:type="dxa"/>
              <w:bottom w:w="80" w:type="dxa"/>
              <w:end w:w="100" w:type="dxa"/>
            </w:tcMar>
          </w:tcPr>
          <w:p>
            <w:r>
              <w:t>Canonical graphics</w:t>
            </w:r>
          </w:p>
        </w:tc>
        <w:tc>
          <w:tcPr>
            <w:tcW w:type="dxa" w:w="2268"/>
            <w:tcMar>
              <w:top w:w="80" w:type="dxa"/>
              <w:start w:w="100" w:type="dxa"/>
              <w:bottom w:w="80" w:type="dxa"/>
              <w:end w:w="100" w:type="dxa"/>
            </w:tcMar>
          </w:tcPr>
          <w:p>
            <w:r>
              <w:t>What a governed symbol means/looks like under a standard</w:t>
            </w:r>
          </w:p>
        </w:tc>
        <w:tc>
          <w:tcPr>
            <w:tcW w:type="dxa" w:w="3118"/>
            <w:tcMar>
              <w:top w:w="80" w:type="dxa"/>
              <w:start w:w="100" w:type="dxa"/>
              <w:bottom w:w="80" w:type="dxa"/>
              <w:end w:w="100" w:type="dxa"/>
            </w:tcMar>
          </w:tcPr>
          <w:p>
            <w:r>
              <w:t>IEC 60617; ISO 14617-2; ISA-5.1; ISO 10628-2; NORSOK Z-004; PIP; ISO 1219-1</w:t>
            </w:r>
          </w:p>
        </w:tc>
        <w:tc>
          <w:tcPr>
            <w:tcW w:type="dxa" w:w="2268"/>
            <w:tcMar>
              <w:top w:w="80" w:type="dxa"/>
              <w:start w:w="100" w:type="dxa"/>
              <w:bottom w:w="80" w:type="dxa"/>
              <w:end w:w="100" w:type="dxa"/>
            </w:tcMar>
          </w:tcPr>
          <w:p>
            <w:r>
              <w:t>Licence/partnership; immutable editioning</w:t>
            </w:r>
          </w:p>
        </w:tc>
      </w:tr>
      <w:tr>
        <w:trPr>
          <w:cantSplit/>
        </w:trPr>
        <w:tc>
          <w:tcPr>
            <w:tcW w:type="dxa" w:w="1701"/>
            <w:tcMar>
              <w:top w:w="80" w:type="dxa"/>
              <w:start w:w="100" w:type="dxa"/>
              <w:bottom w:w="80" w:type="dxa"/>
              <w:end w:w="100" w:type="dxa"/>
            </w:tcMar>
            <w:shd w:fill="F2F4F5"/>
          </w:tcPr>
          <w:p>
            <w:r>
              <w:t>Semantic backbone</w:t>
            </w:r>
          </w:p>
        </w:tc>
        <w:tc>
          <w:tcPr>
            <w:tcW w:type="dxa" w:w="2268"/>
            <w:tcMar>
              <w:top w:w="80" w:type="dxa"/>
              <w:start w:w="100" w:type="dxa"/>
              <w:bottom w:w="80" w:type="dxa"/>
              <w:end w:w="100" w:type="dxa"/>
            </w:tcMar>
            <w:shd w:fill="F2F4F5"/>
          </w:tcPr>
          <w:p>
            <w:r>
              <w:t>Neutral concept IDs and cross-standard equivalence</w:t>
            </w:r>
          </w:p>
        </w:tc>
        <w:tc>
          <w:tcPr>
            <w:tcW w:type="dxa" w:w="3118"/>
            <w:tcMar>
              <w:top w:w="80" w:type="dxa"/>
              <w:start w:w="100" w:type="dxa"/>
              <w:bottom w:w="80" w:type="dxa"/>
              <w:end w:w="100" w:type="dxa"/>
            </w:tcMar>
            <w:shd w:fill="F2F4F5"/>
          </w:tcPr>
          <w:p>
            <w:r>
              <w:t>DEXPI RDL / ISO 15926; CFIHOS</w:t>
            </w:r>
          </w:p>
        </w:tc>
        <w:tc>
          <w:tcPr>
            <w:tcW w:type="dxa" w:w="2268"/>
            <w:tcMar>
              <w:top w:w="80" w:type="dxa"/>
              <w:start w:w="100" w:type="dxa"/>
              <w:bottom w:w="80" w:type="dxa"/>
              <w:end w:w="100" w:type="dxa"/>
            </w:tcMar>
            <w:shd w:fill="F2F4F5"/>
          </w:tcPr>
          <w:p>
            <w:r>
              <w:t>Open ingest or rights-confirmed metadata</w:t>
            </w:r>
          </w:p>
        </w:tc>
      </w:tr>
      <w:tr>
        <w:trPr>
          <w:cantSplit/>
        </w:trPr>
        <w:tc>
          <w:tcPr>
            <w:tcW w:type="dxa" w:w="1701"/>
            <w:tcMar>
              <w:top w:w="80" w:type="dxa"/>
              <w:start w:w="100" w:type="dxa"/>
              <w:bottom w:w="80" w:type="dxa"/>
              <w:end w:w="100" w:type="dxa"/>
            </w:tcMar>
          </w:tcPr>
          <w:p>
            <w:r>
              <w:t>Implementation truth</w:t>
            </w:r>
          </w:p>
        </w:tc>
        <w:tc>
          <w:tcPr>
            <w:tcW w:type="dxa" w:w="2268"/>
            <w:tcMar>
              <w:top w:w="80" w:type="dxa"/>
              <w:start w:w="100" w:type="dxa"/>
              <w:bottom w:w="80" w:type="dxa"/>
              <w:end w:w="100" w:type="dxa"/>
            </w:tcMar>
          </w:tcPr>
          <w:p>
            <w:r>
              <w:t>How symbols exist in engineering tools</w:t>
            </w:r>
          </w:p>
        </w:tc>
        <w:tc>
          <w:tcPr>
            <w:tcW w:type="dxa" w:w="3118"/>
            <w:tcMar>
              <w:top w:w="80" w:type="dxa"/>
              <w:start w:w="100" w:type="dxa"/>
              <w:bottom w:w="80" w:type="dxa"/>
              <w:end w:w="100" w:type="dxa"/>
            </w:tcMar>
          </w:tcPr>
          <w:p>
            <w:r>
              <w:t>Autodesk; Hexagon; Siemens; AVEVA; Bentley</w:t>
            </w:r>
          </w:p>
        </w:tc>
        <w:tc>
          <w:tcPr>
            <w:tcW w:type="dxa" w:w="2268"/>
            <w:tcMar>
              <w:top w:w="80" w:type="dxa"/>
              <w:start w:w="100" w:type="dxa"/>
              <w:bottom w:w="80" w:type="dxa"/>
              <w:end w:w="100" w:type="dxa"/>
            </w:tcMar>
          </w:tcPr>
          <w:p>
            <w:r>
              <w:t>Vendor mappings; sanctioned exports</w:t>
            </w:r>
          </w:p>
        </w:tc>
      </w:tr>
      <w:tr>
        <w:trPr>
          <w:cantSplit/>
        </w:trPr>
        <w:tc>
          <w:tcPr>
            <w:tcW w:type="dxa" w:w="1701"/>
            <w:tcMar>
              <w:top w:w="80" w:type="dxa"/>
              <w:start w:w="100" w:type="dxa"/>
              <w:bottom w:w="80" w:type="dxa"/>
              <w:end w:w="100" w:type="dxa"/>
            </w:tcMar>
            <w:shd w:fill="F2F4F5"/>
          </w:tcPr>
          <w:p>
            <w:r>
              <w:t>Corporate/project overlays</w:t>
            </w:r>
          </w:p>
        </w:tc>
        <w:tc>
          <w:tcPr>
            <w:tcW w:type="dxa" w:w="2268"/>
            <w:tcMar>
              <w:top w:w="80" w:type="dxa"/>
              <w:start w:w="100" w:type="dxa"/>
              <w:bottom w:w="80" w:type="dxa"/>
              <w:end w:w="100" w:type="dxa"/>
            </w:tcMar>
            <w:shd w:fill="F2F4F5"/>
          </w:tcPr>
          <w:p>
            <w:r>
              <w:t>Owner/EPC deviations and approved project sets</w:t>
            </w:r>
          </w:p>
        </w:tc>
        <w:tc>
          <w:tcPr>
            <w:tcW w:type="dxa" w:w="3118"/>
            <w:tcMar>
              <w:top w:w="80" w:type="dxa"/>
              <w:start w:w="100" w:type="dxa"/>
              <w:bottom w:w="80" w:type="dxa"/>
              <w:end w:w="100" w:type="dxa"/>
            </w:tcMar>
            <w:shd w:fill="F2F4F5"/>
          </w:tcPr>
          <w:p>
            <w:r>
              <w:t>Equinor; ADNOC; NORSOK operator additions; EPC libraries</w:t>
            </w:r>
          </w:p>
        </w:tc>
        <w:tc>
          <w:tcPr>
            <w:tcW w:type="dxa" w:w="2268"/>
            <w:tcMar>
              <w:top w:w="80" w:type="dxa"/>
              <w:start w:w="100" w:type="dxa"/>
              <w:bottom w:w="80" w:type="dxa"/>
              <w:end w:w="100" w:type="dxa"/>
            </w:tcMar>
            <w:shd w:fill="F2F4F5"/>
          </w:tcPr>
          <w:p>
            <w:r>
              <w:t>Private namespaces; explicit provenance</w:t>
            </w:r>
          </w:p>
        </w:tc>
      </w:tr>
      <w:tr>
        <w:trPr>
          <w:cantSplit/>
        </w:trPr>
        <w:tc>
          <w:tcPr>
            <w:tcW w:type="dxa" w:w="1701"/>
            <w:tcMar>
              <w:top w:w="80" w:type="dxa"/>
              <w:start w:w="100" w:type="dxa"/>
              <w:bottom w:w="80" w:type="dxa"/>
              <w:end w:w="100" w:type="dxa"/>
            </w:tcMar>
          </w:tcPr>
          <w:p>
            <w:r>
              <w:t>Open bootstrap</w:t>
            </w:r>
          </w:p>
        </w:tc>
        <w:tc>
          <w:tcPr>
            <w:tcW w:type="dxa" w:w="2268"/>
            <w:tcMar>
              <w:top w:w="80" w:type="dxa"/>
              <w:start w:w="100" w:type="dxa"/>
              <w:bottom w:w="80" w:type="dxa"/>
              <w:end w:w="100" w:type="dxa"/>
            </w:tcMar>
          </w:tcPr>
          <w:p>
            <w:r>
              <w:t>Parser/normalizer/QA test data</w:t>
            </w:r>
          </w:p>
        </w:tc>
        <w:tc>
          <w:tcPr>
            <w:tcW w:type="dxa" w:w="3118"/>
            <w:tcMar>
              <w:top w:w="80" w:type="dxa"/>
              <w:start w:w="100" w:type="dxa"/>
              <w:bottom w:w="80" w:type="dxa"/>
              <w:end w:w="100" w:type="dxa"/>
            </w:tcMar>
          </w:tcPr>
          <w:p>
            <w:r>
              <w:t>QElectroTech; KiCad</w:t>
            </w:r>
          </w:p>
        </w:tc>
        <w:tc>
          <w:tcPr>
            <w:tcW w:type="dxa" w:w="2268"/>
            <w:tcMar>
              <w:top w:w="80" w:type="dxa"/>
              <w:start w:w="100" w:type="dxa"/>
              <w:bottom w:w="80" w:type="dxa"/>
              <w:end w:w="100" w:type="dxa"/>
            </w:tcMar>
          </w:tcPr>
          <w:p>
            <w:r>
              <w:t>Licence-segregated technical proof</w:t>
            </w:r>
          </w:p>
        </w:tc>
      </w:tr>
    </w:tbl>
    <w:p>
      <w:pPr>
        <w:pStyle w:val="Heading1"/>
        <w:keepNext/>
      </w:pPr>
      <w:r>
        <w:t>Scope, method and scoring</w:t>
      </w:r>
    </w:p>
    <w:p>
      <w:r>
        <w:t>The research treats a “source” broadly: the standard or organisation that governs a symbol, the vendor implementation that operationalises it, the owner/operator or EPC layer that creates approved deviations, and open libraries that can accelerate technical ingestion. Primary evidence was prioritised throughout.</w:t>
      </w:r>
    </w:p>
    <w:p>
      <w:pPr>
        <w:pStyle w:val="ListBullet"/>
        <w:spacing w:after="40"/>
      </w:pPr>
      <w:r>
        <w:t>Authority - normative or organisational weight of the source.</w:t>
      </w:r>
    </w:p>
    <w:p>
      <w:pPr>
        <w:pStyle w:val="ListBullet"/>
        <w:spacing w:after="40"/>
      </w:pPr>
      <w:r>
        <w:t>Adoption - breadth of real-world industry use, judged qualitatively rather than as audited market share.</w:t>
      </w:r>
    </w:p>
    <w:p>
      <w:pPr>
        <w:pStyle w:val="ListBullet"/>
        <w:spacing w:after="40"/>
      </w:pPr>
      <w:r>
        <w:t>Quality - completeness, definitions, version/status controls and consistency.</w:t>
      </w:r>
    </w:p>
    <w:p>
      <w:pPr>
        <w:pStyle w:val="ListBullet"/>
        <w:spacing w:after="40"/>
      </w:pPr>
      <w:r>
        <w:t>Licensing - practical openness/clarity for SymGov ingestion and redistribution; 5 is easiest, 1 is most restrictive.</w:t>
      </w:r>
    </w:p>
    <w:p>
      <w:pPr>
        <w:pStyle w:val="ListBullet"/>
        <w:spacing w:after="40"/>
      </w:pPr>
      <w:r>
        <w:t>Machine readability - availability of structured IDs, vector/CAD formats, XML/RDF or parseable metadata.</w:t>
      </w:r>
    </w:p>
    <w:p>
      <w:pPr>
        <w:pStyle w:val="ListBullet"/>
        <w:spacing w:after="40"/>
      </w:pPr>
      <w:r>
        <w:t>Ingestion fit - usefulness for SymGov specifically, considering domain coverage and provenance value.</w:t>
      </w:r>
    </w:p>
    <w:p>
      <w:r>
        <w:t xml:space="preserve">Two indicators support comparison: </w:t>
      </w:r>
      <w:r>
        <w:rPr>
          <w:b/>
        </w:rPr>
        <w:t>Authority Index</w:t>
      </w:r>
      <w:r>
        <w:t xml:space="preserve"> = authority 40% + adoption 35% + quality 25%; </w:t>
      </w:r>
      <w:r>
        <w:rPr>
          <w:b/>
        </w:rPr>
        <w:t>Ingestion Readiness</w:t>
      </w:r>
      <w:r>
        <w:t xml:space="preserve"> = licensing 35% + machine readability 35% + ingestion fit 30%. Strategic rank is a product judgement and is not a simple numerical average.</w:t>
      </w:r>
    </w:p>
    <w:p>
      <w:pPr>
        <w:pStyle w:val="Heading1"/>
        <w:keepNext/>
      </w:pPr>
      <w:r>
        <w:t>Ranked strategic catalogue</w:t>
      </w:r>
    </w:p>
    <w:p>
      <w:r>
        <w:t>The ranking below is ordered for SymGov strategic value, not merely “who owns the most authoritative symbols”. This prevents open semantic backbones or vendor crosswalk sources from being incorrectly compared as if they were standards bodies.</w:t>
      </w:r>
    </w:p>
    <w:tbl>
      <w:tblPr>
        <w:tblW w:type="auto" w:w="0"/>
        <w:jc w:val="center"/>
        <w:tblLayout w:type="fixed"/>
        <w:tblLook w:firstColumn="1" w:firstRow="1" w:lastColumn="0" w:lastRow="0" w:noHBand="0" w:noVBand="1" w:val="04A0"/>
      </w:tblPr>
      <w:tblGrid>
        <w:gridCol w:w="454"/>
        <w:gridCol w:w="2381"/>
        <w:gridCol w:w="2891"/>
        <w:gridCol w:w="1020"/>
        <w:gridCol w:w="1020"/>
        <w:gridCol w:w="1984"/>
      </w:tblGrid>
      <w:tr>
        <w:trPr>
          <w:tblHeader w:val="true"/>
          <w:cantSplit/>
        </w:trPr>
        <w:tc>
          <w:tcPr>
            <w:tcW w:type="dxa" w:w="1644"/>
            <w:shd w:fill="163A5F"/>
            <w:tcMar>
              <w:top w:w="80" w:type="dxa"/>
              <w:start w:w="100" w:type="dxa"/>
              <w:bottom w:w="80" w:type="dxa"/>
              <w:end w:w="100" w:type="dxa"/>
            </w:tcMar>
          </w:tcPr>
          <w:p>
            <w:r>
              <w:rPr>
                <w:b/>
                <w:color w:val="FFFFFF"/>
                <w:sz w:val="16"/>
              </w:rPr>
              <w:t>#</w:t>
            </w:r>
          </w:p>
        </w:tc>
        <w:tc>
          <w:tcPr>
            <w:tcW w:type="dxa" w:w="1644"/>
            <w:shd w:fill="163A5F"/>
            <w:tcMar>
              <w:top w:w="80" w:type="dxa"/>
              <w:start w:w="100" w:type="dxa"/>
              <w:bottom w:w="80" w:type="dxa"/>
              <w:end w:w="100" w:type="dxa"/>
            </w:tcMar>
          </w:tcPr>
          <w:p>
            <w:r>
              <w:rPr>
                <w:b/>
                <w:color w:val="FFFFFF"/>
                <w:sz w:val="16"/>
              </w:rPr>
              <w:t>Source</w:t>
            </w:r>
          </w:p>
        </w:tc>
        <w:tc>
          <w:tcPr>
            <w:tcW w:type="dxa" w:w="1644"/>
            <w:shd w:fill="163A5F"/>
            <w:tcMar>
              <w:top w:w="80" w:type="dxa"/>
              <w:start w:w="100" w:type="dxa"/>
              <w:bottom w:w="80" w:type="dxa"/>
              <w:end w:w="100" w:type="dxa"/>
            </w:tcMar>
          </w:tcPr>
          <w:p>
            <w:r>
              <w:rPr>
                <w:b/>
                <w:color w:val="FFFFFF"/>
                <w:sz w:val="16"/>
              </w:rPr>
              <w:t>Primary role</w:t>
            </w:r>
          </w:p>
        </w:tc>
        <w:tc>
          <w:tcPr>
            <w:tcW w:type="dxa" w:w="1644"/>
            <w:shd w:fill="163A5F"/>
            <w:tcMar>
              <w:top w:w="80" w:type="dxa"/>
              <w:start w:w="100" w:type="dxa"/>
              <w:bottom w:w="80" w:type="dxa"/>
              <w:end w:w="100" w:type="dxa"/>
            </w:tcMar>
          </w:tcPr>
          <w:p>
            <w:r>
              <w:rPr>
                <w:b/>
                <w:color w:val="FFFFFF"/>
                <w:sz w:val="16"/>
              </w:rPr>
              <w:t>Authority</w:t>
            </w:r>
          </w:p>
        </w:tc>
        <w:tc>
          <w:tcPr>
            <w:tcW w:type="dxa" w:w="1644"/>
            <w:shd w:fill="163A5F"/>
            <w:tcMar>
              <w:top w:w="80" w:type="dxa"/>
              <w:start w:w="100" w:type="dxa"/>
              <w:bottom w:w="80" w:type="dxa"/>
              <w:end w:w="100" w:type="dxa"/>
            </w:tcMar>
          </w:tcPr>
          <w:p>
            <w:r>
              <w:rPr>
                <w:b/>
                <w:color w:val="FFFFFF"/>
                <w:sz w:val="16"/>
              </w:rPr>
              <w:t>Readiness</w:t>
            </w:r>
          </w:p>
        </w:tc>
        <w:tc>
          <w:tcPr>
            <w:tcW w:type="dxa" w:w="1644"/>
            <w:shd w:fill="163A5F"/>
            <w:tcMar>
              <w:top w:w="80" w:type="dxa"/>
              <w:start w:w="100" w:type="dxa"/>
              <w:bottom w:w="80" w:type="dxa"/>
              <w:end w:w="100" w:type="dxa"/>
            </w:tcMar>
          </w:tcPr>
          <w:p>
            <w:r>
              <w:rPr>
                <w:b/>
                <w:color w:val="FFFFFF"/>
                <w:sz w:val="16"/>
              </w:rPr>
              <w:t>Recommended action</w:t>
            </w:r>
          </w:p>
        </w:tc>
      </w:tr>
      <w:tr>
        <w:trPr>
          <w:cantSplit/>
        </w:trPr>
        <w:tc>
          <w:tcPr>
            <w:tcW w:type="dxa" w:w="454"/>
            <w:tcMar>
              <w:top w:w="70" w:type="dxa"/>
              <w:start w:w="80" w:type="dxa"/>
              <w:bottom w:w="70" w:type="dxa"/>
              <w:end w:w="80" w:type="dxa"/>
            </w:tcMar>
            <w:vAlign w:val="center"/>
          </w:tcPr>
          <w:p>
            <w:pPr>
              <w:jc w:val="center"/>
            </w:pPr>
            <w:r>
              <w:rPr>
                <w:sz w:val="15"/>
              </w:rPr>
              <w:t>1</w:t>
            </w:r>
          </w:p>
        </w:tc>
        <w:tc>
          <w:tcPr>
            <w:tcW w:type="dxa" w:w="2381"/>
            <w:tcMar>
              <w:top w:w="70" w:type="dxa"/>
              <w:start w:w="80" w:type="dxa"/>
              <w:bottom w:w="70" w:type="dxa"/>
              <w:end w:w="80" w:type="dxa"/>
            </w:tcMar>
            <w:vAlign w:val="center"/>
          </w:tcPr>
          <w:p>
            <w:r>
              <w:rPr>
                <w:sz w:val="15"/>
              </w:rPr>
              <w:t>IEC 60617 Database</w:t>
            </w:r>
          </w:p>
        </w:tc>
        <w:tc>
          <w:tcPr>
            <w:tcW w:type="dxa" w:w="2891"/>
            <w:tcMar>
              <w:top w:w="70" w:type="dxa"/>
              <w:start w:w="80" w:type="dxa"/>
              <w:bottom w:w="70" w:type="dxa"/>
              <w:end w:w="80" w:type="dxa"/>
            </w:tcMar>
            <w:vAlign w:val="center"/>
          </w:tcPr>
          <w:p>
            <w:r>
              <w:rPr>
                <w:sz w:val="15"/>
              </w:rPr>
              <w:t>Canonical electrotechnical diagram symbols</w:t>
            </w:r>
          </w:p>
        </w:tc>
        <w:tc>
          <w:tcPr>
            <w:tcW w:type="dxa" w:w="1020"/>
            <w:tcMar>
              <w:top w:w="70" w:type="dxa"/>
              <w:start w:w="80" w:type="dxa"/>
              <w:bottom w:w="70" w:type="dxa"/>
              <w:end w:w="80" w:type="dxa"/>
            </w:tcMar>
            <w:vAlign w:val="center"/>
          </w:tcPr>
          <w:p>
            <w:pPr>
              <w:jc w:val="center"/>
            </w:pPr>
            <w:r>
              <w:rPr>
                <w:sz w:val="15"/>
              </w:rPr>
              <w:t>100</w:t>
            </w:r>
          </w:p>
        </w:tc>
        <w:tc>
          <w:tcPr>
            <w:tcW w:type="dxa" w:w="1020"/>
            <w:tcMar>
              <w:top w:w="70" w:type="dxa"/>
              <w:start w:w="80" w:type="dxa"/>
              <w:bottom w:w="70" w:type="dxa"/>
              <w:end w:w="80" w:type="dxa"/>
            </w:tcMar>
            <w:vAlign w:val="center"/>
          </w:tcPr>
          <w:p>
            <w:pPr>
              <w:jc w:val="center"/>
            </w:pPr>
            <w:r>
              <w:rPr>
                <w:sz w:val="15"/>
              </w:rPr>
              <w:t>76</w:t>
            </w:r>
          </w:p>
        </w:tc>
        <w:tc>
          <w:tcPr>
            <w:tcW w:type="dxa" w:w="1984"/>
            <w:tcMar>
              <w:top w:w="70" w:type="dxa"/>
              <w:start w:w="80" w:type="dxa"/>
              <w:bottom w:w="70" w:type="dxa"/>
              <w:end w:w="80" w:type="dxa"/>
            </w:tcMar>
            <w:vAlign w:val="center"/>
          </w:tcPr>
          <w:p>
            <w:r>
              <w:rPr>
                <w:sz w:val="15"/>
              </w:rPr>
              <w:t>P0 - licence now</w:t>
            </w:r>
          </w:p>
        </w:tc>
      </w:tr>
      <w:tr>
        <w:trPr>
          <w:cantSplit/>
        </w:trPr>
        <w:tc>
          <w:tcPr>
            <w:tcW w:type="dxa" w:w="454"/>
            <w:tcMar>
              <w:top w:w="70" w:type="dxa"/>
              <w:start w:w="80" w:type="dxa"/>
              <w:bottom w:w="70" w:type="dxa"/>
              <w:end w:w="80" w:type="dxa"/>
            </w:tcMar>
            <w:vAlign w:val="center"/>
            <w:shd w:fill="F2F4F5"/>
          </w:tcPr>
          <w:p>
            <w:pPr>
              <w:jc w:val="center"/>
            </w:pPr>
            <w:r>
              <w:rPr>
                <w:sz w:val="15"/>
              </w:rPr>
              <w:t>2</w:t>
            </w:r>
          </w:p>
        </w:tc>
        <w:tc>
          <w:tcPr>
            <w:tcW w:type="dxa" w:w="2381"/>
            <w:tcMar>
              <w:top w:w="70" w:type="dxa"/>
              <w:start w:w="80" w:type="dxa"/>
              <w:bottom w:w="70" w:type="dxa"/>
              <w:end w:w="80" w:type="dxa"/>
            </w:tcMar>
            <w:vAlign w:val="center"/>
            <w:shd w:fill="F2F4F5"/>
          </w:tcPr>
          <w:p>
            <w:r>
              <w:rPr>
                <w:sz w:val="15"/>
              </w:rPr>
              <w:t>ISO 14617-2:2025</w:t>
            </w:r>
          </w:p>
        </w:tc>
        <w:tc>
          <w:tcPr>
            <w:tcW w:type="dxa" w:w="2891"/>
            <w:tcMar>
              <w:top w:w="70" w:type="dxa"/>
              <w:start w:w="80" w:type="dxa"/>
              <w:bottom w:w="70" w:type="dxa"/>
              <w:end w:w="80" w:type="dxa"/>
            </w:tcMar>
            <w:vAlign w:val="center"/>
            <w:shd w:fill="F2F4F5"/>
          </w:tcPr>
          <w:p>
            <w:r>
              <w:rPr>
                <w:sz w:val="15"/>
              </w:rPr>
              <w:t>Canonical industrial diagram symbol library</w:t>
            </w:r>
          </w:p>
        </w:tc>
        <w:tc>
          <w:tcPr>
            <w:tcW w:type="dxa" w:w="1020"/>
            <w:tcMar>
              <w:top w:w="70" w:type="dxa"/>
              <w:start w:w="80" w:type="dxa"/>
              <w:bottom w:w="70" w:type="dxa"/>
              <w:end w:w="80" w:type="dxa"/>
            </w:tcMar>
            <w:vAlign w:val="center"/>
            <w:shd w:fill="F2F4F5"/>
          </w:tcPr>
          <w:p>
            <w:pPr>
              <w:jc w:val="center"/>
            </w:pPr>
            <w:r>
              <w:rPr>
                <w:sz w:val="15"/>
              </w:rPr>
              <w:t>100</w:t>
            </w:r>
          </w:p>
        </w:tc>
        <w:tc>
          <w:tcPr>
            <w:tcW w:type="dxa" w:w="1020"/>
            <w:tcMar>
              <w:top w:w="70" w:type="dxa"/>
              <w:start w:w="80" w:type="dxa"/>
              <w:bottom w:w="70" w:type="dxa"/>
              <w:end w:w="80" w:type="dxa"/>
            </w:tcMar>
            <w:vAlign w:val="center"/>
            <w:shd w:fill="F2F4F5"/>
          </w:tcPr>
          <w:p>
            <w:pPr>
              <w:jc w:val="center"/>
            </w:pPr>
            <w:r>
              <w:rPr>
                <w:sz w:val="15"/>
              </w:rPr>
              <w:t>55</w:t>
            </w:r>
          </w:p>
        </w:tc>
        <w:tc>
          <w:tcPr>
            <w:tcW w:type="dxa" w:w="1984"/>
            <w:tcMar>
              <w:top w:w="70" w:type="dxa"/>
              <w:start w:w="80" w:type="dxa"/>
              <w:bottom w:w="70" w:type="dxa"/>
              <w:end w:w="80" w:type="dxa"/>
            </w:tcMar>
            <w:vAlign w:val="center"/>
            <w:shd w:fill="F2F4F5"/>
          </w:tcPr>
          <w:p>
            <w:r>
              <w:rPr>
                <w:sz w:val="15"/>
              </w:rPr>
              <w:t>P0 - licence now</w:t>
            </w:r>
          </w:p>
        </w:tc>
      </w:tr>
      <w:tr>
        <w:trPr>
          <w:cantSplit/>
        </w:trPr>
        <w:tc>
          <w:tcPr>
            <w:tcW w:type="dxa" w:w="454"/>
            <w:tcMar>
              <w:top w:w="70" w:type="dxa"/>
              <w:start w:w="80" w:type="dxa"/>
              <w:bottom w:w="70" w:type="dxa"/>
              <w:end w:w="80" w:type="dxa"/>
            </w:tcMar>
            <w:vAlign w:val="center"/>
          </w:tcPr>
          <w:p>
            <w:pPr>
              <w:jc w:val="center"/>
            </w:pPr>
            <w:r>
              <w:rPr>
                <w:sz w:val="15"/>
              </w:rPr>
              <w:t>3</w:t>
            </w:r>
          </w:p>
        </w:tc>
        <w:tc>
          <w:tcPr>
            <w:tcW w:type="dxa" w:w="2381"/>
            <w:tcMar>
              <w:top w:w="70" w:type="dxa"/>
              <w:start w:w="80" w:type="dxa"/>
              <w:bottom w:w="70" w:type="dxa"/>
              <w:end w:w="80" w:type="dxa"/>
            </w:tcMar>
            <w:vAlign w:val="center"/>
          </w:tcPr>
          <w:p>
            <w:r>
              <w:rPr>
                <w:sz w:val="15"/>
              </w:rPr>
              <w:t>ANSI/ISA-5.1-2024</w:t>
            </w:r>
          </w:p>
        </w:tc>
        <w:tc>
          <w:tcPr>
            <w:tcW w:type="dxa" w:w="2891"/>
            <w:tcMar>
              <w:top w:w="70" w:type="dxa"/>
              <w:start w:w="80" w:type="dxa"/>
              <w:bottom w:w="70" w:type="dxa"/>
              <w:end w:w="80" w:type="dxa"/>
            </w:tcMar>
            <w:vAlign w:val="center"/>
          </w:tcPr>
          <w:p>
            <w:r>
              <w:rPr>
                <w:sz w:val="15"/>
              </w:rPr>
              <w:t>Canonical instrumentation/control symbols</w:t>
            </w:r>
          </w:p>
        </w:tc>
        <w:tc>
          <w:tcPr>
            <w:tcW w:type="dxa" w:w="1020"/>
            <w:tcMar>
              <w:top w:w="70" w:type="dxa"/>
              <w:start w:w="80" w:type="dxa"/>
              <w:bottom w:w="70" w:type="dxa"/>
              <w:end w:w="80" w:type="dxa"/>
            </w:tcMar>
            <w:vAlign w:val="center"/>
          </w:tcPr>
          <w:p>
            <w:pPr>
              <w:jc w:val="center"/>
            </w:pPr>
            <w:r>
              <w:rPr>
                <w:sz w:val="15"/>
              </w:rPr>
              <w:t>100</w:t>
            </w:r>
          </w:p>
        </w:tc>
        <w:tc>
          <w:tcPr>
            <w:tcW w:type="dxa" w:w="1020"/>
            <w:tcMar>
              <w:top w:w="70" w:type="dxa"/>
              <w:start w:w="80" w:type="dxa"/>
              <w:bottom w:w="70" w:type="dxa"/>
              <w:end w:w="80" w:type="dxa"/>
            </w:tcMar>
            <w:vAlign w:val="center"/>
          </w:tcPr>
          <w:p>
            <w:pPr>
              <w:jc w:val="center"/>
            </w:pPr>
            <w:r>
              <w:rPr>
                <w:sz w:val="15"/>
              </w:rPr>
              <w:t>48</w:t>
            </w:r>
          </w:p>
        </w:tc>
        <w:tc>
          <w:tcPr>
            <w:tcW w:type="dxa" w:w="1984"/>
            <w:tcMar>
              <w:top w:w="70" w:type="dxa"/>
              <w:start w:w="80" w:type="dxa"/>
              <w:bottom w:w="70" w:type="dxa"/>
              <w:end w:w="80" w:type="dxa"/>
            </w:tcMar>
            <w:vAlign w:val="center"/>
          </w:tcPr>
          <w:p>
            <w:r>
              <w:rPr>
                <w:sz w:val="15"/>
              </w:rPr>
              <w:t>P0 - licence now</w:t>
            </w:r>
          </w:p>
        </w:tc>
      </w:tr>
      <w:tr>
        <w:trPr>
          <w:cantSplit/>
        </w:trPr>
        <w:tc>
          <w:tcPr>
            <w:tcW w:type="dxa" w:w="454"/>
            <w:tcMar>
              <w:top w:w="70" w:type="dxa"/>
              <w:start w:w="80" w:type="dxa"/>
              <w:bottom w:w="70" w:type="dxa"/>
              <w:end w:w="80" w:type="dxa"/>
            </w:tcMar>
            <w:vAlign w:val="center"/>
            <w:shd w:fill="F2F4F5"/>
          </w:tcPr>
          <w:p>
            <w:pPr>
              <w:jc w:val="center"/>
            </w:pPr>
            <w:r>
              <w:rPr>
                <w:sz w:val="15"/>
              </w:rPr>
              <w:t>4</w:t>
            </w:r>
          </w:p>
        </w:tc>
        <w:tc>
          <w:tcPr>
            <w:tcW w:type="dxa" w:w="2381"/>
            <w:tcMar>
              <w:top w:w="70" w:type="dxa"/>
              <w:start w:w="80" w:type="dxa"/>
              <w:bottom w:w="70" w:type="dxa"/>
              <w:end w:w="80" w:type="dxa"/>
            </w:tcMar>
            <w:vAlign w:val="center"/>
            <w:shd w:fill="F2F4F5"/>
          </w:tcPr>
          <w:p>
            <w:r>
              <w:rPr>
                <w:sz w:val="15"/>
              </w:rPr>
              <w:t>ISO 10628-2:2012</w:t>
            </w:r>
          </w:p>
        </w:tc>
        <w:tc>
          <w:tcPr>
            <w:tcW w:type="dxa" w:w="2891"/>
            <w:tcMar>
              <w:top w:w="70" w:type="dxa"/>
              <w:start w:w="80" w:type="dxa"/>
              <w:bottom w:w="70" w:type="dxa"/>
              <w:end w:w="80" w:type="dxa"/>
            </w:tcMar>
            <w:vAlign w:val="center"/>
            <w:shd w:fill="F2F4F5"/>
          </w:tcPr>
          <w:p>
            <w:r>
              <w:rPr>
                <w:sz w:val="15"/>
              </w:rPr>
              <w:t>Chemical/petrochemical diagram symbols</w:t>
            </w:r>
          </w:p>
        </w:tc>
        <w:tc>
          <w:tcPr>
            <w:tcW w:type="dxa" w:w="1020"/>
            <w:tcMar>
              <w:top w:w="70" w:type="dxa"/>
              <w:start w:w="80" w:type="dxa"/>
              <w:bottom w:w="70" w:type="dxa"/>
              <w:end w:w="80" w:type="dxa"/>
            </w:tcMar>
            <w:vAlign w:val="center"/>
            <w:shd w:fill="F2F4F5"/>
          </w:tcPr>
          <w:p>
            <w:pPr>
              <w:jc w:val="center"/>
            </w:pPr>
            <w:r>
              <w:rPr>
                <w:sz w:val="15"/>
              </w:rPr>
              <w:t>96</w:t>
            </w:r>
          </w:p>
        </w:tc>
        <w:tc>
          <w:tcPr>
            <w:tcW w:type="dxa" w:w="1020"/>
            <w:tcMar>
              <w:top w:w="70" w:type="dxa"/>
              <w:start w:w="80" w:type="dxa"/>
              <w:bottom w:w="70" w:type="dxa"/>
              <w:end w:w="80" w:type="dxa"/>
            </w:tcMar>
            <w:vAlign w:val="center"/>
            <w:shd w:fill="F2F4F5"/>
          </w:tcPr>
          <w:p>
            <w:pPr>
              <w:jc w:val="center"/>
            </w:pPr>
            <w:r>
              <w:rPr>
                <w:sz w:val="15"/>
              </w:rPr>
              <w:t>58</w:t>
            </w:r>
          </w:p>
        </w:tc>
        <w:tc>
          <w:tcPr>
            <w:tcW w:type="dxa" w:w="1984"/>
            <w:tcMar>
              <w:top w:w="70" w:type="dxa"/>
              <w:start w:w="80" w:type="dxa"/>
              <w:bottom w:w="70" w:type="dxa"/>
              <w:end w:w="80" w:type="dxa"/>
            </w:tcMar>
            <w:vAlign w:val="center"/>
            <w:shd w:fill="F2F4F5"/>
          </w:tcPr>
          <w:p>
            <w:r>
              <w:rPr>
                <w:sz w:val="15"/>
              </w:rPr>
              <w:t>P0 - licence now</w:t>
            </w:r>
          </w:p>
        </w:tc>
      </w:tr>
      <w:tr>
        <w:trPr>
          <w:cantSplit/>
        </w:trPr>
        <w:tc>
          <w:tcPr>
            <w:tcW w:type="dxa" w:w="454"/>
            <w:tcMar>
              <w:top w:w="70" w:type="dxa"/>
              <w:start w:w="80" w:type="dxa"/>
              <w:bottom w:w="70" w:type="dxa"/>
              <w:end w:w="80" w:type="dxa"/>
            </w:tcMar>
            <w:vAlign w:val="center"/>
          </w:tcPr>
          <w:p>
            <w:pPr>
              <w:jc w:val="center"/>
            </w:pPr>
            <w:r>
              <w:rPr>
                <w:sz w:val="15"/>
              </w:rPr>
              <w:t>5</w:t>
            </w:r>
          </w:p>
        </w:tc>
        <w:tc>
          <w:tcPr>
            <w:tcW w:type="dxa" w:w="2381"/>
            <w:tcMar>
              <w:top w:w="70" w:type="dxa"/>
              <w:start w:w="80" w:type="dxa"/>
              <w:bottom w:w="70" w:type="dxa"/>
              <w:end w:w="80" w:type="dxa"/>
            </w:tcMar>
            <w:vAlign w:val="center"/>
          </w:tcPr>
          <w:p>
            <w:r>
              <w:rPr>
                <w:sz w:val="15"/>
              </w:rPr>
              <w:t>DEXPI 2.0 + RDL</w:t>
            </w:r>
          </w:p>
        </w:tc>
        <w:tc>
          <w:tcPr>
            <w:tcW w:type="dxa" w:w="2891"/>
            <w:tcMar>
              <w:top w:w="70" w:type="dxa"/>
              <w:start w:w="80" w:type="dxa"/>
              <w:bottom w:w="70" w:type="dxa"/>
              <w:end w:w="80" w:type="dxa"/>
            </w:tcMar>
            <w:vAlign w:val="center"/>
          </w:tcPr>
          <w:p>
            <w:r>
              <w:rPr>
                <w:sz w:val="15"/>
              </w:rPr>
              <w:t>Semantic/interchange backbone; not a drawing standard</w:t>
            </w:r>
          </w:p>
        </w:tc>
        <w:tc>
          <w:tcPr>
            <w:tcW w:type="dxa" w:w="1020"/>
            <w:tcMar>
              <w:top w:w="70" w:type="dxa"/>
              <w:start w:w="80" w:type="dxa"/>
              <w:bottom w:w="70" w:type="dxa"/>
              <w:end w:w="80" w:type="dxa"/>
            </w:tcMar>
            <w:vAlign w:val="center"/>
          </w:tcPr>
          <w:p>
            <w:pPr>
              <w:jc w:val="center"/>
            </w:pPr>
            <w:r>
              <w:rPr>
                <w:sz w:val="15"/>
              </w:rPr>
              <w:t>85</w:t>
            </w:r>
          </w:p>
        </w:tc>
        <w:tc>
          <w:tcPr>
            <w:tcW w:type="dxa" w:w="1020"/>
            <w:tcMar>
              <w:top w:w="70" w:type="dxa"/>
              <w:start w:w="80" w:type="dxa"/>
              <w:bottom w:w="70" w:type="dxa"/>
              <w:end w:w="80" w:type="dxa"/>
            </w:tcMar>
            <w:vAlign w:val="center"/>
          </w:tcPr>
          <w:p>
            <w:pPr>
              <w:jc w:val="center"/>
            </w:pPr>
            <w:r>
              <w:rPr>
                <w:sz w:val="15"/>
              </w:rPr>
              <w:t>100</w:t>
            </w:r>
          </w:p>
        </w:tc>
        <w:tc>
          <w:tcPr>
            <w:tcW w:type="dxa" w:w="1984"/>
            <w:tcMar>
              <w:top w:w="70" w:type="dxa"/>
              <w:start w:w="80" w:type="dxa"/>
              <w:bottom w:w="70" w:type="dxa"/>
              <w:end w:w="80" w:type="dxa"/>
            </w:tcMar>
            <w:vAlign w:val="center"/>
          </w:tcPr>
          <w:p>
            <w:r>
              <w:rPr>
                <w:sz w:val="15"/>
              </w:rPr>
              <w:t>P0 - ingest/collaborate</w:t>
            </w:r>
          </w:p>
        </w:tc>
      </w:tr>
      <w:tr>
        <w:trPr>
          <w:cantSplit/>
        </w:trPr>
        <w:tc>
          <w:tcPr>
            <w:tcW w:type="dxa" w:w="454"/>
            <w:tcMar>
              <w:top w:w="70" w:type="dxa"/>
              <w:start w:w="80" w:type="dxa"/>
              <w:bottom w:w="70" w:type="dxa"/>
              <w:end w:w="80" w:type="dxa"/>
            </w:tcMar>
            <w:vAlign w:val="center"/>
            <w:shd w:fill="F2F4F5"/>
          </w:tcPr>
          <w:p>
            <w:pPr>
              <w:jc w:val="center"/>
            </w:pPr>
            <w:r>
              <w:rPr>
                <w:sz w:val="15"/>
              </w:rPr>
              <w:t>6</w:t>
            </w:r>
          </w:p>
        </w:tc>
        <w:tc>
          <w:tcPr>
            <w:tcW w:type="dxa" w:w="2381"/>
            <w:tcMar>
              <w:top w:w="70" w:type="dxa"/>
              <w:start w:w="80" w:type="dxa"/>
              <w:bottom w:w="70" w:type="dxa"/>
              <w:end w:w="80" w:type="dxa"/>
            </w:tcMar>
            <w:vAlign w:val="center"/>
            <w:shd w:fill="F2F4F5"/>
          </w:tcPr>
          <w:p>
            <w:r>
              <w:rPr>
                <w:sz w:val="15"/>
              </w:rPr>
              <w:t>NORSOK Z-004:2025</w:t>
            </w:r>
          </w:p>
        </w:tc>
        <w:tc>
          <w:tcPr>
            <w:tcW w:type="dxa" w:w="2891"/>
            <w:tcMar>
              <w:top w:w="70" w:type="dxa"/>
              <w:start w:w="80" w:type="dxa"/>
              <w:bottom w:w="70" w:type="dxa"/>
              <w:end w:w="80" w:type="dxa"/>
            </w:tcMar>
            <w:vAlign w:val="center"/>
            <w:shd w:fill="F2F4F5"/>
          </w:tcPr>
          <w:p>
            <w:r>
              <w:rPr>
                <w:sz w:val="15"/>
              </w:rPr>
              <w:t>Petroleum 2D CAD symbols / operator-deviation model</w:t>
            </w:r>
          </w:p>
        </w:tc>
        <w:tc>
          <w:tcPr>
            <w:tcW w:type="dxa" w:w="1020"/>
            <w:tcMar>
              <w:top w:w="70" w:type="dxa"/>
              <w:start w:w="80" w:type="dxa"/>
              <w:bottom w:w="70" w:type="dxa"/>
              <w:end w:w="80" w:type="dxa"/>
            </w:tcMar>
            <w:vAlign w:val="center"/>
            <w:shd w:fill="F2F4F5"/>
          </w:tcPr>
          <w:p>
            <w:pPr>
              <w:jc w:val="center"/>
            </w:pPr>
            <w:r>
              <w:rPr>
                <w:sz w:val="15"/>
              </w:rPr>
              <w:t>89</w:t>
            </w:r>
          </w:p>
        </w:tc>
        <w:tc>
          <w:tcPr>
            <w:tcW w:type="dxa" w:w="1020"/>
            <w:tcMar>
              <w:top w:w="70" w:type="dxa"/>
              <w:start w:w="80" w:type="dxa"/>
              <w:bottom w:w="70" w:type="dxa"/>
              <w:end w:w="80" w:type="dxa"/>
            </w:tcMar>
            <w:vAlign w:val="center"/>
            <w:shd w:fill="F2F4F5"/>
          </w:tcPr>
          <w:p>
            <w:pPr>
              <w:jc w:val="center"/>
            </w:pPr>
            <w:r>
              <w:rPr>
                <w:sz w:val="15"/>
              </w:rPr>
              <w:t>76</w:t>
            </w:r>
          </w:p>
        </w:tc>
        <w:tc>
          <w:tcPr>
            <w:tcW w:type="dxa" w:w="1984"/>
            <w:tcMar>
              <w:top w:w="70" w:type="dxa"/>
              <w:start w:w="80" w:type="dxa"/>
              <w:bottom w:w="70" w:type="dxa"/>
              <w:end w:w="80" w:type="dxa"/>
            </w:tcMar>
            <w:vAlign w:val="center"/>
            <w:shd w:fill="F2F4F5"/>
          </w:tcPr>
          <w:p>
            <w:r>
              <w:rPr>
                <w:sz w:val="15"/>
              </w:rPr>
              <w:t>P0 - partnership</w:t>
            </w:r>
          </w:p>
        </w:tc>
      </w:tr>
      <w:tr>
        <w:trPr>
          <w:cantSplit/>
        </w:trPr>
        <w:tc>
          <w:tcPr>
            <w:tcW w:type="dxa" w:w="454"/>
            <w:tcMar>
              <w:top w:w="70" w:type="dxa"/>
              <w:start w:w="80" w:type="dxa"/>
              <w:bottom w:w="70" w:type="dxa"/>
              <w:end w:w="80" w:type="dxa"/>
            </w:tcMar>
            <w:vAlign w:val="center"/>
          </w:tcPr>
          <w:p>
            <w:pPr>
              <w:jc w:val="center"/>
            </w:pPr>
            <w:r>
              <w:rPr>
                <w:sz w:val="15"/>
              </w:rPr>
              <w:t>7</w:t>
            </w:r>
          </w:p>
        </w:tc>
        <w:tc>
          <w:tcPr>
            <w:tcW w:type="dxa" w:w="2381"/>
            <w:tcMar>
              <w:top w:w="70" w:type="dxa"/>
              <w:start w:w="80" w:type="dxa"/>
              <w:bottom w:w="70" w:type="dxa"/>
              <w:end w:w="80" w:type="dxa"/>
            </w:tcMar>
            <w:vAlign w:val="center"/>
          </w:tcPr>
          <w:p>
            <w:r>
              <w:rPr>
                <w:sz w:val="15"/>
              </w:rPr>
              <w:t>PIP PIC001 / process-control practices</w:t>
            </w:r>
          </w:p>
        </w:tc>
        <w:tc>
          <w:tcPr>
            <w:tcW w:type="dxa" w:w="2891"/>
            <w:tcMar>
              <w:top w:w="70" w:type="dxa"/>
              <w:start w:w="80" w:type="dxa"/>
              <w:bottom w:w="70" w:type="dxa"/>
              <w:end w:w="80" w:type="dxa"/>
            </w:tcMar>
            <w:vAlign w:val="center"/>
          </w:tcPr>
          <w:p>
            <w:r>
              <w:rPr>
                <w:sz w:val="15"/>
              </w:rPr>
              <w:t>Industry-consensus P&amp;ID documentation/practice</w:t>
            </w:r>
          </w:p>
        </w:tc>
        <w:tc>
          <w:tcPr>
            <w:tcW w:type="dxa" w:w="1020"/>
            <w:tcMar>
              <w:top w:w="70" w:type="dxa"/>
              <w:start w:w="80" w:type="dxa"/>
              <w:bottom w:w="70" w:type="dxa"/>
              <w:end w:w="80" w:type="dxa"/>
            </w:tcMar>
            <w:vAlign w:val="center"/>
          </w:tcPr>
          <w:p>
            <w:pPr>
              <w:jc w:val="center"/>
            </w:pPr>
            <w:r>
              <w:rPr>
                <w:sz w:val="15"/>
              </w:rPr>
              <w:t>92</w:t>
            </w:r>
          </w:p>
        </w:tc>
        <w:tc>
          <w:tcPr>
            <w:tcW w:type="dxa" w:w="1020"/>
            <w:tcMar>
              <w:top w:w="70" w:type="dxa"/>
              <w:start w:w="80" w:type="dxa"/>
              <w:bottom w:w="70" w:type="dxa"/>
              <w:end w:w="80" w:type="dxa"/>
            </w:tcMar>
            <w:vAlign w:val="center"/>
          </w:tcPr>
          <w:p>
            <w:pPr>
              <w:jc w:val="center"/>
            </w:pPr>
            <w:r>
              <w:rPr>
                <w:sz w:val="15"/>
              </w:rPr>
              <w:t>58</w:t>
            </w:r>
          </w:p>
        </w:tc>
        <w:tc>
          <w:tcPr>
            <w:tcW w:type="dxa" w:w="1984"/>
            <w:tcMar>
              <w:top w:w="70" w:type="dxa"/>
              <w:start w:w="80" w:type="dxa"/>
              <w:bottom w:w="70" w:type="dxa"/>
              <w:end w:w="80" w:type="dxa"/>
            </w:tcMar>
            <w:vAlign w:val="center"/>
          </w:tcPr>
          <w:p>
            <w:r>
              <w:rPr>
                <w:sz w:val="15"/>
              </w:rPr>
              <w:t>P0 - partnership</w:t>
            </w:r>
          </w:p>
        </w:tc>
      </w:tr>
      <w:tr>
        <w:trPr>
          <w:cantSplit/>
        </w:trPr>
        <w:tc>
          <w:tcPr>
            <w:tcW w:type="dxa" w:w="454"/>
            <w:tcMar>
              <w:top w:w="70" w:type="dxa"/>
              <w:start w:w="80" w:type="dxa"/>
              <w:bottom w:w="70" w:type="dxa"/>
              <w:end w:w="80" w:type="dxa"/>
            </w:tcMar>
            <w:vAlign w:val="center"/>
            <w:shd w:fill="F2F4F5"/>
          </w:tcPr>
          <w:p>
            <w:pPr>
              <w:jc w:val="center"/>
            </w:pPr>
            <w:r>
              <w:rPr>
                <w:sz w:val="15"/>
              </w:rPr>
              <w:t>8</w:t>
            </w:r>
          </w:p>
        </w:tc>
        <w:tc>
          <w:tcPr>
            <w:tcW w:type="dxa" w:w="2381"/>
            <w:tcMar>
              <w:top w:w="70" w:type="dxa"/>
              <w:start w:w="80" w:type="dxa"/>
              <w:bottom w:w="70" w:type="dxa"/>
              <w:end w:w="80" w:type="dxa"/>
            </w:tcMar>
            <w:vAlign w:val="center"/>
            <w:shd w:fill="F2F4F5"/>
          </w:tcPr>
          <w:p>
            <w:r>
              <w:rPr>
                <w:sz w:val="15"/>
              </w:rPr>
              <w:t>ISO 1219-1</w:t>
            </w:r>
          </w:p>
        </w:tc>
        <w:tc>
          <w:tcPr>
            <w:tcW w:type="dxa" w:w="2891"/>
            <w:tcMar>
              <w:top w:w="70" w:type="dxa"/>
              <w:start w:w="80" w:type="dxa"/>
              <w:bottom w:w="70" w:type="dxa"/>
              <w:end w:w="80" w:type="dxa"/>
            </w:tcMar>
            <w:vAlign w:val="center"/>
            <w:shd w:fill="F2F4F5"/>
          </w:tcPr>
          <w:p>
            <w:r>
              <w:rPr>
                <w:sz w:val="15"/>
              </w:rPr>
              <w:t>Fluid-power symbols</w:t>
            </w:r>
          </w:p>
        </w:tc>
        <w:tc>
          <w:tcPr>
            <w:tcW w:type="dxa" w:w="1020"/>
            <w:tcMar>
              <w:top w:w="70" w:type="dxa"/>
              <w:start w:w="80" w:type="dxa"/>
              <w:bottom w:w="70" w:type="dxa"/>
              <w:end w:w="80" w:type="dxa"/>
            </w:tcMar>
            <w:vAlign w:val="center"/>
            <w:shd w:fill="F2F4F5"/>
          </w:tcPr>
          <w:p>
            <w:pPr>
              <w:jc w:val="center"/>
            </w:pPr>
            <w:r>
              <w:rPr>
                <w:sz w:val="15"/>
              </w:rPr>
              <w:t>93</w:t>
            </w:r>
          </w:p>
        </w:tc>
        <w:tc>
          <w:tcPr>
            <w:tcW w:type="dxa" w:w="1020"/>
            <w:tcMar>
              <w:top w:w="70" w:type="dxa"/>
              <w:start w:w="80" w:type="dxa"/>
              <w:bottom w:w="70" w:type="dxa"/>
              <w:end w:w="80" w:type="dxa"/>
            </w:tcMar>
            <w:vAlign w:val="center"/>
            <w:shd w:fill="F2F4F5"/>
          </w:tcPr>
          <w:p>
            <w:pPr>
              <w:jc w:val="center"/>
            </w:pPr>
            <w:r>
              <w:rPr>
                <w:sz w:val="15"/>
              </w:rPr>
              <w:t>59</w:t>
            </w:r>
          </w:p>
        </w:tc>
        <w:tc>
          <w:tcPr>
            <w:tcW w:type="dxa" w:w="1984"/>
            <w:tcMar>
              <w:top w:w="70" w:type="dxa"/>
              <w:start w:w="80" w:type="dxa"/>
              <w:bottom w:w="70" w:type="dxa"/>
              <w:end w:w="80" w:type="dxa"/>
            </w:tcMar>
            <w:vAlign w:val="center"/>
            <w:shd w:fill="F2F4F5"/>
          </w:tcPr>
          <w:p>
            <w:r>
              <w:rPr>
                <w:sz w:val="15"/>
              </w:rPr>
              <w:t>P1 - licence</w:t>
            </w:r>
          </w:p>
        </w:tc>
      </w:tr>
      <w:tr>
        <w:trPr>
          <w:cantSplit/>
        </w:trPr>
        <w:tc>
          <w:tcPr>
            <w:tcW w:type="dxa" w:w="454"/>
            <w:tcMar>
              <w:top w:w="70" w:type="dxa"/>
              <w:start w:w="80" w:type="dxa"/>
              <w:bottom w:w="70" w:type="dxa"/>
              <w:end w:w="80" w:type="dxa"/>
            </w:tcMar>
            <w:vAlign w:val="center"/>
          </w:tcPr>
          <w:p>
            <w:pPr>
              <w:jc w:val="center"/>
            </w:pPr>
            <w:r>
              <w:rPr>
                <w:sz w:val="15"/>
              </w:rPr>
              <w:t>9</w:t>
            </w:r>
          </w:p>
        </w:tc>
        <w:tc>
          <w:tcPr>
            <w:tcW w:type="dxa" w:w="2381"/>
            <w:tcMar>
              <w:top w:w="70" w:type="dxa"/>
              <w:start w:w="80" w:type="dxa"/>
              <w:bottom w:w="70" w:type="dxa"/>
              <w:end w:w="80" w:type="dxa"/>
            </w:tcMar>
            <w:vAlign w:val="center"/>
          </w:tcPr>
          <w:p>
            <w:r>
              <w:rPr>
                <w:sz w:val="15"/>
              </w:rPr>
              <w:t>IEC 60417 + ISO 7000</w:t>
            </w:r>
          </w:p>
        </w:tc>
        <w:tc>
          <w:tcPr>
            <w:tcW w:type="dxa" w:w="2891"/>
            <w:tcMar>
              <w:top w:w="70" w:type="dxa"/>
              <w:start w:w="80" w:type="dxa"/>
              <w:bottom w:w="70" w:type="dxa"/>
              <w:end w:w="80" w:type="dxa"/>
            </w:tcMar>
            <w:vAlign w:val="center"/>
          </w:tcPr>
          <w:p>
            <w:r>
              <w:rPr>
                <w:sz w:val="15"/>
              </w:rPr>
              <w:t>Equipment-use registered symbols (adjacent scope)</w:t>
            </w:r>
          </w:p>
        </w:tc>
        <w:tc>
          <w:tcPr>
            <w:tcW w:type="dxa" w:w="1020"/>
            <w:tcMar>
              <w:top w:w="70" w:type="dxa"/>
              <w:start w:w="80" w:type="dxa"/>
              <w:bottom w:w="70" w:type="dxa"/>
              <w:end w:w="80" w:type="dxa"/>
            </w:tcMar>
            <w:vAlign w:val="center"/>
          </w:tcPr>
          <w:p>
            <w:pPr>
              <w:jc w:val="center"/>
            </w:pPr>
            <w:r>
              <w:rPr>
                <w:sz w:val="15"/>
              </w:rPr>
              <w:t>100</w:t>
            </w:r>
          </w:p>
        </w:tc>
        <w:tc>
          <w:tcPr>
            <w:tcW w:type="dxa" w:w="1020"/>
            <w:tcMar>
              <w:top w:w="70" w:type="dxa"/>
              <w:start w:w="80" w:type="dxa"/>
              <w:bottom w:w="70" w:type="dxa"/>
              <w:end w:w="80" w:type="dxa"/>
            </w:tcMar>
            <w:vAlign w:val="center"/>
          </w:tcPr>
          <w:p>
            <w:pPr>
              <w:jc w:val="center"/>
            </w:pPr>
            <w:r>
              <w:rPr>
                <w:sz w:val="15"/>
              </w:rPr>
              <w:t>70</w:t>
            </w:r>
          </w:p>
        </w:tc>
        <w:tc>
          <w:tcPr>
            <w:tcW w:type="dxa" w:w="1984"/>
            <w:tcMar>
              <w:top w:w="70" w:type="dxa"/>
              <w:start w:w="80" w:type="dxa"/>
              <w:bottom w:w="70" w:type="dxa"/>
              <w:end w:w="80" w:type="dxa"/>
            </w:tcMar>
            <w:vAlign w:val="center"/>
          </w:tcPr>
          <w:p>
            <w:r>
              <w:rPr>
                <w:sz w:val="15"/>
              </w:rPr>
              <w:t>P1 - expansion</w:t>
            </w:r>
          </w:p>
        </w:tc>
      </w:tr>
      <w:tr>
        <w:trPr>
          <w:cantSplit/>
        </w:trPr>
        <w:tc>
          <w:tcPr>
            <w:tcW w:type="dxa" w:w="454"/>
            <w:tcMar>
              <w:top w:w="70" w:type="dxa"/>
              <w:start w:w="80" w:type="dxa"/>
              <w:bottom w:w="70" w:type="dxa"/>
              <w:end w:w="80" w:type="dxa"/>
            </w:tcMar>
            <w:vAlign w:val="center"/>
            <w:shd w:fill="F2F4F5"/>
          </w:tcPr>
          <w:p>
            <w:pPr>
              <w:jc w:val="center"/>
            </w:pPr>
            <w:r>
              <w:rPr>
                <w:sz w:val="15"/>
              </w:rPr>
              <w:t>10</w:t>
            </w:r>
          </w:p>
        </w:tc>
        <w:tc>
          <w:tcPr>
            <w:tcW w:type="dxa" w:w="2381"/>
            <w:tcMar>
              <w:top w:w="70" w:type="dxa"/>
              <w:start w:w="80" w:type="dxa"/>
              <w:bottom w:w="70" w:type="dxa"/>
              <w:end w:w="80" w:type="dxa"/>
            </w:tcMar>
            <w:vAlign w:val="center"/>
            <w:shd w:fill="F2F4F5"/>
          </w:tcPr>
          <w:p>
            <w:r>
              <w:rPr>
                <w:sz w:val="15"/>
              </w:rPr>
              <w:t>DIN process symbol standards</w:t>
            </w:r>
          </w:p>
        </w:tc>
        <w:tc>
          <w:tcPr>
            <w:tcW w:type="dxa" w:w="2891"/>
            <w:tcMar>
              <w:top w:w="70" w:type="dxa"/>
              <w:start w:w="80" w:type="dxa"/>
              <w:bottom w:w="70" w:type="dxa"/>
              <w:end w:w="80" w:type="dxa"/>
            </w:tcMar>
            <w:vAlign w:val="center"/>
            <w:shd w:fill="F2F4F5"/>
          </w:tcPr>
          <w:p>
            <w:r>
              <w:rPr>
                <w:sz w:val="15"/>
              </w:rPr>
              <w:t>German/European process supplements/variants</w:t>
            </w:r>
          </w:p>
        </w:tc>
        <w:tc>
          <w:tcPr>
            <w:tcW w:type="dxa" w:w="1020"/>
            <w:tcMar>
              <w:top w:w="70" w:type="dxa"/>
              <w:start w:w="80" w:type="dxa"/>
              <w:bottom w:w="70" w:type="dxa"/>
              <w:end w:w="80" w:type="dxa"/>
            </w:tcMar>
            <w:vAlign w:val="center"/>
            <w:shd w:fill="F2F4F5"/>
          </w:tcPr>
          <w:p>
            <w:pPr>
              <w:jc w:val="center"/>
            </w:pPr>
            <w:r>
              <w:rPr>
                <w:sz w:val="15"/>
              </w:rPr>
              <w:t>89</w:t>
            </w:r>
          </w:p>
        </w:tc>
        <w:tc>
          <w:tcPr>
            <w:tcW w:type="dxa" w:w="1020"/>
            <w:tcMar>
              <w:top w:w="70" w:type="dxa"/>
              <w:start w:w="80" w:type="dxa"/>
              <w:bottom w:w="70" w:type="dxa"/>
              <w:end w:w="80" w:type="dxa"/>
            </w:tcMar>
            <w:vAlign w:val="center"/>
            <w:shd w:fill="F2F4F5"/>
          </w:tcPr>
          <w:p>
            <w:pPr>
              <w:jc w:val="center"/>
            </w:pPr>
            <w:r>
              <w:rPr>
                <w:sz w:val="15"/>
              </w:rPr>
              <w:t>55</w:t>
            </w:r>
          </w:p>
        </w:tc>
        <w:tc>
          <w:tcPr>
            <w:tcW w:type="dxa" w:w="1984"/>
            <w:tcMar>
              <w:top w:w="70" w:type="dxa"/>
              <w:start w:w="80" w:type="dxa"/>
              <w:bottom w:w="70" w:type="dxa"/>
              <w:end w:w="80" w:type="dxa"/>
            </w:tcMar>
            <w:vAlign w:val="center"/>
            <w:shd w:fill="F2F4F5"/>
          </w:tcPr>
          <w:p>
            <w:r>
              <w:rPr>
                <w:sz w:val="15"/>
              </w:rPr>
              <w:t>P1 - partnership</w:t>
            </w:r>
          </w:p>
        </w:tc>
      </w:tr>
      <w:tr>
        <w:trPr>
          <w:cantSplit/>
        </w:trPr>
        <w:tc>
          <w:tcPr>
            <w:tcW w:type="dxa" w:w="454"/>
            <w:tcMar>
              <w:top w:w="70" w:type="dxa"/>
              <w:start w:w="80" w:type="dxa"/>
              <w:bottom w:w="70" w:type="dxa"/>
              <w:end w:w="80" w:type="dxa"/>
            </w:tcMar>
            <w:vAlign w:val="center"/>
          </w:tcPr>
          <w:p>
            <w:pPr>
              <w:jc w:val="center"/>
            </w:pPr>
            <w:r>
              <w:rPr>
                <w:sz w:val="15"/>
              </w:rPr>
              <w:t>11</w:t>
            </w:r>
          </w:p>
        </w:tc>
        <w:tc>
          <w:tcPr>
            <w:tcW w:type="dxa" w:w="2381"/>
            <w:tcMar>
              <w:top w:w="70" w:type="dxa"/>
              <w:start w:w="80" w:type="dxa"/>
              <w:bottom w:w="70" w:type="dxa"/>
              <w:end w:w="80" w:type="dxa"/>
            </w:tcMar>
            <w:vAlign w:val="center"/>
          </w:tcPr>
          <w:p>
            <w:r>
              <w:rPr>
                <w:sz w:val="15"/>
              </w:rPr>
              <w:t>Vendor reference implementations</w:t>
            </w:r>
          </w:p>
        </w:tc>
        <w:tc>
          <w:tcPr>
            <w:tcW w:type="dxa" w:w="2891"/>
            <w:tcMar>
              <w:top w:w="70" w:type="dxa"/>
              <w:start w:w="80" w:type="dxa"/>
              <w:bottom w:w="70" w:type="dxa"/>
              <w:end w:w="80" w:type="dxa"/>
            </w:tcMar>
            <w:vAlign w:val="center"/>
          </w:tcPr>
          <w:p>
            <w:r>
              <w:rPr>
                <w:sz w:val="15"/>
              </w:rPr>
              <w:t>Autodesk / Hexagon / Siemens / AVEVA / Bentley</w:t>
            </w:r>
          </w:p>
        </w:tc>
        <w:tc>
          <w:tcPr>
            <w:tcW w:type="dxa" w:w="1020"/>
            <w:tcMar>
              <w:top w:w="70" w:type="dxa"/>
              <w:start w:w="80" w:type="dxa"/>
              <w:bottom w:w="70" w:type="dxa"/>
              <w:end w:w="80" w:type="dxa"/>
            </w:tcMar>
            <w:vAlign w:val="center"/>
          </w:tcPr>
          <w:p>
            <w:pPr>
              <w:jc w:val="center"/>
            </w:pPr>
            <w:r>
              <w:rPr>
                <w:sz w:val="15"/>
              </w:rPr>
              <w:t>86</w:t>
            </w:r>
          </w:p>
        </w:tc>
        <w:tc>
          <w:tcPr>
            <w:tcW w:type="dxa" w:w="1020"/>
            <w:tcMar>
              <w:top w:w="70" w:type="dxa"/>
              <w:start w:w="80" w:type="dxa"/>
              <w:bottom w:w="70" w:type="dxa"/>
              <w:end w:w="80" w:type="dxa"/>
            </w:tcMar>
            <w:vAlign w:val="center"/>
          </w:tcPr>
          <w:p>
            <w:pPr>
              <w:jc w:val="center"/>
            </w:pPr>
            <w:r>
              <w:rPr>
                <w:sz w:val="15"/>
              </w:rPr>
              <w:t>76</w:t>
            </w:r>
          </w:p>
        </w:tc>
        <w:tc>
          <w:tcPr>
            <w:tcW w:type="dxa" w:w="1984"/>
            <w:tcMar>
              <w:top w:w="70" w:type="dxa"/>
              <w:start w:w="80" w:type="dxa"/>
              <w:bottom w:w="70" w:type="dxa"/>
              <w:end w:w="80" w:type="dxa"/>
            </w:tcMar>
            <w:vAlign w:val="center"/>
          </w:tcPr>
          <w:p>
            <w:r>
              <w:rPr>
                <w:sz w:val="15"/>
              </w:rPr>
              <w:t>P0/P1 - crosswalk</w:t>
            </w:r>
          </w:p>
        </w:tc>
      </w:tr>
      <w:tr>
        <w:trPr>
          <w:cantSplit/>
        </w:trPr>
        <w:tc>
          <w:tcPr>
            <w:tcW w:type="dxa" w:w="454"/>
            <w:tcMar>
              <w:top w:w="70" w:type="dxa"/>
              <w:start w:w="80" w:type="dxa"/>
              <w:bottom w:w="70" w:type="dxa"/>
              <w:end w:w="80" w:type="dxa"/>
            </w:tcMar>
            <w:vAlign w:val="center"/>
            <w:shd w:fill="F2F4F5"/>
          </w:tcPr>
          <w:p>
            <w:pPr>
              <w:jc w:val="center"/>
            </w:pPr>
            <w:r>
              <w:rPr>
                <w:sz w:val="15"/>
              </w:rPr>
              <w:t>12</w:t>
            </w:r>
          </w:p>
        </w:tc>
        <w:tc>
          <w:tcPr>
            <w:tcW w:type="dxa" w:w="2381"/>
            <w:tcMar>
              <w:top w:w="70" w:type="dxa"/>
              <w:start w:w="80" w:type="dxa"/>
              <w:bottom w:w="70" w:type="dxa"/>
              <w:end w:w="80" w:type="dxa"/>
            </w:tcMar>
            <w:vAlign w:val="center"/>
            <w:shd w:fill="F2F4F5"/>
          </w:tcPr>
          <w:p>
            <w:r>
              <w:rPr>
                <w:sz w:val="15"/>
              </w:rPr>
              <w:t>CFIHOS 2.0 RDL</w:t>
            </w:r>
          </w:p>
        </w:tc>
        <w:tc>
          <w:tcPr>
            <w:tcW w:type="dxa" w:w="2891"/>
            <w:tcMar>
              <w:top w:w="70" w:type="dxa"/>
              <w:start w:w="80" w:type="dxa"/>
              <w:bottom w:w="70" w:type="dxa"/>
              <w:end w:w="80" w:type="dxa"/>
            </w:tcMar>
            <w:vAlign w:val="center"/>
            <w:shd w:fill="F2F4F5"/>
          </w:tcPr>
          <w:p>
            <w:r>
              <w:rPr>
                <w:sz w:val="15"/>
              </w:rPr>
              <w:t>Asset-information/reference-data backbone</w:t>
            </w:r>
          </w:p>
        </w:tc>
        <w:tc>
          <w:tcPr>
            <w:tcW w:type="dxa" w:w="1020"/>
            <w:tcMar>
              <w:top w:w="70" w:type="dxa"/>
              <w:start w:w="80" w:type="dxa"/>
              <w:bottom w:w="70" w:type="dxa"/>
              <w:end w:w="80" w:type="dxa"/>
            </w:tcMar>
            <w:vAlign w:val="center"/>
            <w:shd w:fill="F2F4F5"/>
          </w:tcPr>
          <w:p>
            <w:pPr>
              <w:jc w:val="center"/>
            </w:pPr>
            <w:r>
              <w:rPr>
                <w:sz w:val="15"/>
              </w:rPr>
              <w:t>85</w:t>
            </w:r>
          </w:p>
        </w:tc>
        <w:tc>
          <w:tcPr>
            <w:tcW w:type="dxa" w:w="1020"/>
            <w:tcMar>
              <w:top w:w="70" w:type="dxa"/>
              <w:start w:w="80" w:type="dxa"/>
              <w:bottom w:w="70" w:type="dxa"/>
              <w:end w:w="80" w:type="dxa"/>
            </w:tcMar>
            <w:vAlign w:val="center"/>
            <w:shd w:fill="F2F4F5"/>
          </w:tcPr>
          <w:p>
            <w:pPr>
              <w:jc w:val="center"/>
            </w:pPr>
            <w:r>
              <w:rPr>
                <w:sz w:val="15"/>
              </w:rPr>
              <w:t>90</w:t>
            </w:r>
          </w:p>
        </w:tc>
        <w:tc>
          <w:tcPr>
            <w:tcW w:type="dxa" w:w="1984"/>
            <w:tcMar>
              <w:top w:w="70" w:type="dxa"/>
              <w:start w:w="80" w:type="dxa"/>
              <w:bottom w:w="70" w:type="dxa"/>
              <w:end w:w="80" w:type="dxa"/>
            </w:tcMar>
            <w:vAlign w:val="center"/>
            <w:shd w:fill="F2F4F5"/>
          </w:tcPr>
          <w:p>
            <w:r>
              <w:rPr>
                <w:sz w:val="15"/>
              </w:rPr>
              <w:t>P1 - enrich semantics</w:t>
            </w:r>
          </w:p>
        </w:tc>
      </w:tr>
      <w:tr>
        <w:trPr>
          <w:cantSplit/>
        </w:trPr>
        <w:tc>
          <w:tcPr>
            <w:tcW w:type="dxa" w:w="454"/>
            <w:tcMar>
              <w:top w:w="70" w:type="dxa"/>
              <w:start w:w="80" w:type="dxa"/>
              <w:bottom w:w="70" w:type="dxa"/>
              <w:end w:w="80" w:type="dxa"/>
            </w:tcMar>
            <w:vAlign w:val="center"/>
          </w:tcPr>
          <w:p>
            <w:pPr>
              <w:jc w:val="center"/>
            </w:pPr>
            <w:r>
              <w:rPr>
                <w:sz w:val="15"/>
              </w:rPr>
              <w:t>13</w:t>
            </w:r>
          </w:p>
        </w:tc>
        <w:tc>
          <w:tcPr>
            <w:tcW w:type="dxa" w:w="2381"/>
            <w:tcMar>
              <w:top w:w="70" w:type="dxa"/>
              <w:start w:w="80" w:type="dxa"/>
              <w:bottom w:w="70" w:type="dxa"/>
              <w:end w:w="80" w:type="dxa"/>
            </w:tcMar>
            <w:vAlign w:val="center"/>
          </w:tcPr>
          <w:p>
            <w:r>
              <w:rPr>
                <w:sz w:val="15"/>
              </w:rPr>
              <w:t>Owner/operator standards</w:t>
            </w:r>
          </w:p>
        </w:tc>
        <w:tc>
          <w:tcPr>
            <w:tcW w:type="dxa" w:w="2891"/>
            <w:tcMar>
              <w:top w:w="70" w:type="dxa"/>
              <w:start w:w="80" w:type="dxa"/>
              <w:bottom w:w="70" w:type="dxa"/>
              <w:end w:w="80" w:type="dxa"/>
            </w:tcMar>
            <w:vAlign w:val="center"/>
          </w:tcPr>
          <w:p>
            <w:r>
              <w:rPr>
                <w:sz w:val="15"/>
              </w:rPr>
              <w:t>Equinor, ADNOC, Shell, Aramco, etc.</w:t>
            </w:r>
          </w:p>
        </w:tc>
        <w:tc>
          <w:tcPr>
            <w:tcW w:type="dxa" w:w="1020"/>
            <w:tcMar>
              <w:top w:w="70" w:type="dxa"/>
              <w:start w:w="80" w:type="dxa"/>
              <w:bottom w:w="70" w:type="dxa"/>
              <w:end w:w="80" w:type="dxa"/>
            </w:tcMar>
            <w:vAlign w:val="center"/>
          </w:tcPr>
          <w:p>
            <w:pPr>
              <w:jc w:val="center"/>
            </w:pPr>
            <w:r>
              <w:rPr>
                <w:sz w:val="15"/>
              </w:rPr>
              <w:t>86</w:t>
            </w:r>
          </w:p>
        </w:tc>
        <w:tc>
          <w:tcPr>
            <w:tcW w:type="dxa" w:w="1020"/>
            <w:tcMar>
              <w:top w:w="70" w:type="dxa"/>
              <w:start w:w="80" w:type="dxa"/>
              <w:bottom w:w="70" w:type="dxa"/>
              <w:end w:w="80" w:type="dxa"/>
            </w:tcMar>
            <w:vAlign w:val="center"/>
          </w:tcPr>
          <w:p>
            <w:pPr>
              <w:jc w:val="center"/>
            </w:pPr>
            <w:r>
              <w:rPr>
                <w:sz w:val="15"/>
              </w:rPr>
              <w:t>65</w:t>
            </w:r>
          </w:p>
        </w:tc>
        <w:tc>
          <w:tcPr>
            <w:tcW w:type="dxa" w:w="1984"/>
            <w:tcMar>
              <w:top w:w="70" w:type="dxa"/>
              <w:start w:w="80" w:type="dxa"/>
              <w:bottom w:w="70" w:type="dxa"/>
              <w:end w:w="80" w:type="dxa"/>
            </w:tcMar>
            <w:vAlign w:val="center"/>
          </w:tcPr>
          <w:p>
            <w:r>
              <w:rPr>
                <w:sz w:val="15"/>
              </w:rPr>
              <w:t>P1 - overlays</w:t>
            </w:r>
          </w:p>
        </w:tc>
      </w:tr>
      <w:tr>
        <w:trPr>
          <w:cantSplit/>
        </w:trPr>
        <w:tc>
          <w:tcPr>
            <w:tcW w:type="dxa" w:w="454"/>
            <w:tcMar>
              <w:top w:w="70" w:type="dxa"/>
              <w:start w:w="80" w:type="dxa"/>
              <w:bottom w:w="70" w:type="dxa"/>
              <w:end w:w="80" w:type="dxa"/>
            </w:tcMar>
            <w:vAlign w:val="center"/>
            <w:shd w:fill="F2F4F5"/>
          </w:tcPr>
          <w:p>
            <w:pPr>
              <w:jc w:val="center"/>
            </w:pPr>
            <w:r>
              <w:rPr>
                <w:sz w:val="15"/>
              </w:rPr>
              <w:t>14</w:t>
            </w:r>
          </w:p>
        </w:tc>
        <w:tc>
          <w:tcPr>
            <w:tcW w:type="dxa" w:w="2381"/>
            <w:tcMar>
              <w:top w:w="70" w:type="dxa"/>
              <w:start w:w="80" w:type="dxa"/>
              <w:bottom w:w="70" w:type="dxa"/>
              <w:end w:w="80" w:type="dxa"/>
            </w:tcMar>
            <w:vAlign w:val="center"/>
            <w:shd w:fill="F2F4F5"/>
          </w:tcPr>
          <w:p>
            <w:r>
              <w:rPr>
                <w:sz w:val="15"/>
              </w:rPr>
              <w:t>JIS Z 8204 / Japanese practices</w:t>
            </w:r>
          </w:p>
        </w:tc>
        <w:tc>
          <w:tcPr>
            <w:tcW w:type="dxa" w:w="2891"/>
            <w:tcMar>
              <w:top w:w="70" w:type="dxa"/>
              <w:start w:w="80" w:type="dxa"/>
              <w:bottom w:w="70" w:type="dxa"/>
              <w:end w:w="80" w:type="dxa"/>
            </w:tcMar>
            <w:vAlign w:val="center"/>
            <w:shd w:fill="F2F4F5"/>
          </w:tcPr>
          <w:p>
            <w:r>
              <w:rPr>
                <w:sz w:val="15"/>
              </w:rPr>
              <w:t>Regional/legacy instrumentation symbols</w:t>
            </w:r>
          </w:p>
        </w:tc>
        <w:tc>
          <w:tcPr>
            <w:tcW w:type="dxa" w:w="1020"/>
            <w:tcMar>
              <w:top w:w="70" w:type="dxa"/>
              <w:start w:w="80" w:type="dxa"/>
              <w:bottom w:w="70" w:type="dxa"/>
              <w:end w:w="80" w:type="dxa"/>
            </w:tcMar>
            <w:vAlign w:val="center"/>
            <w:shd w:fill="F2F4F5"/>
          </w:tcPr>
          <w:p>
            <w:pPr>
              <w:jc w:val="center"/>
            </w:pPr>
            <w:r>
              <w:rPr>
                <w:sz w:val="15"/>
              </w:rPr>
              <w:t>79</w:t>
            </w:r>
          </w:p>
        </w:tc>
        <w:tc>
          <w:tcPr>
            <w:tcW w:type="dxa" w:w="1020"/>
            <w:tcMar>
              <w:top w:w="70" w:type="dxa"/>
              <w:start w:w="80" w:type="dxa"/>
              <w:bottom w:w="70" w:type="dxa"/>
              <w:end w:w="80" w:type="dxa"/>
            </w:tcMar>
            <w:vAlign w:val="center"/>
            <w:shd w:fill="F2F4F5"/>
          </w:tcPr>
          <w:p>
            <w:pPr>
              <w:jc w:val="center"/>
            </w:pPr>
            <w:r>
              <w:rPr>
                <w:sz w:val="15"/>
              </w:rPr>
              <w:t>49</w:t>
            </w:r>
          </w:p>
        </w:tc>
        <w:tc>
          <w:tcPr>
            <w:tcW w:type="dxa" w:w="1984"/>
            <w:tcMar>
              <w:top w:w="70" w:type="dxa"/>
              <w:start w:w="80" w:type="dxa"/>
              <w:bottom w:w="70" w:type="dxa"/>
              <w:end w:w="80" w:type="dxa"/>
            </w:tcMar>
            <w:vAlign w:val="center"/>
            <w:shd w:fill="F2F4F5"/>
          </w:tcPr>
          <w:p>
            <w:r>
              <w:rPr>
                <w:sz w:val="15"/>
              </w:rPr>
              <w:t>P2 - regional</w:t>
            </w:r>
          </w:p>
        </w:tc>
      </w:tr>
      <w:tr>
        <w:trPr>
          <w:cantSplit/>
        </w:trPr>
        <w:tc>
          <w:tcPr>
            <w:tcW w:type="dxa" w:w="454"/>
            <w:tcMar>
              <w:top w:w="70" w:type="dxa"/>
              <w:start w:w="80" w:type="dxa"/>
              <w:bottom w:w="70" w:type="dxa"/>
              <w:end w:w="80" w:type="dxa"/>
            </w:tcMar>
            <w:vAlign w:val="center"/>
          </w:tcPr>
          <w:p>
            <w:pPr>
              <w:jc w:val="center"/>
            </w:pPr>
            <w:r>
              <w:rPr>
                <w:sz w:val="15"/>
              </w:rPr>
              <w:t>15</w:t>
            </w:r>
          </w:p>
        </w:tc>
        <w:tc>
          <w:tcPr>
            <w:tcW w:type="dxa" w:w="2381"/>
            <w:tcMar>
              <w:top w:w="70" w:type="dxa"/>
              <w:start w:w="80" w:type="dxa"/>
              <w:bottom w:w="70" w:type="dxa"/>
              <w:end w:w="80" w:type="dxa"/>
            </w:tcMar>
            <w:vAlign w:val="center"/>
          </w:tcPr>
          <w:p>
            <w:r>
              <w:rPr>
                <w:sz w:val="15"/>
              </w:rPr>
              <w:t>ISO 2553 / AWS A2.4</w:t>
            </w:r>
          </w:p>
        </w:tc>
        <w:tc>
          <w:tcPr>
            <w:tcW w:type="dxa" w:w="2891"/>
            <w:tcMar>
              <w:top w:w="70" w:type="dxa"/>
              <w:start w:w="80" w:type="dxa"/>
              <w:bottom w:w="70" w:type="dxa"/>
              <w:end w:w="80" w:type="dxa"/>
            </w:tcMar>
            <w:vAlign w:val="center"/>
          </w:tcPr>
          <w:p>
            <w:r>
              <w:rPr>
                <w:sz w:val="15"/>
              </w:rPr>
              <w:t>Welding/brazing/NDE symbols</w:t>
            </w:r>
          </w:p>
        </w:tc>
        <w:tc>
          <w:tcPr>
            <w:tcW w:type="dxa" w:w="1020"/>
            <w:tcMar>
              <w:top w:w="70" w:type="dxa"/>
              <w:start w:w="80" w:type="dxa"/>
              <w:bottom w:w="70" w:type="dxa"/>
              <w:end w:w="80" w:type="dxa"/>
            </w:tcMar>
            <w:vAlign w:val="center"/>
          </w:tcPr>
          <w:p>
            <w:pPr>
              <w:jc w:val="center"/>
            </w:pPr>
            <w:r>
              <w:rPr>
                <w:sz w:val="15"/>
              </w:rPr>
              <w:t>96</w:t>
            </w:r>
          </w:p>
        </w:tc>
        <w:tc>
          <w:tcPr>
            <w:tcW w:type="dxa" w:w="1020"/>
            <w:tcMar>
              <w:top w:w="70" w:type="dxa"/>
              <w:start w:w="80" w:type="dxa"/>
              <w:bottom w:w="70" w:type="dxa"/>
              <w:end w:w="80" w:type="dxa"/>
            </w:tcMar>
            <w:vAlign w:val="center"/>
          </w:tcPr>
          <w:p>
            <w:pPr>
              <w:jc w:val="center"/>
            </w:pPr>
            <w:r>
              <w:rPr>
                <w:sz w:val="15"/>
              </w:rPr>
              <w:t>42</w:t>
            </w:r>
          </w:p>
        </w:tc>
        <w:tc>
          <w:tcPr>
            <w:tcW w:type="dxa" w:w="1984"/>
            <w:tcMar>
              <w:top w:w="70" w:type="dxa"/>
              <w:start w:w="80" w:type="dxa"/>
              <w:bottom w:w="70" w:type="dxa"/>
              <w:end w:w="80" w:type="dxa"/>
            </w:tcMar>
            <w:vAlign w:val="center"/>
          </w:tcPr>
          <w:p>
            <w:r>
              <w:rPr>
                <w:sz w:val="15"/>
              </w:rPr>
              <w:t>P2 - discipline</w:t>
            </w:r>
          </w:p>
        </w:tc>
      </w:tr>
      <w:tr>
        <w:trPr>
          <w:cantSplit/>
        </w:trPr>
        <w:tc>
          <w:tcPr>
            <w:tcW w:type="dxa" w:w="454"/>
            <w:tcMar>
              <w:top w:w="70" w:type="dxa"/>
              <w:start w:w="80" w:type="dxa"/>
              <w:bottom w:w="70" w:type="dxa"/>
              <w:end w:w="80" w:type="dxa"/>
            </w:tcMar>
            <w:vAlign w:val="center"/>
            <w:shd w:fill="F2F4F5"/>
          </w:tcPr>
          <w:p>
            <w:pPr>
              <w:jc w:val="center"/>
            </w:pPr>
            <w:r>
              <w:rPr>
                <w:sz w:val="15"/>
              </w:rPr>
              <w:t>16</w:t>
            </w:r>
          </w:p>
        </w:tc>
        <w:tc>
          <w:tcPr>
            <w:tcW w:type="dxa" w:w="2381"/>
            <w:tcMar>
              <w:top w:w="70" w:type="dxa"/>
              <w:start w:w="80" w:type="dxa"/>
              <w:bottom w:w="70" w:type="dxa"/>
              <w:end w:w="80" w:type="dxa"/>
            </w:tcMar>
            <w:vAlign w:val="center"/>
            <w:shd w:fill="F2F4F5"/>
          </w:tcPr>
          <w:p>
            <w:r>
              <w:rPr>
                <w:sz w:val="15"/>
              </w:rPr>
              <w:t>ASME Y14.5</w:t>
            </w:r>
          </w:p>
        </w:tc>
        <w:tc>
          <w:tcPr>
            <w:tcW w:type="dxa" w:w="2891"/>
            <w:tcMar>
              <w:top w:w="70" w:type="dxa"/>
              <w:start w:w="80" w:type="dxa"/>
              <w:bottom w:w="70" w:type="dxa"/>
              <w:end w:w="80" w:type="dxa"/>
            </w:tcMar>
            <w:vAlign w:val="center"/>
            <w:shd w:fill="F2F4F5"/>
          </w:tcPr>
          <w:p>
            <w:r>
              <w:rPr>
                <w:sz w:val="15"/>
              </w:rPr>
              <w:t>GD&amp;T symbols and rules</w:t>
            </w:r>
          </w:p>
        </w:tc>
        <w:tc>
          <w:tcPr>
            <w:tcW w:type="dxa" w:w="1020"/>
            <w:tcMar>
              <w:top w:w="70" w:type="dxa"/>
              <w:start w:w="80" w:type="dxa"/>
              <w:bottom w:w="70" w:type="dxa"/>
              <w:end w:w="80" w:type="dxa"/>
            </w:tcMar>
            <w:vAlign w:val="center"/>
            <w:shd w:fill="F2F4F5"/>
          </w:tcPr>
          <w:p>
            <w:pPr>
              <w:jc w:val="center"/>
            </w:pPr>
            <w:r>
              <w:rPr>
                <w:sz w:val="15"/>
              </w:rPr>
              <w:t>100</w:t>
            </w:r>
          </w:p>
        </w:tc>
        <w:tc>
          <w:tcPr>
            <w:tcW w:type="dxa" w:w="1020"/>
            <w:tcMar>
              <w:top w:w="70" w:type="dxa"/>
              <w:start w:w="80" w:type="dxa"/>
              <w:bottom w:w="70" w:type="dxa"/>
              <w:end w:w="80" w:type="dxa"/>
            </w:tcMar>
            <w:vAlign w:val="center"/>
            <w:shd w:fill="F2F4F5"/>
          </w:tcPr>
          <w:p>
            <w:pPr>
              <w:jc w:val="center"/>
            </w:pPr>
            <w:r>
              <w:rPr>
                <w:sz w:val="15"/>
              </w:rPr>
              <w:t>39</w:t>
            </w:r>
          </w:p>
        </w:tc>
        <w:tc>
          <w:tcPr>
            <w:tcW w:type="dxa" w:w="1984"/>
            <w:tcMar>
              <w:top w:w="70" w:type="dxa"/>
              <w:start w:w="80" w:type="dxa"/>
              <w:bottom w:w="70" w:type="dxa"/>
              <w:end w:w="80" w:type="dxa"/>
            </w:tcMar>
            <w:vAlign w:val="center"/>
            <w:shd w:fill="F2F4F5"/>
          </w:tcPr>
          <w:p>
            <w:r>
              <w:rPr>
                <w:sz w:val="15"/>
              </w:rPr>
              <w:t>P2 - discipline</w:t>
            </w:r>
          </w:p>
        </w:tc>
      </w:tr>
      <w:tr>
        <w:trPr>
          <w:cantSplit/>
        </w:trPr>
        <w:tc>
          <w:tcPr>
            <w:tcW w:type="dxa" w:w="454"/>
            <w:tcMar>
              <w:top w:w="70" w:type="dxa"/>
              <w:start w:w="80" w:type="dxa"/>
              <w:bottom w:w="70" w:type="dxa"/>
              <w:end w:w="80" w:type="dxa"/>
            </w:tcMar>
            <w:vAlign w:val="center"/>
          </w:tcPr>
          <w:p>
            <w:pPr>
              <w:jc w:val="center"/>
            </w:pPr>
            <w:r>
              <w:rPr>
                <w:sz w:val="15"/>
              </w:rPr>
              <w:t>17</w:t>
            </w:r>
          </w:p>
        </w:tc>
        <w:tc>
          <w:tcPr>
            <w:tcW w:type="dxa" w:w="2381"/>
            <w:tcMar>
              <w:top w:w="70" w:type="dxa"/>
              <w:start w:w="80" w:type="dxa"/>
              <w:bottom w:w="70" w:type="dxa"/>
              <w:end w:w="80" w:type="dxa"/>
            </w:tcMar>
            <w:vAlign w:val="center"/>
          </w:tcPr>
          <w:p>
            <w:r>
              <w:rPr>
                <w:sz w:val="15"/>
              </w:rPr>
              <w:t>NFPA 170</w:t>
            </w:r>
          </w:p>
        </w:tc>
        <w:tc>
          <w:tcPr>
            <w:tcW w:type="dxa" w:w="2891"/>
            <w:tcMar>
              <w:top w:w="70" w:type="dxa"/>
              <w:start w:w="80" w:type="dxa"/>
              <w:bottom w:w="70" w:type="dxa"/>
              <w:end w:w="80" w:type="dxa"/>
            </w:tcMar>
            <w:vAlign w:val="center"/>
          </w:tcPr>
          <w:p>
            <w:r>
              <w:rPr>
                <w:sz w:val="15"/>
              </w:rPr>
              <w:t>Fire safety and emergency symbols</w:t>
            </w:r>
          </w:p>
        </w:tc>
        <w:tc>
          <w:tcPr>
            <w:tcW w:type="dxa" w:w="1020"/>
            <w:tcMar>
              <w:top w:w="70" w:type="dxa"/>
              <w:start w:w="80" w:type="dxa"/>
              <w:bottom w:w="70" w:type="dxa"/>
              <w:end w:w="80" w:type="dxa"/>
            </w:tcMar>
            <w:vAlign w:val="center"/>
          </w:tcPr>
          <w:p>
            <w:pPr>
              <w:jc w:val="center"/>
            </w:pPr>
            <w:r>
              <w:rPr>
                <w:sz w:val="15"/>
              </w:rPr>
              <w:t>92</w:t>
            </w:r>
          </w:p>
        </w:tc>
        <w:tc>
          <w:tcPr>
            <w:tcW w:type="dxa" w:w="1020"/>
            <w:tcMar>
              <w:top w:w="70" w:type="dxa"/>
              <w:start w:w="80" w:type="dxa"/>
              <w:bottom w:w="70" w:type="dxa"/>
              <w:end w:w="80" w:type="dxa"/>
            </w:tcMar>
            <w:vAlign w:val="center"/>
          </w:tcPr>
          <w:p>
            <w:pPr>
              <w:jc w:val="center"/>
            </w:pPr>
            <w:r>
              <w:rPr>
                <w:sz w:val="15"/>
              </w:rPr>
              <w:t>42</w:t>
            </w:r>
          </w:p>
        </w:tc>
        <w:tc>
          <w:tcPr>
            <w:tcW w:type="dxa" w:w="1984"/>
            <w:tcMar>
              <w:top w:w="70" w:type="dxa"/>
              <w:start w:w="80" w:type="dxa"/>
              <w:bottom w:w="70" w:type="dxa"/>
              <w:end w:w="80" w:type="dxa"/>
            </w:tcMar>
            <w:vAlign w:val="center"/>
          </w:tcPr>
          <w:p>
            <w:r>
              <w:rPr>
                <w:sz w:val="15"/>
              </w:rPr>
              <w:t>P2 - discipline</w:t>
            </w:r>
          </w:p>
        </w:tc>
      </w:tr>
      <w:tr>
        <w:trPr>
          <w:cantSplit/>
        </w:trPr>
        <w:tc>
          <w:tcPr>
            <w:tcW w:type="dxa" w:w="454"/>
            <w:tcMar>
              <w:top w:w="70" w:type="dxa"/>
              <w:start w:w="80" w:type="dxa"/>
              <w:bottom w:w="70" w:type="dxa"/>
              <w:end w:w="80" w:type="dxa"/>
            </w:tcMar>
            <w:vAlign w:val="center"/>
            <w:shd w:fill="F2F4F5"/>
          </w:tcPr>
          <w:p>
            <w:pPr>
              <w:jc w:val="center"/>
            </w:pPr>
            <w:r>
              <w:rPr>
                <w:sz w:val="15"/>
              </w:rPr>
              <w:t>18</w:t>
            </w:r>
          </w:p>
        </w:tc>
        <w:tc>
          <w:tcPr>
            <w:tcW w:type="dxa" w:w="2381"/>
            <w:tcMar>
              <w:top w:w="70" w:type="dxa"/>
              <w:start w:w="80" w:type="dxa"/>
              <w:bottom w:w="70" w:type="dxa"/>
              <w:end w:w="80" w:type="dxa"/>
            </w:tcMar>
            <w:vAlign w:val="center"/>
            <w:shd w:fill="F2F4F5"/>
          </w:tcPr>
          <w:p>
            <w:r>
              <w:rPr>
                <w:sz w:val="15"/>
              </w:rPr>
              <w:t>QElectroTech elements</w:t>
            </w:r>
          </w:p>
        </w:tc>
        <w:tc>
          <w:tcPr>
            <w:tcW w:type="dxa" w:w="2891"/>
            <w:tcMar>
              <w:top w:w="70" w:type="dxa"/>
              <w:start w:w="80" w:type="dxa"/>
              <w:bottom w:w="70" w:type="dxa"/>
              <w:end w:w="80" w:type="dxa"/>
            </w:tcMar>
            <w:vAlign w:val="center"/>
            <w:shd w:fill="F2F4F5"/>
          </w:tcPr>
          <w:p>
            <w:r>
              <w:rPr>
                <w:sz w:val="15"/>
              </w:rPr>
              <w:t>Open engineering symbol corpus/testbed</w:t>
            </w:r>
          </w:p>
        </w:tc>
        <w:tc>
          <w:tcPr>
            <w:tcW w:type="dxa" w:w="1020"/>
            <w:tcMar>
              <w:top w:w="70" w:type="dxa"/>
              <w:start w:w="80" w:type="dxa"/>
              <w:bottom w:w="70" w:type="dxa"/>
              <w:end w:w="80" w:type="dxa"/>
            </w:tcMar>
            <w:vAlign w:val="center"/>
            <w:shd w:fill="F2F4F5"/>
          </w:tcPr>
          <w:p>
            <w:pPr>
              <w:jc w:val="center"/>
            </w:pPr>
            <w:r>
              <w:rPr>
                <w:sz w:val="15"/>
              </w:rPr>
              <w:t>58</w:t>
            </w:r>
          </w:p>
        </w:tc>
        <w:tc>
          <w:tcPr>
            <w:tcW w:type="dxa" w:w="1020"/>
            <w:tcMar>
              <w:top w:w="70" w:type="dxa"/>
              <w:start w:w="80" w:type="dxa"/>
              <w:bottom w:w="70" w:type="dxa"/>
              <w:end w:w="80" w:type="dxa"/>
            </w:tcMar>
            <w:vAlign w:val="center"/>
            <w:shd w:fill="F2F4F5"/>
          </w:tcPr>
          <w:p>
            <w:pPr>
              <w:jc w:val="center"/>
            </w:pPr>
            <w:r>
              <w:rPr>
                <w:sz w:val="15"/>
              </w:rPr>
              <w:t>96</w:t>
            </w:r>
          </w:p>
        </w:tc>
        <w:tc>
          <w:tcPr>
            <w:tcW w:type="dxa" w:w="1984"/>
            <w:tcMar>
              <w:top w:w="70" w:type="dxa"/>
              <w:start w:w="80" w:type="dxa"/>
              <w:bottom w:w="70" w:type="dxa"/>
              <w:end w:w="80" w:type="dxa"/>
            </w:tcMar>
            <w:vAlign w:val="center"/>
            <w:shd w:fill="F2F4F5"/>
          </w:tcPr>
          <w:p>
            <w:r>
              <w:rPr>
                <w:sz w:val="15"/>
              </w:rPr>
              <w:t>P0 - open bootstrap</w:t>
            </w:r>
          </w:p>
        </w:tc>
      </w:tr>
      <w:tr>
        <w:trPr>
          <w:cantSplit/>
        </w:trPr>
        <w:tc>
          <w:tcPr>
            <w:tcW w:type="dxa" w:w="454"/>
            <w:tcMar>
              <w:top w:w="70" w:type="dxa"/>
              <w:start w:w="80" w:type="dxa"/>
              <w:bottom w:w="70" w:type="dxa"/>
              <w:end w:w="80" w:type="dxa"/>
            </w:tcMar>
            <w:vAlign w:val="center"/>
          </w:tcPr>
          <w:p>
            <w:pPr>
              <w:jc w:val="center"/>
            </w:pPr>
            <w:r>
              <w:rPr>
                <w:sz w:val="15"/>
              </w:rPr>
              <w:t>19</w:t>
            </w:r>
          </w:p>
        </w:tc>
        <w:tc>
          <w:tcPr>
            <w:tcW w:type="dxa" w:w="2381"/>
            <w:tcMar>
              <w:top w:w="70" w:type="dxa"/>
              <w:start w:w="80" w:type="dxa"/>
              <w:bottom w:w="70" w:type="dxa"/>
              <w:end w:w="80" w:type="dxa"/>
            </w:tcMar>
            <w:vAlign w:val="center"/>
          </w:tcPr>
          <w:p>
            <w:r>
              <w:rPr>
                <w:sz w:val="15"/>
              </w:rPr>
              <w:t>KiCad symbol libraries</w:t>
            </w:r>
          </w:p>
        </w:tc>
        <w:tc>
          <w:tcPr>
            <w:tcW w:type="dxa" w:w="2891"/>
            <w:tcMar>
              <w:top w:w="70" w:type="dxa"/>
              <w:start w:w="80" w:type="dxa"/>
              <w:bottom w:w="70" w:type="dxa"/>
              <w:end w:w="80" w:type="dxa"/>
            </w:tcMar>
            <w:vAlign w:val="center"/>
          </w:tcPr>
          <w:p>
            <w:r>
              <w:rPr>
                <w:sz w:val="15"/>
              </w:rPr>
              <w:t>Open electronics library</w:t>
            </w:r>
          </w:p>
        </w:tc>
        <w:tc>
          <w:tcPr>
            <w:tcW w:type="dxa" w:w="1020"/>
            <w:tcMar>
              <w:top w:w="70" w:type="dxa"/>
              <w:start w:w="80" w:type="dxa"/>
              <w:bottom w:w="70" w:type="dxa"/>
              <w:end w:w="80" w:type="dxa"/>
            </w:tcMar>
            <w:vAlign w:val="center"/>
          </w:tcPr>
          <w:p>
            <w:pPr>
              <w:jc w:val="center"/>
            </w:pPr>
            <w:r>
              <w:rPr>
                <w:sz w:val="15"/>
              </w:rPr>
              <w:t>76</w:t>
            </w:r>
          </w:p>
        </w:tc>
        <w:tc>
          <w:tcPr>
            <w:tcW w:type="dxa" w:w="1020"/>
            <w:tcMar>
              <w:top w:w="70" w:type="dxa"/>
              <w:start w:w="80" w:type="dxa"/>
              <w:bottom w:w="70" w:type="dxa"/>
              <w:end w:w="80" w:type="dxa"/>
            </w:tcMar>
            <w:vAlign w:val="center"/>
          </w:tcPr>
          <w:p>
            <w:pPr>
              <w:jc w:val="center"/>
            </w:pPr>
            <w:r>
              <w:rPr>
                <w:sz w:val="15"/>
              </w:rPr>
              <w:t>84</w:t>
            </w:r>
          </w:p>
        </w:tc>
        <w:tc>
          <w:tcPr>
            <w:tcW w:type="dxa" w:w="1984"/>
            <w:tcMar>
              <w:top w:w="70" w:type="dxa"/>
              <w:start w:w="80" w:type="dxa"/>
              <w:bottom w:w="70" w:type="dxa"/>
              <w:end w:w="80" w:type="dxa"/>
            </w:tcMar>
            <w:vAlign w:val="center"/>
          </w:tcPr>
          <w:p>
            <w:r>
              <w:rPr>
                <w:sz w:val="15"/>
              </w:rPr>
              <w:t>P1 - segregated ingest</w:t>
            </w:r>
          </w:p>
        </w:tc>
      </w:tr>
      <w:tr>
        <w:trPr>
          <w:cantSplit/>
        </w:trPr>
        <w:tc>
          <w:tcPr>
            <w:tcW w:type="dxa" w:w="454"/>
            <w:tcMar>
              <w:top w:w="70" w:type="dxa"/>
              <w:start w:w="80" w:type="dxa"/>
              <w:bottom w:w="70" w:type="dxa"/>
              <w:end w:w="80" w:type="dxa"/>
            </w:tcMar>
            <w:vAlign w:val="center"/>
            <w:shd w:fill="F2F4F5"/>
          </w:tcPr>
          <w:p>
            <w:pPr>
              <w:jc w:val="center"/>
            </w:pPr>
            <w:r>
              <w:rPr>
                <w:sz w:val="15"/>
              </w:rPr>
              <w:t>20</w:t>
            </w:r>
          </w:p>
        </w:tc>
        <w:tc>
          <w:tcPr>
            <w:tcW w:type="dxa" w:w="2381"/>
            <w:tcMar>
              <w:top w:w="70" w:type="dxa"/>
              <w:start w:w="80" w:type="dxa"/>
              <w:bottom w:w="70" w:type="dxa"/>
              <w:end w:w="80" w:type="dxa"/>
            </w:tcMar>
            <w:vAlign w:val="center"/>
            <w:shd w:fill="F2F4F5"/>
          </w:tcPr>
          <w:p>
            <w:r>
              <w:rPr>
                <w:sz w:val="15"/>
              </w:rPr>
              <w:t>EPC project libraries</w:t>
            </w:r>
          </w:p>
        </w:tc>
        <w:tc>
          <w:tcPr>
            <w:tcW w:type="dxa" w:w="2891"/>
            <w:tcMar>
              <w:top w:w="70" w:type="dxa"/>
              <w:start w:w="80" w:type="dxa"/>
              <w:bottom w:w="70" w:type="dxa"/>
              <w:end w:w="80" w:type="dxa"/>
            </w:tcMar>
            <w:vAlign w:val="center"/>
            <w:shd w:fill="F2F4F5"/>
          </w:tcPr>
          <w:p>
            <w:r>
              <w:rPr>
                <w:sz w:val="15"/>
              </w:rPr>
              <w:t>Project/contract drafting conventions and variants</w:t>
            </w:r>
          </w:p>
        </w:tc>
        <w:tc>
          <w:tcPr>
            <w:tcW w:type="dxa" w:w="1020"/>
            <w:tcMar>
              <w:top w:w="70" w:type="dxa"/>
              <w:start w:w="80" w:type="dxa"/>
              <w:bottom w:w="70" w:type="dxa"/>
              <w:end w:w="80" w:type="dxa"/>
            </w:tcMar>
            <w:vAlign w:val="center"/>
            <w:shd w:fill="F2F4F5"/>
          </w:tcPr>
          <w:p>
            <w:pPr>
              <w:jc w:val="center"/>
            </w:pPr>
            <w:r>
              <w:rPr>
                <w:sz w:val="15"/>
              </w:rPr>
              <w:t>80</w:t>
            </w:r>
          </w:p>
        </w:tc>
        <w:tc>
          <w:tcPr>
            <w:tcW w:type="dxa" w:w="1020"/>
            <w:tcMar>
              <w:top w:w="70" w:type="dxa"/>
              <w:start w:w="80" w:type="dxa"/>
              <w:bottom w:w="70" w:type="dxa"/>
              <w:end w:w="80" w:type="dxa"/>
            </w:tcMar>
            <w:vAlign w:val="center"/>
            <w:shd w:fill="F2F4F5"/>
          </w:tcPr>
          <w:p>
            <w:pPr>
              <w:jc w:val="center"/>
            </w:pPr>
            <w:r>
              <w:rPr>
                <w:sz w:val="15"/>
              </w:rPr>
              <w:t>61</w:t>
            </w:r>
          </w:p>
        </w:tc>
        <w:tc>
          <w:tcPr>
            <w:tcW w:type="dxa" w:w="1984"/>
            <w:tcMar>
              <w:top w:w="70" w:type="dxa"/>
              <w:start w:w="80" w:type="dxa"/>
              <w:bottom w:w="70" w:type="dxa"/>
              <w:end w:w="80" w:type="dxa"/>
            </w:tcMar>
            <w:vAlign w:val="center"/>
            <w:shd w:fill="F2F4F5"/>
          </w:tcPr>
          <w:p>
            <w:r>
              <w:rPr>
                <w:sz w:val="15"/>
              </w:rPr>
              <w:t>P1/P2 - private partner</w:t>
            </w:r>
          </w:p>
        </w:tc>
      </w:tr>
    </w:tbl>
    <w:p>
      <w:pPr>
        <w:spacing w:before="80"/>
      </w:pPr>
      <w:r>
        <w:rPr>
          <w:b/>
        </w:rPr>
        <w:t xml:space="preserve">Interpretation: </w:t>
      </w:r>
      <w:r>
        <w:t>a low Readiness score is not a reason to exclude a source. For ISO/ISA/PIP it means “licence first”. A high Readiness score is not evidence of normative authority; open libraries remain implementation/test sources.</w:t>
      </w:r>
    </w:p>
    <w:p>
      <w:pPr>
        <w:pStyle w:val="Heading1"/>
        <w:keepNext/>
      </w:pPr>
      <w:r>
        <w:t>Priority source profiles</w:t>
      </w:r>
    </w:p>
    <w:p>
      <w:pPr>
        <w:pStyle w:val="Heading2"/>
        <w:keepNext/>
      </w:pPr>
      <w:r>
        <w:t>1. IEC 60617 Database</w:t>
      </w:r>
    </w:p>
    <w:p>
      <w:pPr>
        <w:spacing w:after="60"/>
      </w:pPr>
      <w:r>
        <w:rPr>
          <w:b/>
          <w:color w:val="1F2933"/>
        </w:rPr>
        <w:t xml:space="preserve">Role: </w:t>
      </w:r>
      <w:r>
        <w:t>Canonical graphical authority for electrotechnical diagrams.</w:t>
      </w:r>
    </w:p>
    <w:p>
      <w:pPr>
        <w:spacing w:after="60"/>
      </w:pPr>
      <w:r>
        <w:rPr>
          <w:b/>
          <w:color w:val="1F2933"/>
        </w:rPr>
        <w:t xml:space="preserve">Assessment: </w:t>
      </w:r>
      <w:r>
        <w:t>Authority 5/5; adoption 5/5; quality 5/5; licensing 2/5; machine readability 5/5; ingestion fit 4.5/5.</w:t>
      </w:r>
    </w:p>
    <w:p>
      <w:pPr>
        <w:spacing w:after="60"/>
      </w:pPr>
      <w:r>
        <w:rPr>
          <w:b/>
          <w:color w:val="1F2933"/>
        </w:rPr>
        <w:t xml:space="preserve">Evidence: </w:t>
      </w:r>
      <w:r>
        <w:t>The 2026 IEC database contains more than 1,500 symbols and offers GIF, DWG and EPS formats with classified views and search. IEC says replication of all or a substantial part of an IEC database requires a commercial arrangement.</w:t>
      </w:r>
    </w:p>
    <w:p>
      <w:pPr>
        <w:spacing w:after="60"/>
      </w:pPr>
      <w:r>
        <w:rPr>
          <w:b/>
          <w:color w:val="1F2933"/>
        </w:rPr>
        <w:t xml:space="preserve">SymGov implication: </w:t>
      </w:r>
      <w:r>
        <w:t>This is the strongest direct machine-oriented standards source. Preserve IEC symbol identity/status and avoid recreating a parallel numbering scheme.</w:t>
      </w:r>
    </w:p>
    <w:p>
      <w:pPr>
        <w:spacing w:after="60"/>
      </w:pPr>
      <w:r>
        <w:rPr>
          <w:b/>
          <w:color w:val="1F2933"/>
        </w:rPr>
        <w:t xml:space="preserve">Partnership ask: </w:t>
      </w:r>
      <w:r>
        <w:t>Commercial database integration/replication licence; stable IDs; bulk/API access; update deltas; public-preview rules; downstream customer/API rights.</w:t>
      </w:r>
    </w:p>
    <w:p>
      <w:pPr>
        <w:spacing w:after="120"/>
      </w:pPr>
      <w:r>
        <w:rPr>
          <w:b/>
        </w:rPr>
        <w:t xml:space="preserve">Evidence: </w:t>
      </w:r>
      <w:hyperlink r:id="rId11">
        <w:r>
          <w:rPr>
            <w:color w:val="2B6F9F"/>
            <w:u w:val="single"/>
          </w:rPr>
          <w:t>IEC 60617 Database</w:t>
        </w:r>
      </w:hyperlink>
      <w:r>
        <w:t xml:space="preserve"> | </w:t>
      </w:r>
      <w:hyperlink r:id="rId12">
        <w:r>
          <w:rPr>
            <w:color w:val="2B6F9F"/>
            <w:u w:val="single"/>
          </w:rPr>
          <w:t>IEC Copyright</w:t>
        </w:r>
      </w:hyperlink>
    </w:p>
    <w:p>
      <w:pPr>
        <w:pStyle w:val="Heading2"/>
        <w:keepNext/>
      </w:pPr>
      <w:r>
        <w:t>2. ISO 14617-2:2025</w:t>
      </w:r>
    </w:p>
    <w:p>
      <w:pPr>
        <w:spacing w:after="60"/>
      </w:pPr>
      <w:r>
        <w:rPr>
          <w:b/>
          <w:color w:val="1F2933"/>
        </w:rPr>
        <w:t xml:space="preserve">Role: </w:t>
      </w:r>
      <w:r>
        <w:t>Canonical industrial graphical-symbol library.</w:t>
      </w:r>
    </w:p>
    <w:p>
      <w:pPr>
        <w:spacing w:after="60"/>
      </w:pPr>
      <w:r>
        <w:rPr>
          <w:b/>
          <w:color w:val="1F2933"/>
        </w:rPr>
        <w:t xml:space="preserve">Assessment: </w:t>
      </w:r>
      <w:r>
        <w:t>Authority 5/5; adoption 5/5; quality 5/5; licensing 1/5; machine readability 3/5; ingestion fit 4.5/5 after licence.</w:t>
      </w:r>
    </w:p>
    <w:p>
      <w:pPr>
        <w:spacing w:after="60"/>
      </w:pPr>
      <w:r>
        <w:rPr>
          <w:b/>
          <w:color w:val="1F2933"/>
        </w:rPr>
        <w:t xml:space="preserve">Evidence: </w:t>
      </w:r>
      <w:r>
        <w:t>ISO describes Part 2 as a symbol library spanning Tables 1-149. Its current licence terms explicitly require additional rights for digital integration, embedding, structuring or operationalisation in software, databases, data models, AI tools and digital platforms.</w:t>
      </w:r>
    </w:p>
    <w:p>
      <w:pPr>
        <w:spacing w:after="60"/>
      </w:pPr>
      <w:r>
        <w:rPr>
          <w:b/>
          <w:color w:val="1F2933"/>
        </w:rPr>
        <w:t xml:space="preserve">SymGov implication: </w:t>
      </w:r>
      <w:r>
        <w:t>Treat ISO identity, edition and symbol references as canonical provenance. Protected glyphs should not enter the production catalogue until digital-platform rights are signed.</w:t>
      </w:r>
    </w:p>
    <w:p>
      <w:pPr>
        <w:spacing w:after="60"/>
      </w:pPr>
      <w:r>
        <w:rPr>
          <w:b/>
          <w:color w:val="1F2933"/>
        </w:rPr>
        <w:t xml:space="preserve">Partnership ask: </w:t>
      </w:r>
      <w:r>
        <w:t>A digital platform licence covering ISO 14617-2 and related symbol standards, structured metadata, updates, previews, APIs and downstream use.</w:t>
      </w:r>
    </w:p>
    <w:p>
      <w:pPr>
        <w:spacing w:after="120"/>
      </w:pPr>
      <w:r>
        <w:rPr>
          <w:b/>
        </w:rPr>
        <w:t xml:space="preserve">Evidence: </w:t>
      </w:r>
      <w:hyperlink r:id="rId13">
        <w:r>
          <w:rPr>
            <w:color w:val="2B6F9F"/>
            <w:u w:val="single"/>
          </w:rPr>
          <w:t>ISO 14617-2:2025</w:t>
        </w:r>
      </w:hyperlink>
      <w:r>
        <w:t xml:space="preserve"> | </w:t>
      </w:r>
      <w:hyperlink r:id="rId14">
        <w:r>
          <w:rPr>
            <w:color w:val="2B6F9F"/>
            <w:u w:val="single"/>
          </w:rPr>
          <w:t>ISO Licence Agreement</w:t>
        </w:r>
      </w:hyperlink>
    </w:p>
    <w:p>
      <w:pPr>
        <w:pStyle w:val="Heading2"/>
        <w:keepNext/>
      </w:pPr>
      <w:r>
        <w:t>3. ANSI/ISA-5.1-2024 + ISA-TR5.1.03-2024</w:t>
      </w:r>
    </w:p>
    <w:p>
      <w:pPr>
        <w:spacing w:after="60"/>
      </w:pPr>
      <w:r>
        <w:rPr>
          <w:b/>
          <w:color w:val="1F2933"/>
        </w:rPr>
        <w:t xml:space="preserve">Role: </w:t>
      </w:r>
      <w:r>
        <w:t>Canonical instrumentation and control symbols/identification for process industries.</w:t>
      </w:r>
    </w:p>
    <w:p>
      <w:pPr>
        <w:spacing w:after="60"/>
      </w:pPr>
      <w:r>
        <w:rPr>
          <w:b/>
          <w:color w:val="1F2933"/>
        </w:rPr>
        <w:t xml:space="preserve">Assessment: </w:t>
      </w:r>
      <w:r>
        <w:t>Authority 5/5; adoption 5/5; quality 5/5; licensing 1/5; machine readability 2/5; ingestion fit 4.5/5 after agreement.</w:t>
      </w:r>
    </w:p>
    <w:p>
      <w:pPr>
        <w:spacing w:after="60"/>
      </w:pPr>
      <w:r>
        <w:rPr>
          <w:b/>
          <w:color w:val="1F2933"/>
        </w:rPr>
        <w:t xml:space="preserve">Evidence: </w:t>
      </w:r>
      <w:r>
        <w:t>ISA calls ISA-5.1 its oldest and most widely used standard and describes it as internationally recognised. The 2024 revision added symbols and newer automation technology. ISA also publishes an explicit AI/IP restriction for its protected material.</w:t>
      </w:r>
    </w:p>
    <w:p>
      <w:pPr>
        <w:spacing w:after="60"/>
      </w:pPr>
      <w:r>
        <w:rPr>
          <w:b/>
          <w:color w:val="1F2933"/>
        </w:rPr>
        <w:t xml:space="preserve">SymGov implication: </w:t>
      </w:r>
      <w:r>
        <w:t>Essential for instrument/control concepts and tags. Store identification semantics separately from graphics so SymGov can crosswalk instrument meaning across ISA/ISO/PIP/vendor variants.</w:t>
      </w:r>
    </w:p>
    <w:p>
      <w:pPr>
        <w:spacing w:after="60"/>
      </w:pPr>
      <w:r>
        <w:rPr>
          <w:b/>
          <w:color w:val="1F2933"/>
        </w:rPr>
        <w:t xml:space="preserve">Partnership ask: </w:t>
      </w:r>
      <w:r>
        <w:t>Digital symbol and metadata licence; committee liaison; explicit rights for normalization, search, previews, API delivery and any AI-assisted workflows.</w:t>
      </w:r>
    </w:p>
    <w:p>
      <w:pPr>
        <w:spacing w:after="120"/>
      </w:pPr>
      <w:r>
        <w:rPr>
          <w:b/>
        </w:rPr>
        <w:t xml:space="preserve">Evidence: </w:t>
      </w:r>
      <w:hyperlink r:id="rId15">
        <w:r>
          <w:rPr>
            <w:color w:val="2B6F9F"/>
            <w:u w:val="single"/>
          </w:rPr>
          <w:t>ISA5.1 Committee</w:t>
        </w:r>
      </w:hyperlink>
      <w:r>
        <w:t xml:space="preserve"> | </w:t>
      </w:r>
      <w:hyperlink r:id="rId16">
        <w:r>
          <w:rPr>
            <w:color w:val="2B6F9F"/>
            <w:u w:val="single"/>
          </w:rPr>
          <w:t>ISA 2024 Update</w:t>
        </w:r>
      </w:hyperlink>
      <w:r>
        <w:t xml:space="preserve"> | </w:t>
      </w:r>
      <w:hyperlink r:id="rId17">
        <w:r>
          <w:rPr>
            <w:color w:val="2B6F9F"/>
            <w:u w:val="single"/>
          </w:rPr>
          <w:t>ISA Graphic Symbol Guidelines/IP Notice</w:t>
        </w:r>
      </w:hyperlink>
    </w:p>
    <w:p>
      <w:pPr>
        <w:pStyle w:val="Heading2"/>
        <w:keepNext/>
      </w:pPr>
      <w:r>
        <w:t>4. ISO 10628-2:2012</w:t>
      </w:r>
    </w:p>
    <w:p>
      <w:pPr>
        <w:spacing w:after="60"/>
      </w:pPr>
      <w:r>
        <w:rPr>
          <w:b/>
          <w:color w:val="1F2933"/>
        </w:rPr>
        <w:t xml:space="preserve">Role: </w:t>
      </w:r>
      <w:r>
        <w:t>Graphical symbols for chemical and petrochemical industry diagrams.</w:t>
      </w:r>
    </w:p>
    <w:p>
      <w:pPr>
        <w:spacing w:after="60"/>
      </w:pPr>
      <w:r>
        <w:rPr>
          <w:b/>
          <w:color w:val="1F2933"/>
        </w:rPr>
        <w:t xml:space="preserve">Assessment: </w:t>
      </w:r>
      <w:r>
        <w:t>Authority 5/5; adoption 4.5/5; quality 5/5; licensing 1/5; machine readability 3/5; ingestion fit 5/5.</w:t>
      </w:r>
    </w:p>
    <w:p>
      <w:pPr>
        <w:spacing w:after="60"/>
      </w:pPr>
      <w:r>
        <w:rPr>
          <w:b/>
          <w:color w:val="1F2933"/>
        </w:rPr>
        <w:t xml:space="preserve">Evidence: </w:t>
      </w:r>
      <w:r>
        <w:t>ISO identifies it as a collective application standard of ISO 14617; it was reviewed and confirmed in 2024 and remains current. Electrotechnical diagram symbols are explicitly outside scope and point to IEC 60617.</w:t>
      </w:r>
    </w:p>
    <w:p>
      <w:pPr>
        <w:spacing w:after="60"/>
      </w:pPr>
      <w:r>
        <w:rPr>
          <w:b/>
          <w:color w:val="1F2933"/>
        </w:rPr>
        <w:t xml:space="preserve">SymGov implication: </w:t>
      </w:r>
      <w:r>
        <w:t>Core process-equipment/piping source. Cross-map with ISA-5.1, PIP and vendor libraries rather than assuming one P&amp;ID convention.</w:t>
      </w:r>
    </w:p>
    <w:p>
      <w:pPr>
        <w:spacing w:after="120"/>
      </w:pPr>
      <w:r>
        <w:rPr>
          <w:b/>
        </w:rPr>
        <w:t xml:space="preserve">Evidence: </w:t>
      </w:r>
      <w:hyperlink r:id="rId18">
        <w:r>
          <w:rPr>
            <w:color w:val="2B6F9F"/>
            <w:u w:val="single"/>
          </w:rPr>
          <w:t>ISO 10628-2</w:t>
        </w:r>
      </w:hyperlink>
    </w:p>
    <w:p>
      <w:pPr>
        <w:pStyle w:val="Heading2"/>
        <w:keepNext/>
      </w:pPr>
      <w:r>
        <w:t>5. DEXPI 2.0 + DEXPI RDL</w:t>
      </w:r>
    </w:p>
    <w:p>
      <w:pPr>
        <w:spacing w:after="60"/>
      </w:pPr>
      <w:r>
        <w:rPr>
          <w:b/>
          <w:color w:val="1F2933"/>
        </w:rPr>
        <w:t xml:space="preserve">Role: </w:t>
      </w:r>
      <w:r>
        <w:t>Semantic/interchange backbone, deliberately not a drawing standard.</w:t>
      </w:r>
    </w:p>
    <w:p>
      <w:pPr>
        <w:spacing w:after="60"/>
      </w:pPr>
      <w:r>
        <w:rPr>
          <w:b/>
          <w:color w:val="1F2933"/>
        </w:rPr>
        <w:t xml:space="preserve">Assessment: </w:t>
      </w:r>
      <w:r>
        <w:t>Authority 4/5 for process semantics, 2/5 for graphical style; adoption 4/5 and increasing; quality 5/5; licensing 5/5; machine readability 5/5; ingestion fit 5/5.</w:t>
      </w:r>
    </w:p>
    <w:p>
      <w:pPr>
        <w:spacing w:after="60"/>
      </w:pPr>
      <w:r>
        <w:rPr>
          <w:b/>
          <w:color w:val="1F2933"/>
        </w:rPr>
        <w:t xml:space="preserve">Evidence: </w:t>
      </w:r>
      <w:r>
        <w:t>DEXPI 2.0 is vendor-neutral, serialised as DEXPI XML and openly available under CC BY 4.0. Its Graphics package links conceptual objects to graphical representations while explicitly saying the specification does not prescribe drawing style. The Sandbox RDL is ISO 15926 compliant and offers persistent URIs/SPARQL.</w:t>
      </w:r>
    </w:p>
    <w:p>
      <w:pPr>
        <w:spacing w:after="60"/>
      </w:pPr>
      <w:r>
        <w:rPr>
          <w:b/>
          <w:color w:val="1F2933"/>
        </w:rPr>
        <w:t xml:space="preserve">SymGov implication: </w:t>
      </w:r>
      <w:r>
        <w:t>Use DEXPI/PCA/ISO 15926 identifiers for neutral concepts, then attach ISO/ISA/PIP/NORSOK/vendor/company graphics as governed representation records.</w:t>
      </w:r>
    </w:p>
    <w:p>
      <w:pPr>
        <w:spacing w:after="60"/>
      </w:pPr>
      <w:r>
        <w:rPr>
          <w:b/>
          <w:color w:val="1F2933"/>
        </w:rPr>
        <w:t xml:space="preserve">Partnership ask: </w:t>
      </w:r>
      <w:r>
        <w:t>Join DEXPI e.V.; contribute a symbol-governance profile / standard-library mapping; coordinate stable identifiers and round-trip tests with vendors and owner-operators.</w:t>
      </w:r>
    </w:p>
    <w:p>
      <w:pPr>
        <w:spacing w:after="120"/>
      </w:pPr>
      <w:r>
        <w:rPr>
          <w:b/>
        </w:rPr>
        <w:t xml:space="preserve">Evidence: </w:t>
      </w:r>
      <w:hyperlink r:id="rId19">
        <w:r>
          <w:rPr>
            <w:color w:val="2B6F9F"/>
            <w:u w:val="single"/>
          </w:rPr>
          <w:t>DEXPI Specifications</w:t>
        </w:r>
      </w:hyperlink>
      <w:r>
        <w:t xml:space="preserve"> | </w:t>
      </w:r>
      <w:hyperlink r:id="rId20">
        <w:r>
          <w:rPr>
            <w:color w:val="2B6F9F"/>
            <w:u w:val="single"/>
          </w:rPr>
          <w:t>DEXPI Graphics Overview</w:t>
        </w:r>
      </w:hyperlink>
      <w:r>
        <w:t xml:space="preserve"> | </w:t>
      </w:r>
      <w:hyperlink r:id="rId21">
        <w:r>
          <w:rPr>
            <w:color w:val="2B6F9F"/>
            <w:u w:val="single"/>
          </w:rPr>
          <w:t>DEXPI Sandbox RDL</w:t>
        </w:r>
      </w:hyperlink>
      <w:r>
        <w:t xml:space="preserve"> | </w:t>
      </w:r>
      <w:hyperlink r:id="rId22">
        <w:r>
          <w:rPr>
            <w:color w:val="2B6F9F"/>
            <w:u w:val="single"/>
          </w:rPr>
          <w:t>Join DEXPI</w:t>
        </w:r>
      </w:hyperlink>
    </w:p>
    <w:p>
      <w:pPr>
        <w:pStyle w:val="Heading2"/>
        <w:keepNext/>
      </w:pPr>
      <w:r>
        <w:t>6. NORSOK Z-004:2025</w:t>
      </w:r>
    </w:p>
    <w:p>
      <w:pPr>
        <w:spacing w:after="60"/>
      </w:pPr>
      <w:r>
        <w:rPr>
          <w:b/>
          <w:color w:val="1F2933"/>
        </w:rPr>
        <w:t xml:space="preserve">Role: </w:t>
      </w:r>
      <w:r>
        <w:t>Current petroleum-industry 2D CAD symbol standard and regional governance layer.</w:t>
      </w:r>
    </w:p>
    <w:p>
      <w:pPr>
        <w:spacing w:after="60"/>
      </w:pPr>
      <w:r>
        <w:rPr>
          <w:b/>
          <w:color w:val="1F2933"/>
        </w:rPr>
        <w:t xml:space="preserve">Assessment: </w:t>
      </w:r>
      <w:r>
        <w:t>Authority 4.5/5; adoption 4/5 in Norwegian/offshore ecosystem; quality 5/5; licensing 2.5/5; machine-readability potential 4/5; ingestion fit 5/5.</w:t>
      </w:r>
    </w:p>
    <w:p>
      <w:pPr>
        <w:spacing w:after="60"/>
      </w:pPr>
      <w:r>
        <w:rPr>
          <w:b/>
          <w:color w:val="1F2933"/>
        </w:rPr>
        <w:t xml:space="preserve">Evidence: </w:t>
      </w:r>
      <w:r>
        <w:t>Standards Norway lists NORSOK Z-004:2025 as the latest 2D CAD symbols standard. NORSOK is designed to meet petroleum-industry needs and replace oil-company specifications where possible. Standards Norway offers XML and enterprise access; operators can publish additions/deviations to NORSOK standards.</w:t>
      </w:r>
    </w:p>
    <w:p>
      <w:pPr>
        <w:spacing w:after="60"/>
      </w:pPr>
      <w:r>
        <w:rPr>
          <w:b/>
          <w:color w:val="1F2933"/>
        </w:rPr>
        <w:t xml:space="preserve">SymGov implication: </w:t>
      </w:r>
      <w:r>
        <w:t>This is unusually close to SymGov's target model: canonical standard -&gt; operator addition/deviation -&gt; project profile. It deserves early partnership attention.</w:t>
      </w:r>
    </w:p>
    <w:p>
      <w:pPr>
        <w:spacing w:after="60"/>
      </w:pPr>
      <w:r>
        <w:rPr>
          <w:b/>
          <w:color w:val="1F2933"/>
        </w:rPr>
        <w:t xml:space="preserve">Partnership ask: </w:t>
      </w:r>
      <w:r>
        <w:t>Confirm Z-004 symbol asset packaging/formats; negotiate platform integration; model operator deviations as governed child records.</w:t>
      </w:r>
    </w:p>
    <w:p>
      <w:pPr>
        <w:spacing w:after="120"/>
      </w:pPr>
      <w:r>
        <w:rPr>
          <w:b/>
        </w:rPr>
        <w:t xml:space="preserve">Evidence: </w:t>
      </w:r>
      <w:hyperlink r:id="rId23">
        <w:r>
          <w:rPr>
            <w:color w:val="2B6F9F"/>
            <w:u w:val="single"/>
          </w:rPr>
          <w:t>NORSOK Z Technical Information</w:t>
        </w:r>
      </w:hyperlink>
      <w:r>
        <w:t xml:space="preserve"> | </w:t>
      </w:r>
      <w:hyperlink r:id="rId24">
        <w:r>
          <w:rPr>
            <w:color w:val="2B6F9F"/>
            <w:u w:val="single"/>
          </w:rPr>
          <w:t>NORSOK Access / XML</w:t>
        </w:r>
      </w:hyperlink>
      <w:r>
        <w:t xml:space="preserve"> | </w:t>
      </w:r>
      <w:hyperlink r:id="rId25">
        <w:r>
          <w:rPr>
            <w:color w:val="2B6F9F"/>
            <w:u w:val="single"/>
          </w:rPr>
          <w:t>NORSOK Overview</w:t>
        </w:r>
      </w:hyperlink>
    </w:p>
    <w:p>
      <w:pPr>
        <w:pStyle w:val="Heading2"/>
        <w:keepNext/>
      </w:pPr>
      <w:r>
        <w:t>7. PIP PIC001 / Process Control Practices</w:t>
      </w:r>
    </w:p>
    <w:p>
      <w:pPr>
        <w:spacing w:after="60"/>
      </w:pPr>
      <w:r>
        <w:rPr>
          <w:b/>
          <w:color w:val="1F2933"/>
        </w:rPr>
        <w:t xml:space="preserve">Role: </w:t>
      </w:r>
      <w:r>
        <w:t>Industry-consensus P&amp;ID documentation and practice, especially relevant to process/EPC work.</w:t>
      </w:r>
    </w:p>
    <w:p>
      <w:pPr>
        <w:spacing w:after="60"/>
      </w:pPr>
      <w:r>
        <w:rPr>
          <w:b/>
          <w:color w:val="1F2933"/>
        </w:rPr>
        <w:t xml:space="preserve">Assessment: </w:t>
      </w:r>
      <w:r>
        <w:t>Authority 4.5/5; adoption 4.5/5; quality 5/5; licensing 1.5/5; machine readability 2.5/5; ingestion fit 5/5.</w:t>
      </w:r>
    </w:p>
    <w:p>
      <w:pPr>
        <w:spacing w:after="60"/>
      </w:pPr>
      <w:r>
        <w:rPr>
          <w:b/>
          <w:color w:val="1F2933"/>
        </w:rPr>
        <w:t xml:space="preserve">Evidence: </w:t>
      </w:r>
      <w:r>
        <w:t>The May 2026 PIC001 complete revision is described as universally applicable and CAD/vendor independent across design, construction, operations and maintenance. Access is restricted to authorised users under PIP membership/licence terms.</w:t>
      </w:r>
    </w:p>
    <w:p>
      <w:pPr>
        <w:spacing w:after="60"/>
      </w:pPr>
      <w:r>
        <w:rPr>
          <w:b/>
          <w:color w:val="1F2933"/>
        </w:rPr>
        <w:t xml:space="preserve">SymGov implication: </w:t>
      </w:r>
      <w:r>
        <w:t>A high-value US/process-industry profile and bridge to EPC practices. Preserve PIP practice/version provenance alongside any symbol representation.</w:t>
      </w:r>
    </w:p>
    <w:p>
      <w:pPr>
        <w:spacing w:after="60"/>
      </w:pPr>
      <w:r>
        <w:rPr>
          <w:b/>
          <w:color w:val="1F2933"/>
        </w:rPr>
        <w:t xml:space="preserve">Partnership ask: </w:t>
      </w:r>
      <w:r>
        <w:t>Membership plus bespoke platform rights for symbol/metadata distribution and revision feeds.</w:t>
      </w:r>
    </w:p>
    <w:p>
      <w:pPr>
        <w:spacing w:after="120"/>
      </w:pPr>
      <w:r>
        <w:rPr>
          <w:b/>
        </w:rPr>
        <w:t xml:space="preserve">Evidence: </w:t>
      </w:r>
      <w:hyperlink r:id="rId26">
        <w:r>
          <w:rPr>
            <w:color w:val="2B6F9F"/>
            <w:u w:val="single"/>
          </w:rPr>
          <w:t>PIP Practices/PIC001</w:t>
        </w:r>
      </w:hyperlink>
      <w:r>
        <w:t xml:space="preserve"> | </w:t>
      </w:r>
      <w:hyperlink r:id="rId27">
        <w:r>
          <w:rPr>
            <w:color w:val="2B6F9F"/>
            <w:u w:val="single"/>
          </w:rPr>
          <w:t>PIP Membership</w:t>
        </w:r>
      </w:hyperlink>
      <w:r>
        <w:t xml:space="preserve"> | </w:t>
      </w:r>
      <w:hyperlink r:id="rId28">
        <w:r>
          <w:rPr>
            <w:color w:val="2B6F9F"/>
            <w:u w:val="single"/>
          </w:rPr>
          <w:t>PIP Licence Notice</w:t>
        </w:r>
      </w:hyperlink>
    </w:p>
    <w:p>
      <w:pPr>
        <w:pStyle w:val="Heading2"/>
        <w:keepNext/>
      </w:pPr>
      <w:r>
        <w:t>8. ISO 1219-1</w:t>
      </w:r>
    </w:p>
    <w:p>
      <w:pPr>
        <w:spacing w:after="60"/>
      </w:pPr>
      <w:r>
        <w:rPr>
          <w:b/>
          <w:color w:val="1F2933"/>
        </w:rPr>
        <w:t xml:space="preserve">Role: </w:t>
      </w:r>
      <w:r>
        <w:t>Canonical fluid-power graphical symbols.</w:t>
      </w:r>
    </w:p>
    <w:p>
      <w:pPr>
        <w:spacing w:after="60"/>
      </w:pPr>
      <w:r>
        <w:rPr>
          <w:b/>
          <w:color w:val="1F2933"/>
        </w:rPr>
        <w:t xml:space="preserve">Assessment: </w:t>
      </w:r>
      <w:r>
        <w:t>Authority 5/5; adoption 4/5; quality 5/5; licensing 1/5; machine readability 4/5; ingestion fit 4/5.</w:t>
      </w:r>
    </w:p>
    <w:p>
      <w:pPr>
        <w:spacing w:after="60"/>
      </w:pPr>
      <w:r>
        <w:rPr>
          <w:b/>
          <w:color w:val="1F2933"/>
        </w:rPr>
        <w:t xml:space="preserve">Evidence: </w:t>
      </w:r>
      <w:r>
        <w:t>ISO says these symbols are designed in fixed dimensions for direct use in data-processing systems. The 2012 edition and 2016 amendment remain published, while revision status should be monitored.</w:t>
      </w:r>
    </w:p>
    <w:p>
      <w:pPr>
        <w:spacing w:after="60"/>
      </w:pPr>
      <w:r>
        <w:rPr>
          <w:b/>
          <w:color w:val="1F2933"/>
        </w:rPr>
        <w:t xml:space="preserve">SymGov implication: </w:t>
      </w:r>
      <w:r>
        <w:t>Strong hydraulics/pneumatics expansion and a useful open-vs-canonical comparison with QElectroTech.</w:t>
      </w:r>
    </w:p>
    <w:p>
      <w:pPr>
        <w:spacing w:after="120"/>
      </w:pPr>
      <w:r>
        <w:rPr>
          <w:b/>
        </w:rPr>
        <w:t xml:space="preserve">Evidence: </w:t>
      </w:r>
      <w:hyperlink r:id="rId29">
        <w:r>
          <w:rPr>
            <w:color w:val="2B6F9F"/>
            <w:u w:val="single"/>
          </w:rPr>
          <w:t>ISO 1219-1</w:t>
        </w:r>
      </w:hyperlink>
    </w:p>
    <w:p>
      <w:pPr>
        <w:pStyle w:val="Heading2"/>
        <w:keepNext/>
      </w:pPr>
      <w:r>
        <w:t>9. IEC 60417 + ISO 7000</w:t>
      </w:r>
    </w:p>
    <w:p>
      <w:pPr>
        <w:spacing w:after="60"/>
      </w:pPr>
      <w:r>
        <w:rPr>
          <w:b/>
          <w:color w:val="1F2933"/>
        </w:rPr>
        <w:t xml:space="preserve">Role: </w:t>
      </w:r>
      <w:r>
        <w:t>Registered symbols for use on equipment, not diagram symbols.</w:t>
      </w:r>
    </w:p>
    <w:p>
      <w:pPr>
        <w:spacing w:after="60"/>
      </w:pPr>
      <w:r>
        <w:rPr>
          <w:b/>
          <w:color w:val="1F2933"/>
        </w:rPr>
        <w:t xml:space="preserve">Assessment: </w:t>
      </w:r>
      <w:r>
        <w:t>Authority 5/5; adoption 5/5; quality 5/5; licensing 2/5; machine readability 5/5; ingestion fit 3.5/5 due adjacent scope.</w:t>
      </w:r>
    </w:p>
    <w:p>
      <w:pPr>
        <w:spacing w:after="60"/>
      </w:pPr>
      <w:r>
        <w:rPr>
          <w:b/>
          <w:color w:val="1F2933"/>
        </w:rPr>
        <w:t xml:space="preserve">Evidence: </w:t>
      </w:r>
      <w:r>
        <w:t>ISO 7000 records have reference numbers, titles, vector/non-vector graphics and intended-use/function metadata. The combined ISO/IEC collection offers vector formats.</w:t>
      </w:r>
    </w:p>
    <w:p>
      <w:pPr>
        <w:spacing w:after="60"/>
      </w:pPr>
      <w:r>
        <w:rPr>
          <w:b/>
          <w:color w:val="1F2933"/>
        </w:rPr>
        <w:t xml:space="preserve">SymGov implication: </w:t>
      </w:r>
      <w:r>
        <w:t>Keep this family clearly separated from IEC 60617. It is an excellent Phase 2/3 domain and a benchmark for source-native metadata quality.</w:t>
      </w:r>
    </w:p>
    <w:p>
      <w:pPr>
        <w:spacing w:after="120"/>
      </w:pPr>
      <w:r>
        <w:rPr>
          <w:b/>
        </w:rPr>
        <w:t xml:space="preserve">Evidence: </w:t>
      </w:r>
      <w:hyperlink r:id="rId30">
        <w:r>
          <w:rPr>
            <w:color w:val="2B6F9F"/>
            <w:u w:val="single"/>
          </w:rPr>
          <w:t>ISO 7000</w:t>
        </w:r>
      </w:hyperlink>
      <w:r>
        <w:t xml:space="preserve"> | </w:t>
      </w:r>
      <w:hyperlink r:id="rId31">
        <w:r>
          <w:rPr>
            <w:color w:val="2B6F9F"/>
            <w:u w:val="single"/>
          </w:rPr>
          <w:t>ISO/IEC Symbol Collection</w:t>
        </w:r>
      </w:hyperlink>
    </w:p>
    <w:p>
      <w:pPr>
        <w:pStyle w:val="Heading2"/>
        <w:keepNext/>
      </w:pPr>
      <w:r>
        <w:t>10. DIN process symbol standards</w:t>
      </w:r>
    </w:p>
    <w:p>
      <w:pPr>
        <w:spacing w:after="60"/>
      </w:pPr>
      <w:r>
        <w:rPr>
          <w:b/>
          <w:color w:val="1F2933"/>
        </w:rPr>
        <w:t xml:space="preserve">Role: </w:t>
      </w:r>
      <w:r>
        <w:t>German/European process-diagram supplements and implementation conventions.</w:t>
      </w:r>
    </w:p>
    <w:p>
      <w:pPr>
        <w:spacing w:after="60"/>
      </w:pPr>
      <w:r>
        <w:rPr>
          <w:b/>
          <w:color w:val="1F2933"/>
        </w:rPr>
        <w:t xml:space="preserve">Assessment: </w:t>
      </w:r>
      <w:r>
        <w:t>Authority 4.5/5 in scope; adoption 4/5; quality 5/5; licensing 1.5/5; machine readability 3/5; ingestion fit 4/5.</w:t>
      </w:r>
    </w:p>
    <w:p>
      <w:pPr>
        <w:spacing w:after="60"/>
      </w:pPr>
      <w:r>
        <w:rPr>
          <w:b/>
          <w:color w:val="1F2933"/>
        </w:rPr>
        <w:t xml:space="preserve">Evidence: </w:t>
      </w:r>
      <w:r>
        <w:t>DIN process standards supplement ISO process-diagram standards. Autodesk explicitly documents using DIN content by permission, reinforcing the need for a rights-cleared route.</w:t>
      </w:r>
    </w:p>
    <w:p>
      <w:pPr>
        <w:spacing w:after="60"/>
      </w:pPr>
      <w:r>
        <w:rPr>
          <w:b/>
          <w:color w:val="1F2933"/>
        </w:rPr>
        <w:t xml:space="preserve">SymGov implication: </w:t>
      </w:r>
      <w:r>
        <w:t>Model DIN/ISO relationships and regional variants explicitly rather than collapsing them into a generic ISO set.</w:t>
      </w:r>
    </w:p>
    <w:p>
      <w:pPr>
        <w:spacing w:after="120"/>
      </w:pPr>
      <w:r>
        <w:rPr>
          <w:b/>
        </w:rPr>
        <w:t xml:space="preserve">Evidence: </w:t>
      </w:r>
      <w:hyperlink r:id="rId32">
        <w:r>
          <w:rPr>
            <w:color w:val="2B6F9F"/>
            <w:u w:val="single"/>
          </w:rPr>
          <w:t>Autodesk Content Notices</w:t>
        </w:r>
      </w:hyperlink>
    </w:p>
    <w:p>
      <w:pPr>
        <w:pStyle w:val="Heading1"/>
        <w:keepNext/>
      </w:pPr>
      <w:r>
        <w:t>Vendor implementation and interoperability sources</w:t>
      </w:r>
    </w:p>
    <w:p>
      <w:r>
        <w:t>Vendor libraries are not a substitute for standards authority, but they are among the best sources for understanding how standards are actually operationalised in engineering systems. They also expose useful class IDs, file/master names, rule logic, exchange formats and legacy variants.</w:t>
      </w:r>
    </w:p>
    <w:tbl>
      <w:tblPr>
        <w:tblW w:type="auto" w:w="0"/>
        <w:jc w:val="center"/>
        <w:tblLayout w:type="fixed"/>
        <w:tblLook w:firstColumn="1" w:firstRow="1" w:lastColumn="0" w:lastRow="0" w:noHBand="0" w:noVBand="1" w:val="04A0"/>
      </w:tblPr>
      <w:tblGrid>
        <w:gridCol w:w="1701"/>
        <w:gridCol w:w="3969"/>
        <w:gridCol w:w="3515"/>
      </w:tblGrid>
      <w:tr>
        <w:trPr>
          <w:tblHeader w:val="true"/>
          <w:cantSplit/>
        </w:trPr>
        <w:tc>
          <w:tcPr>
            <w:tcW w:type="dxa" w:w="3289"/>
            <w:shd w:fill="087E8B"/>
          </w:tcPr>
          <w:p>
            <w:r>
              <w:rPr>
                <w:b/>
                <w:color w:val="FFFFFF"/>
              </w:rPr>
              <w:t>Vendor/source</w:t>
            </w:r>
          </w:p>
        </w:tc>
        <w:tc>
          <w:tcPr>
            <w:tcW w:type="dxa" w:w="3289"/>
            <w:shd w:fill="087E8B"/>
          </w:tcPr>
          <w:p>
            <w:r>
              <w:rPr>
                <w:b/>
                <w:color w:val="FFFFFF"/>
              </w:rPr>
              <w:t>Why it matters</w:t>
            </w:r>
          </w:p>
        </w:tc>
        <w:tc>
          <w:tcPr>
            <w:tcW w:type="dxa" w:w="3289"/>
            <w:shd w:fill="087E8B"/>
          </w:tcPr>
          <w:p>
            <w:r>
              <w:rPr>
                <w:b/>
                <w:color w:val="FFFFFF"/>
              </w:rPr>
              <w:t>SymGov partnership position</w:t>
            </w:r>
          </w:p>
        </w:tc>
      </w:tr>
      <w:tr>
        <w:trPr>
          <w:cantSplit/>
        </w:trPr>
        <w:tc>
          <w:tcPr>
            <w:tcW w:type="dxa" w:w="1701"/>
            <w:tcMar>
              <w:top w:w="90" w:type="dxa"/>
              <w:start w:w="100" w:type="dxa"/>
              <w:bottom w:w="90" w:type="dxa"/>
              <w:end w:w="100" w:type="dxa"/>
            </w:tcMar>
          </w:tcPr>
          <w:p>
            <w:hyperlink r:id="rId32">
              <w:r>
                <w:rPr>
                  <w:color w:val="2B6F9F"/>
                  <w:u w:val="single"/>
                  <w:b/>
                </w:rPr>
                <w:t>Autodesk Plant 3D</w:t>
              </w:r>
            </w:hyperlink>
          </w:p>
        </w:tc>
        <w:tc>
          <w:tcPr>
            <w:tcW w:type="dxa" w:w="3969"/>
            <w:tcMar>
              <w:top w:w="90" w:type="dxa"/>
              <w:start w:w="100" w:type="dxa"/>
              <w:bottom w:w="90" w:type="dxa"/>
              <w:end w:w="100" w:type="dxa"/>
            </w:tcMar>
          </w:tcPr>
          <w:p>
            <w:r>
              <w:t>Explicitly licenses PIP, ISA, ISO and DIN P&amp;ID symbols; JIS by permission. Strong commercial-licensing precedent and a valuable implementation crosswalk partner.</w:t>
            </w:r>
          </w:p>
        </w:tc>
        <w:tc>
          <w:tcPr>
            <w:tcW w:type="dxa" w:w="3515"/>
            <w:tcMar>
              <w:top w:w="90" w:type="dxa"/>
              <w:start w:w="100" w:type="dxa"/>
              <w:bottom w:w="90" w:type="dxa"/>
              <w:end w:w="100" w:type="dxa"/>
            </w:tcMar>
          </w:tcPr>
          <w:p>
            <w:r>
              <w:t>Do not assume Autodesk can sublicense upstream IP. Seek sanctioned mappings/validation and edition metadata.</w:t>
            </w:r>
          </w:p>
        </w:tc>
      </w:tr>
      <w:tr>
        <w:trPr>
          <w:cantSplit/>
        </w:trPr>
        <w:tc>
          <w:tcPr>
            <w:tcW w:type="dxa" w:w="1701"/>
            <w:tcMar>
              <w:top w:w="90" w:type="dxa"/>
              <w:start w:w="100" w:type="dxa"/>
              <w:bottom w:w="90" w:type="dxa"/>
              <w:end w:w="100" w:type="dxa"/>
            </w:tcMar>
            <w:shd w:fill="F2F4F5"/>
          </w:tcPr>
          <w:p>
            <w:hyperlink r:id="rId33">
              <w:r>
                <w:rPr>
                  <w:color w:val="2B6F9F"/>
                  <w:u w:val="single"/>
                  <w:b/>
                </w:rPr>
                <w:t>Hexagon Smart P&amp;ID</w:t>
              </w:r>
            </w:hyperlink>
          </w:p>
        </w:tc>
        <w:tc>
          <w:tcPr>
            <w:tcW w:type="dxa" w:w="3969"/>
            <w:tcMar>
              <w:top w:w="90" w:type="dxa"/>
              <w:start w:w="100" w:type="dxa"/>
              <w:bottom w:w="90" w:type="dxa"/>
              <w:end w:w="100" w:type="dxa"/>
            </w:tcMar>
            <w:shd w:fill="F2F4F5"/>
          </w:tcPr>
          <w:p>
            <w:r>
              <w:t>Official reference data exposes AABBCC codes, symbol file names, types/subclasses and regional-standard coding ranges.</w:t>
            </w:r>
          </w:p>
        </w:tc>
        <w:tc>
          <w:tcPr>
            <w:tcW w:type="dxa" w:w="3515"/>
            <w:tcMar>
              <w:top w:w="90" w:type="dxa"/>
              <w:start w:w="100" w:type="dxa"/>
              <w:bottom w:w="90" w:type="dxa"/>
              <w:end w:w="100" w:type="dxa"/>
            </w:tcMar>
            <w:shd w:fill="F2F4F5"/>
          </w:tcPr>
          <w:p>
            <w:r>
              <w:t>Excellent structured vendor implementation map; pursue export/mapping licence rather than scraping product assets.</w:t>
            </w:r>
          </w:p>
        </w:tc>
      </w:tr>
      <w:tr>
        <w:trPr>
          <w:cantSplit/>
        </w:trPr>
        <w:tc>
          <w:tcPr>
            <w:tcW w:type="dxa" w:w="1701"/>
            <w:tcMar>
              <w:top w:w="90" w:type="dxa"/>
              <w:start w:w="100" w:type="dxa"/>
              <w:bottom w:w="90" w:type="dxa"/>
              <w:end w:w="100" w:type="dxa"/>
            </w:tcMar>
          </w:tcPr>
          <w:p>
            <w:hyperlink r:id="rId34">
              <w:r>
                <w:rPr>
                  <w:color w:val="2B6F9F"/>
                  <w:u w:val="single"/>
                  <w:b/>
                </w:rPr>
                <w:t>Siemens COMOS</w:t>
              </w:r>
            </w:hyperlink>
          </w:p>
        </w:tc>
        <w:tc>
          <w:tcPr>
            <w:tcW w:type="dxa" w:w="3969"/>
            <w:tcMar>
              <w:top w:w="90" w:type="dxa"/>
              <w:start w:w="100" w:type="dxa"/>
              <w:bottom w:w="90" w:type="dxa"/>
              <w:end w:w="100" w:type="dxa"/>
            </w:tcMar>
          </w:tcPr>
          <w:p>
            <w:r>
              <w:t>Documents intelligent symbol technology, comprehensive object libraries and symbols aligned to standards such as ISO 10628-2 and DIN 2481, plus Proteus/ISO 15926-compatible exchange.</w:t>
            </w:r>
          </w:p>
        </w:tc>
        <w:tc>
          <w:tcPr>
            <w:tcW w:type="dxa" w:w="3515"/>
            <w:tcMar>
              <w:top w:w="90" w:type="dxa"/>
              <w:start w:w="100" w:type="dxa"/>
              <w:bottom w:w="90" w:type="dxa"/>
              <w:end w:w="100" w:type="dxa"/>
            </w:tcMar>
          </w:tcPr>
          <w:p>
            <w:r>
              <w:t>Strong interoperability test partner and vendor implementation mapping source.</w:t>
            </w:r>
          </w:p>
        </w:tc>
      </w:tr>
      <w:tr>
        <w:trPr>
          <w:cantSplit/>
        </w:trPr>
        <w:tc>
          <w:tcPr>
            <w:tcW w:type="dxa" w:w="1701"/>
            <w:tcMar>
              <w:top w:w="90" w:type="dxa"/>
              <w:start w:w="100" w:type="dxa"/>
              <w:bottom w:w="90" w:type="dxa"/>
              <w:end w:w="100" w:type="dxa"/>
            </w:tcMar>
            <w:shd w:fill="F2F4F5"/>
          </w:tcPr>
          <w:p>
            <w:hyperlink r:id="rId35">
              <w:r>
                <w:rPr>
                  <w:color w:val="2B6F9F"/>
                  <w:u w:val="single"/>
                  <w:b/>
                </w:rPr>
                <w:t>AVEVA Diagrams</w:t>
              </w:r>
            </w:hyperlink>
          </w:p>
        </w:tc>
        <w:tc>
          <w:tcPr>
            <w:tcW w:type="dxa" w:w="3969"/>
            <w:tcMar>
              <w:top w:w="90" w:type="dxa"/>
              <w:start w:w="100" w:type="dxa"/>
              <w:bottom w:w="90" w:type="dxa"/>
              <w:end w:w="100" w:type="dxa"/>
            </w:tcMar>
            <w:shd w:fill="F2F4F5"/>
          </w:tcPr>
          <w:p>
            <w:r>
              <w:t>Rule-based symbol selection uses catalogue attributes including Symgroup (stencil) and Symname (master name).</w:t>
            </w:r>
          </w:p>
        </w:tc>
        <w:tc>
          <w:tcPr>
            <w:tcW w:type="dxa" w:w="3515"/>
            <w:tcMar>
              <w:top w:w="90" w:type="dxa"/>
              <w:start w:w="100" w:type="dxa"/>
              <w:bottom w:w="90" w:type="dxa"/>
              <w:end w:w="100" w:type="dxa"/>
            </w:tcMar>
            <w:shd w:fill="F2F4F5"/>
          </w:tcPr>
          <w:p>
            <w:r>
              <w:t>Valuable representation-rule and project-configuration mapping partner.</w:t>
            </w:r>
          </w:p>
        </w:tc>
      </w:tr>
      <w:tr>
        <w:trPr>
          <w:cantSplit/>
        </w:trPr>
        <w:tc>
          <w:tcPr>
            <w:tcW w:type="dxa" w:w="1701"/>
            <w:tcMar>
              <w:top w:w="90" w:type="dxa"/>
              <w:start w:w="100" w:type="dxa"/>
              <w:bottom w:w="90" w:type="dxa"/>
              <w:end w:w="100" w:type="dxa"/>
            </w:tcMar>
          </w:tcPr>
          <w:p>
            <w:hyperlink r:id="rId36">
              <w:r>
                <w:rPr>
                  <w:color w:val="2B6F9F"/>
                  <w:u w:val="single"/>
                  <w:b/>
                </w:rPr>
                <w:t>Bentley OpenPlant PID</w:t>
              </w:r>
            </w:hyperlink>
          </w:p>
        </w:tc>
        <w:tc>
          <w:tcPr>
            <w:tcW w:type="dxa" w:w="3969"/>
            <w:tcMar>
              <w:top w:w="90" w:type="dxa"/>
              <w:start w:w="100" w:type="dxa"/>
              <w:bottom w:w="90" w:type="dxa"/>
              <w:end w:w="100" w:type="dxa"/>
            </w:tcMar>
          </w:tcPr>
          <w:p>
            <w:r>
              <w:t>Data-driven, specification-driven intelligent P&amp;ID with reusable information in an open format and digital-twin integration.</w:t>
            </w:r>
          </w:p>
        </w:tc>
        <w:tc>
          <w:tcPr>
            <w:tcW w:type="dxa" w:w="3515"/>
            <w:tcMar>
              <w:top w:w="90" w:type="dxa"/>
              <w:start w:w="100" w:type="dxa"/>
              <w:bottom w:w="90" w:type="dxa"/>
              <w:end w:w="100" w:type="dxa"/>
            </w:tcMar>
          </w:tcPr>
          <w:p>
            <w:r>
              <w:t>Strong interoperability partner; public evidence does not establish symbol redistribution rights.</w:t>
            </w:r>
          </w:p>
        </w:tc>
      </w:tr>
    </w:tbl>
    <w:p>
      <w:pPr>
        <w:pStyle w:val="Heading1"/>
        <w:keepNext/>
      </w:pPr>
      <w:r>
        <w:t>Owner/operator and EPC governance</w:t>
      </w:r>
    </w:p>
    <w:p>
      <w:r>
        <w:t>Owner/operator and EPC standards are valuable because they show the actual approved convention on a project or asset. Their correct role in SymGov is usually an overlay on a canonical standard, not a competing global definition.</w:t>
      </w:r>
    </w:p>
    <w:p>
      <w:pPr>
        <w:pStyle w:val="Heading2"/>
        <w:keepNext/>
      </w:pPr>
      <w:r>
        <w:t>Equinor LCI</w:t>
      </w:r>
    </w:p>
    <w:p>
      <w:r>
        <w:t>Equinor's public LCI Specification Portal exposes plant-specific engineering numbering systems, classes, attributes and relations, with Excel/CSV export. Even without public symbol artwork, it is a high-quality source for owner-level identifiers and provenance. Equinor's participation in interoperability ecosystems strengthens the partnership case.</w:t>
      </w:r>
    </w:p>
    <w:p>
      <w:r>
        <w:rPr>
          <w:b/>
        </w:rPr>
        <w:t xml:space="preserve">Evidence: </w:t>
      </w:r>
      <w:hyperlink r:id="rId37">
        <w:r>
          <w:rPr>
            <w:color w:val="2B6F9F"/>
            <w:u w:val="single"/>
          </w:rPr>
          <w:t>Equinor LCI Portal</w:t>
        </w:r>
      </w:hyperlink>
    </w:p>
    <w:p>
      <w:pPr>
        <w:pStyle w:val="Heading2"/>
        <w:keepNext/>
      </w:pPr>
      <w:r>
        <w:t>ADNOC engineering standards</w:t>
      </w:r>
    </w:p>
    <w:p>
      <w:r>
        <w:t>ADNOC publishes substantial engineering standards/specifications marked public, demonstrating strong owner-level governance and explicit contractor/vendor requirements. Public availability should be treated as discoverability, not automatic permission to republish graphics or substantial content.</w:t>
      </w:r>
    </w:p>
    <w:p>
      <w:r>
        <w:rPr>
          <w:b/>
        </w:rPr>
        <w:t xml:space="preserve">Evidence: </w:t>
      </w:r>
      <w:hyperlink r:id="rId38">
        <w:r>
          <w:rPr>
            <w:color w:val="2B6F9F"/>
            <w:u w:val="single"/>
          </w:rPr>
          <w:t>ADNOC public standard example</w:t>
        </w:r>
      </w:hyperlink>
    </w:p>
    <w:p>
      <w:pPr>
        <w:pStyle w:val="Heading2"/>
        <w:keepNext/>
      </w:pPr>
      <w:r>
        <w:t>Shell, Aramco and other major asset owners</w:t>
      </w:r>
    </w:p>
    <w:p>
      <w:r>
        <w:t>These organisations are likely to hold high-value corporate engineering practices and project conventions, but public symbol corpora are limited. The strongest commercial proposition is a private corporate namespace with controlled visibility and explicit lineage back to canonical standards.</w:t>
      </w:r>
    </w:p>
    <w:p>
      <w:pPr>
        <w:pStyle w:val="Heading2"/>
        <w:keepNext/>
      </w:pPr>
      <w:r>
        <w:t>EPC project libraries</w:t>
      </w:r>
    </w:p>
    <w:p>
      <w:r>
        <w:t>EPC symbol sets frequently combine ISO/ISA/PIP/vendor content with owner requirements and project drafting conventions. Partnership contracts should require provenance declarations and rights warranties so SymGov does not receive protected upstream content under an invalid sublicense.</w:t>
      </w:r>
    </w:p>
    <w:p>
      <w:pPr>
        <w:pStyle w:val="Heading1"/>
        <w:keepNext/>
      </w:pPr>
      <w:r>
        <w:t>Open and semantic sources for early ingestion</w:t>
      </w:r>
    </w:p>
    <w:tbl>
      <w:tblPr>
        <w:tblW w:type="auto" w:w="0"/>
        <w:jc w:val="center"/>
        <w:tblLayout w:type="fixed"/>
        <w:tblLook w:firstColumn="1" w:firstRow="1" w:lastColumn="0" w:lastRow="0" w:noHBand="0" w:noVBand="1" w:val="04A0"/>
      </w:tblPr>
      <w:tblGrid>
        <w:gridCol w:w="1474"/>
        <w:gridCol w:w="1701"/>
        <w:gridCol w:w="1814"/>
        <w:gridCol w:w="1984"/>
        <w:gridCol w:w="2268"/>
      </w:tblGrid>
      <w:tr>
        <w:trPr>
          <w:tblHeader w:val="true"/>
          <w:cantSplit/>
        </w:trPr>
        <w:tc>
          <w:tcPr>
            <w:tcW w:type="dxa" w:w="1973"/>
            <w:shd w:fill="087E8B"/>
          </w:tcPr>
          <w:p>
            <w:r>
              <w:rPr>
                <w:b/>
                <w:color w:val="FFFFFF"/>
              </w:rPr>
              <w:t>Source</w:t>
            </w:r>
          </w:p>
        </w:tc>
        <w:tc>
          <w:tcPr>
            <w:tcW w:type="dxa" w:w="1973"/>
            <w:shd w:fill="087E8B"/>
          </w:tcPr>
          <w:p>
            <w:r>
              <w:rPr>
                <w:b/>
                <w:color w:val="FFFFFF"/>
              </w:rPr>
              <w:t>Licence/access</w:t>
            </w:r>
          </w:p>
        </w:tc>
        <w:tc>
          <w:tcPr>
            <w:tcW w:type="dxa" w:w="1973"/>
            <w:shd w:fill="087E8B"/>
          </w:tcPr>
          <w:p>
            <w:r>
              <w:rPr>
                <w:b/>
                <w:color w:val="FFFFFF"/>
              </w:rPr>
              <w:t>Machine-readability</w:t>
            </w:r>
          </w:p>
        </w:tc>
        <w:tc>
          <w:tcPr>
            <w:tcW w:type="dxa" w:w="1973"/>
            <w:shd w:fill="087E8B"/>
          </w:tcPr>
          <w:p>
            <w:r>
              <w:rPr>
                <w:b/>
                <w:color w:val="FFFFFF"/>
              </w:rPr>
              <w:t>Best SymGov use</w:t>
            </w:r>
          </w:p>
        </w:tc>
        <w:tc>
          <w:tcPr>
            <w:tcW w:type="dxa" w:w="1973"/>
            <w:shd w:fill="087E8B"/>
          </w:tcPr>
          <w:p>
            <w:r>
              <w:rPr>
                <w:b/>
                <w:color w:val="FFFFFF"/>
              </w:rPr>
              <w:t>Critical control</w:t>
            </w:r>
          </w:p>
        </w:tc>
      </w:tr>
      <w:tr>
        <w:trPr>
          <w:cantSplit/>
        </w:trPr>
        <w:tc>
          <w:tcPr>
            <w:tcW w:type="dxa" w:w="1474"/>
            <w:tcMar>
              <w:top w:w="80" w:type="dxa"/>
              <w:start w:w="100" w:type="dxa"/>
              <w:bottom w:w="80" w:type="dxa"/>
              <w:end w:w="100" w:type="dxa"/>
            </w:tcMar>
          </w:tcPr>
          <w:p>
            <w:r>
              <w:t>DEXPI 2.0</w:t>
            </w:r>
          </w:p>
        </w:tc>
        <w:tc>
          <w:tcPr>
            <w:tcW w:type="dxa" w:w="1701"/>
            <w:tcMar>
              <w:top w:w="80" w:type="dxa"/>
              <w:start w:w="100" w:type="dxa"/>
              <w:bottom w:w="80" w:type="dxa"/>
              <w:end w:w="100" w:type="dxa"/>
            </w:tcMar>
          </w:tcPr>
          <w:p>
            <w:r>
              <w:t>CC BY 4.0</w:t>
            </w:r>
          </w:p>
        </w:tc>
        <w:tc>
          <w:tcPr>
            <w:tcW w:type="dxa" w:w="1814"/>
            <w:tcMar>
              <w:top w:w="80" w:type="dxa"/>
              <w:start w:w="100" w:type="dxa"/>
              <w:bottom w:w="80" w:type="dxa"/>
              <w:end w:w="100" w:type="dxa"/>
            </w:tcMar>
          </w:tcPr>
          <w:p>
            <w:r>
              <w:t>DEXPI XML; RDL URIs; SPARQL</w:t>
            </w:r>
          </w:p>
        </w:tc>
        <w:tc>
          <w:tcPr>
            <w:tcW w:type="dxa" w:w="1984"/>
            <w:tcMar>
              <w:top w:w="80" w:type="dxa"/>
              <w:start w:w="100" w:type="dxa"/>
              <w:bottom w:w="80" w:type="dxa"/>
              <w:end w:w="100" w:type="dxa"/>
            </w:tcMar>
          </w:tcPr>
          <w:p>
            <w:r>
              <w:t>Neutral concept and interchange backbone</w:t>
            </w:r>
          </w:p>
        </w:tc>
        <w:tc>
          <w:tcPr>
            <w:tcW w:type="dxa" w:w="2268"/>
            <w:tcMar>
              <w:top w:w="80" w:type="dxa"/>
              <w:start w:w="100" w:type="dxa"/>
              <w:bottom w:w="80" w:type="dxa"/>
              <w:end w:w="100" w:type="dxa"/>
            </w:tcMar>
          </w:tcPr>
          <w:p>
            <w:r>
              <w:t>Do not present it as a drawing-style authority</w:t>
            </w:r>
          </w:p>
        </w:tc>
      </w:tr>
      <w:tr>
        <w:trPr>
          <w:cantSplit/>
        </w:trPr>
        <w:tc>
          <w:tcPr>
            <w:tcW w:type="dxa" w:w="1474"/>
            <w:tcMar>
              <w:top w:w="80" w:type="dxa"/>
              <w:start w:w="100" w:type="dxa"/>
              <w:bottom w:w="80" w:type="dxa"/>
              <w:end w:w="100" w:type="dxa"/>
            </w:tcMar>
            <w:shd w:fill="F2F4F5"/>
          </w:tcPr>
          <w:p>
            <w:r>
              <w:t>CFIHOS 2.0</w:t>
            </w:r>
          </w:p>
        </w:tc>
        <w:tc>
          <w:tcPr>
            <w:tcW w:type="dxa" w:w="1701"/>
            <w:tcMar>
              <w:top w:w="80" w:type="dxa"/>
              <w:start w:w="100" w:type="dxa"/>
              <w:bottom w:w="80" w:type="dxa"/>
              <w:end w:w="100" w:type="dxa"/>
            </w:tcMar>
            <w:shd w:fill="F2F4F5"/>
          </w:tcPr>
          <w:p>
            <w:r>
              <w:t>Free download/use; redistribution terms to confirm</w:t>
            </w:r>
          </w:p>
        </w:tc>
        <w:tc>
          <w:tcPr>
            <w:tcW w:type="dxa" w:w="1814"/>
            <w:tcMar>
              <w:top w:w="80" w:type="dxa"/>
              <w:start w:w="100" w:type="dxa"/>
              <w:bottom w:w="80" w:type="dxa"/>
              <w:end w:w="100" w:type="dxa"/>
            </w:tcMar>
            <w:shd w:fill="F2F4F5"/>
          </w:tcPr>
          <w:p>
            <w:r>
              <w:t>Excel/CSV; RDF incl. JSON-LD/Turtle</w:t>
            </w:r>
          </w:p>
        </w:tc>
        <w:tc>
          <w:tcPr>
            <w:tcW w:type="dxa" w:w="1984"/>
            <w:tcMar>
              <w:top w:w="80" w:type="dxa"/>
              <w:start w:w="100" w:type="dxa"/>
              <w:bottom w:w="80" w:type="dxa"/>
              <w:end w:w="100" w:type="dxa"/>
            </w:tcMar>
            <w:shd w:fill="F2F4F5"/>
          </w:tcPr>
          <w:p>
            <w:r>
              <w:t>Asset classes/properties and handover semantics</w:t>
            </w:r>
          </w:p>
        </w:tc>
        <w:tc>
          <w:tcPr>
            <w:tcW w:type="dxa" w:w="2268"/>
            <w:tcMar>
              <w:top w:w="80" w:type="dxa"/>
              <w:start w:w="100" w:type="dxa"/>
              <w:bottom w:w="80" w:type="dxa"/>
              <w:end w:w="100" w:type="dxa"/>
            </w:tcMar>
            <w:shd w:fill="F2F4F5"/>
          </w:tcPr>
          <w:p>
            <w:r>
              <w:t>Confirm commercial embedding/API terms</w:t>
            </w:r>
          </w:p>
        </w:tc>
      </w:tr>
      <w:tr>
        <w:trPr>
          <w:cantSplit/>
        </w:trPr>
        <w:tc>
          <w:tcPr>
            <w:tcW w:type="dxa" w:w="1474"/>
            <w:tcMar>
              <w:top w:w="80" w:type="dxa"/>
              <w:start w:w="100" w:type="dxa"/>
              <w:bottom w:w="80" w:type="dxa"/>
              <w:end w:w="100" w:type="dxa"/>
            </w:tcMar>
          </w:tcPr>
          <w:p>
            <w:r>
              <w:t>QElectroTech</w:t>
            </w:r>
          </w:p>
        </w:tc>
        <w:tc>
          <w:tcPr>
            <w:tcW w:type="dxa" w:w="1701"/>
            <w:tcMar>
              <w:top w:w="80" w:type="dxa"/>
              <w:start w:w="100" w:type="dxa"/>
              <w:bottom w:w="80" w:type="dxa"/>
              <w:end w:w="100" w:type="dxa"/>
            </w:tcMar>
          </w:tcPr>
          <w:p>
            <w:r>
              <w:t>CC BY 3.0 collection redistribution</w:t>
            </w:r>
          </w:p>
        </w:tc>
        <w:tc>
          <w:tcPr>
            <w:tcW w:type="dxa" w:w="1814"/>
            <w:tcMar>
              <w:top w:w="80" w:type="dxa"/>
              <w:start w:w="100" w:type="dxa"/>
              <w:bottom w:w="80" w:type="dxa"/>
              <w:end w:w="100" w:type="dxa"/>
            </w:tcMar>
          </w:tcPr>
          <w:p>
            <w:r>
              <w:t>Structured element repository / XML-oriented elements</w:t>
            </w:r>
          </w:p>
        </w:tc>
        <w:tc>
          <w:tcPr>
            <w:tcW w:type="dxa" w:w="1984"/>
            <w:tcMar>
              <w:top w:w="80" w:type="dxa"/>
              <w:start w:w="100" w:type="dxa"/>
              <w:bottom w:w="80" w:type="dxa"/>
              <w:end w:w="100" w:type="dxa"/>
            </w:tcMar>
          </w:tcPr>
          <w:p>
            <w:r>
              <w:t>Parser/normalizer/QA test corpus</w:t>
            </w:r>
          </w:p>
        </w:tc>
        <w:tc>
          <w:tcPr>
            <w:tcW w:type="dxa" w:w="2268"/>
            <w:tcMar>
              <w:top w:w="80" w:type="dxa"/>
              <w:start w:w="100" w:type="dxa"/>
              <w:bottom w:w="80" w:type="dxa"/>
              <w:end w:w="100" w:type="dxa"/>
            </w:tcMar>
          </w:tcPr>
          <w:p>
            <w:r>
              <w:t>Explicit no-ML-training condition</w:t>
            </w:r>
          </w:p>
        </w:tc>
      </w:tr>
      <w:tr>
        <w:trPr>
          <w:cantSplit/>
        </w:trPr>
        <w:tc>
          <w:tcPr>
            <w:tcW w:type="dxa" w:w="1474"/>
            <w:tcMar>
              <w:top w:w="80" w:type="dxa"/>
              <w:start w:w="100" w:type="dxa"/>
              <w:bottom w:w="80" w:type="dxa"/>
              <w:end w:w="100" w:type="dxa"/>
            </w:tcMar>
            <w:shd w:fill="F2F4F5"/>
          </w:tcPr>
          <w:p>
            <w:r>
              <w:t>KiCad</w:t>
            </w:r>
          </w:p>
        </w:tc>
        <w:tc>
          <w:tcPr>
            <w:tcW w:type="dxa" w:w="1701"/>
            <w:tcMar>
              <w:top w:w="80" w:type="dxa"/>
              <w:start w:w="100" w:type="dxa"/>
              <w:bottom w:w="80" w:type="dxa"/>
              <w:end w:w="100" w:type="dxa"/>
            </w:tcMar>
            <w:shd w:fill="F2F4F5"/>
          </w:tcPr>
          <w:p>
            <w:r>
              <w:t>CC BY-SA 4.0 libraries</w:t>
            </w:r>
          </w:p>
        </w:tc>
        <w:tc>
          <w:tcPr>
            <w:tcW w:type="dxa" w:w="1814"/>
            <w:tcMar>
              <w:top w:w="80" w:type="dxa"/>
              <w:start w:w="100" w:type="dxa"/>
              <w:bottom w:w="80" w:type="dxa"/>
              <w:end w:w="100" w:type="dxa"/>
            </w:tcMar>
            <w:shd w:fill="F2F4F5"/>
          </w:tcPr>
          <w:p>
            <w:r>
              <w:t>Text-based schematic symbol files</w:t>
            </w:r>
          </w:p>
        </w:tc>
        <w:tc>
          <w:tcPr>
            <w:tcW w:type="dxa" w:w="1984"/>
            <w:tcMar>
              <w:top w:w="80" w:type="dxa"/>
              <w:start w:w="100" w:type="dxa"/>
              <w:bottom w:w="80" w:type="dxa"/>
              <w:end w:w="100" w:type="dxa"/>
            </w:tcMar>
            <w:shd w:fill="F2F4F5"/>
          </w:tcPr>
          <w:p>
            <w:r>
              <w:t>Electronics-domain open library</w:t>
            </w:r>
          </w:p>
        </w:tc>
        <w:tc>
          <w:tcPr>
            <w:tcW w:type="dxa" w:w="2268"/>
            <w:tcMar>
              <w:top w:w="80" w:type="dxa"/>
              <w:start w:w="100" w:type="dxa"/>
              <w:bottom w:w="80" w:type="dxa"/>
              <w:end w:w="100" w:type="dxa"/>
            </w:tcMar>
            <w:shd w:fill="F2F4F5"/>
          </w:tcPr>
          <w:p>
            <w:r>
              <w:t>Share-alike collection redistribution/attribution</w:t>
            </w:r>
          </w:p>
        </w:tc>
      </w:tr>
    </w:tbl>
    <w:p>
      <w:r>
        <w:rPr>
          <w:b/>
        </w:rPr>
        <w:t xml:space="preserve">Evidence: </w:t>
      </w:r>
      <w:hyperlink r:id="rId39">
        <w:r>
          <w:rPr>
            <w:color w:val="2B6F9F"/>
            <w:u w:val="single"/>
          </w:rPr>
          <w:t>DEXPI 2.0 licence / release</w:t>
        </w:r>
      </w:hyperlink>
      <w:r>
        <w:t xml:space="preserve"> | </w:t>
      </w:r>
      <w:hyperlink r:id="rId40">
        <w:r>
          <w:rPr>
            <w:color w:val="2B6F9F"/>
            <w:u w:val="single"/>
          </w:rPr>
          <w:t>CFIHOS v2.0</w:t>
        </w:r>
      </w:hyperlink>
      <w:r>
        <w:t xml:space="preserve"> | </w:t>
      </w:r>
      <w:hyperlink r:id="rId41">
        <w:r>
          <w:rPr>
            <w:color w:val="2B6F9F"/>
            <w:u w:val="single"/>
          </w:rPr>
          <w:t>CFIHOS RDF</w:t>
        </w:r>
      </w:hyperlink>
      <w:r>
        <w:t xml:space="preserve"> | </w:t>
      </w:r>
      <w:hyperlink r:id="rId42">
        <w:r>
          <w:rPr>
            <w:color w:val="2B6F9F"/>
            <w:u w:val="single"/>
          </w:rPr>
          <w:t>QElectroTech Licence</w:t>
        </w:r>
      </w:hyperlink>
      <w:r>
        <w:t xml:space="preserve"> | </w:t>
      </w:r>
      <w:hyperlink r:id="rId43">
        <w:r>
          <w:rPr>
            <w:color w:val="2B6F9F"/>
            <w:u w:val="single"/>
          </w:rPr>
          <w:t>KiCad Licence</w:t>
        </w:r>
      </w:hyperlink>
    </w:p>
    <w:p>
      <w:pPr>
        <w:pStyle w:val="Heading1"/>
        <w:keepNext/>
      </w:pPr>
      <w:r>
        <w:t>Licensing assessment</w:t>
      </w:r>
    </w:p>
    <w:tbl>
      <w:tblPr>
        <w:tblW w:type="auto" w:w="0"/>
        <w:jc w:val="center"/>
        <w:tblLayout w:type="fixed"/>
        <w:tblLook w:firstColumn="1" w:firstRow="1" w:lastColumn="0" w:lastRow="0" w:noHBand="0" w:noVBand="1" w:val="04A0"/>
      </w:tblPr>
      <w:tblGrid>
        <w:gridCol w:w="9411"/>
      </w:tblGrid>
      <w:tr>
        <w:trPr>
          <w:cantSplit/>
        </w:trPr>
        <w:tc>
          <w:tcPr>
            <w:tcW w:type="dxa" w:w="9866"/>
            <w:shd w:fill="FFF0C7"/>
            <w:tcMar>
              <w:top w:w="150" w:type="dxa"/>
              <w:start w:w="180" w:type="dxa"/>
              <w:bottom w:w="150" w:type="dxa"/>
              <w:end w:w="180" w:type="dxa"/>
            </w:tcMar>
            <w:tcBorders>
              <w:top w:val="single" w:sz="8" w:color="C58B00"/>
              <w:left w:val="single" w:sz="8" w:color="C58B00"/>
              <w:bottom w:val="single" w:sz="8" w:color="C58B00"/>
              <w:right w:val="single" w:sz="8" w:color="C58B00"/>
            </w:tcBorders>
          </w:tcPr>
          <w:p>
            <w:pPr>
              <w:spacing w:after="60"/>
            </w:pPr>
            <w:r>
              <w:rPr>
                <w:b/>
                <w:color w:val="163A5F"/>
                <w:sz w:val="20"/>
              </w:rPr>
              <w:t>Important commercial distinction</w:t>
            </w:r>
          </w:p>
          <w:p>
            <w:pPr>
              <w:spacing w:after="0" w:line="252" w:lineRule="auto"/>
            </w:pPr>
            <w:r>
              <w:t>“Closed” does not mean “unavailable”. The evidence shows that standards bodies already license symbols into commercial engineering software. For SymGov, the correct action is to negotiate platform rights before ingestion, not to copy/redraw first and resolve rights later.</w:t>
            </w:r>
          </w:p>
        </w:tc>
      </w:tr>
    </w:tbl>
    <w:tbl>
      <w:tblPr>
        <w:tblW w:type="auto" w:w="0"/>
        <w:jc w:val="center"/>
        <w:tblLayout w:type="fixed"/>
        <w:tblLook w:firstColumn="1" w:firstRow="1" w:lastColumn="0" w:lastRow="0" w:noHBand="0" w:noVBand="1" w:val="04A0"/>
      </w:tblPr>
      <w:tblGrid>
        <w:gridCol w:w="1417"/>
        <w:gridCol w:w="2438"/>
        <w:gridCol w:w="2778"/>
        <w:gridCol w:w="2948"/>
      </w:tblGrid>
      <w:tr>
        <w:trPr>
          <w:tblHeader w:val="true"/>
          <w:cantSplit/>
        </w:trPr>
        <w:tc>
          <w:tcPr>
            <w:tcW w:type="dxa" w:w="2466"/>
            <w:shd w:fill="163A5F"/>
          </w:tcPr>
          <w:p>
            <w:r>
              <w:rPr>
                <w:b/>
                <w:color w:val="FFFFFF"/>
              </w:rPr>
              <w:t>Status</w:t>
            </w:r>
          </w:p>
        </w:tc>
        <w:tc>
          <w:tcPr>
            <w:tcW w:type="dxa" w:w="2466"/>
            <w:shd w:fill="163A5F"/>
          </w:tcPr>
          <w:p>
            <w:r>
              <w:rPr>
                <w:b/>
                <w:color w:val="FFFFFF"/>
              </w:rPr>
              <w:t>Sources</w:t>
            </w:r>
          </w:p>
        </w:tc>
        <w:tc>
          <w:tcPr>
            <w:tcW w:type="dxa" w:w="2466"/>
            <w:shd w:fill="163A5F"/>
          </w:tcPr>
          <w:p>
            <w:r>
              <w:rPr>
                <w:b/>
                <w:color w:val="FFFFFF"/>
              </w:rPr>
              <w:t>What SymGov can do now</w:t>
            </w:r>
          </w:p>
        </w:tc>
        <w:tc>
          <w:tcPr>
            <w:tcW w:type="dxa" w:w="2466"/>
            <w:shd w:fill="163A5F"/>
          </w:tcPr>
          <w:p>
            <w:r>
              <w:rPr>
                <w:b/>
                <w:color w:val="FFFFFF"/>
              </w:rPr>
              <w:t>Required control / next step</w:t>
            </w:r>
          </w:p>
        </w:tc>
      </w:tr>
      <w:tr>
        <w:trPr>
          <w:cantSplit/>
        </w:trPr>
        <w:tc>
          <w:tcPr>
            <w:tcW w:type="dxa" w:w="1417"/>
            <w:tcMar>
              <w:top w:w="100" w:type="dxa"/>
              <w:start w:w="110" w:type="dxa"/>
              <w:bottom w:w="100" w:type="dxa"/>
              <w:end w:w="110" w:type="dxa"/>
            </w:tcMar>
            <w:shd w:fill="DFF2E1"/>
          </w:tcPr>
          <w:p>
            <w:r>
              <w:rPr>
                <w:b/>
              </w:rPr>
              <w:t>GREEN</w:t>
            </w:r>
          </w:p>
        </w:tc>
        <w:tc>
          <w:tcPr>
            <w:tcW w:type="dxa" w:w="2438"/>
            <w:tcMar>
              <w:top w:w="100" w:type="dxa"/>
              <w:start w:w="110" w:type="dxa"/>
              <w:bottom w:w="100" w:type="dxa"/>
              <w:end w:w="110" w:type="dxa"/>
            </w:tcMar>
          </w:tcPr>
          <w:p>
            <w:r>
              <w:t>DEXPI; QElectroTech; KiCad (with obligations)</w:t>
            </w:r>
          </w:p>
        </w:tc>
        <w:tc>
          <w:tcPr>
            <w:tcW w:type="dxa" w:w="2778"/>
            <w:tcMar>
              <w:top w:w="100" w:type="dxa"/>
              <w:start w:w="110" w:type="dxa"/>
              <w:bottom w:w="100" w:type="dxa"/>
              <w:end w:w="110" w:type="dxa"/>
            </w:tcMar>
          </w:tcPr>
          <w:p>
            <w:r>
              <w:t>Build technical ingestion proofs and provenance records using rights-aware partitions.</w:t>
            </w:r>
          </w:p>
        </w:tc>
        <w:tc>
          <w:tcPr>
            <w:tcW w:type="dxa" w:w="2948"/>
            <w:tcMar>
              <w:top w:w="100" w:type="dxa"/>
              <w:start w:w="110" w:type="dxa"/>
              <w:bottom w:w="100" w:type="dxa"/>
              <w:end w:w="110" w:type="dxa"/>
            </w:tcMar>
          </w:tcPr>
          <w:p>
            <w:r>
              <w:t>Preserve attribution; enforce QElectroTech ML ban; keep KiCad share-alike collection compatible.</w:t>
            </w:r>
          </w:p>
        </w:tc>
      </w:tr>
      <w:tr>
        <w:trPr>
          <w:cantSplit/>
        </w:trPr>
        <w:tc>
          <w:tcPr>
            <w:tcW w:type="dxa" w:w="1417"/>
            <w:tcMar>
              <w:top w:w="100" w:type="dxa"/>
              <w:start w:w="110" w:type="dxa"/>
              <w:bottom w:w="100" w:type="dxa"/>
              <w:end w:w="110" w:type="dxa"/>
            </w:tcMar>
            <w:shd w:fill="FFF0C7"/>
          </w:tcPr>
          <w:p>
            <w:r>
              <w:rPr>
                <w:b/>
              </w:rPr>
              <w:t>AMBER</w:t>
            </w:r>
          </w:p>
        </w:tc>
        <w:tc>
          <w:tcPr>
            <w:tcW w:type="dxa" w:w="2438"/>
            <w:tcMar>
              <w:top w:w="100" w:type="dxa"/>
              <w:start w:w="110" w:type="dxa"/>
              <w:bottom w:w="100" w:type="dxa"/>
              <w:end w:w="110" w:type="dxa"/>
            </w:tcMar>
          </w:tcPr>
          <w:p>
            <w:r>
              <w:t>CFIHOS; public owner/operator metadata; vendor documentation</w:t>
            </w:r>
          </w:p>
        </w:tc>
        <w:tc>
          <w:tcPr>
            <w:tcW w:type="dxa" w:w="2778"/>
            <w:tcMar>
              <w:top w:w="100" w:type="dxa"/>
              <w:start w:w="110" w:type="dxa"/>
              <w:bottom w:w="100" w:type="dxa"/>
              <w:end w:w="110" w:type="dxa"/>
            </w:tcMar>
          </w:tcPr>
          <w:p>
            <w:r>
              <w:t>Index/link metadata and negotiate structured-data rights before bulk commercial redistribution.</w:t>
            </w:r>
          </w:p>
        </w:tc>
        <w:tc>
          <w:tcPr>
            <w:tcW w:type="dxa" w:w="2948"/>
            <w:tcMar>
              <w:top w:w="100" w:type="dxa"/>
              <w:start w:w="110" w:type="dxa"/>
              <w:bottom w:w="100" w:type="dxa"/>
              <w:end w:w="110" w:type="dxa"/>
            </w:tcMar>
          </w:tcPr>
          <w:p>
            <w:r>
              <w:t>Confirm exact embedding, API, sublicensing, derivative and public-display terms.</w:t>
            </w:r>
          </w:p>
        </w:tc>
      </w:tr>
      <w:tr>
        <w:trPr>
          <w:cantSplit/>
        </w:trPr>
        <w:tc>
          <w:tcPr>
            <w:tcW w:type="dxa" w:w="1417"/>
            <w:tcMar>
              <w:top w:w="100" w:type="dxa"/>
              <w:start w:w="110" w:type="dxa"/>
              <w:bottom w:w="100" w:type="dxa"/>
              <w:end w:w="110" w:type="dxa"/>
            </w:tcMar>
            <w:shd w:fill="FBE0E0"/>
          </w:tcPr>
          <w:p>
            <w:r>
              <w:rPr>
                <w:b/>
              </w:rPr>
              <w:t>RED / LICENCE FIRST</w:t>
            </w:r>
          </w:p>
        </w:tc>
        <w:tc>
          <w:tcPr>
            <w:tcW w:type="dxa" w:w="2438"/>
            <w:tcMar>
              <w:top w:w="100" w:type="dxa"/>
              <w:start w:w="110" w:type="dxa"/>
              <w:bottom w:w="100" w:type="dxa"/>
              <w:end w:w="110" w:type="dxa"/>
            </w:tcMar>
          </w:tcPr>
          <w:p>
            <w:r>
              <w:t>ISO; IEC; ISA; PIP; DIN; JIS; NORSOK; ASME; AWS; NFPA</w:t>
            </w:r>
          </w:p>
        </w:tc>
        <w:tc>
          <w:tcPr>
            <w:tcW w:type="dxa" w:w="2778"/>
            <w:tcMar>
              <w:top w:w="100" w:type="dxa"/>
              <w:start w:w="110" w:type="dxa"/>
              <w:bottom w:w="100" w:type="dxa"/>
              <w:end w:w="110" w:type="dxa"/>
            </w:tcMar>
          </w:tcPr>
          <w:p>
            <w:r>
              <w:t>Store bibliographic/source metadata and licensing status; do not publish protected glyph collections.</w:t>
            </w:r>
          </w:p>
        </w:tc>
        <w:tc>
          <w:tcPr>
            <w:tcW w:type="dxa" w:w="2948"/>
            <w:tcMar>
              <w:top w:w="100" w:type="dxa"/>
              <w:start w:w="110" w:type="dxa"/>
              <w:bottom w:w="100" w:type="dxa"/>
              <w:end w:w="110" w:type="dxa"/>
            </w:tcMar>
          </w:tcPr>
          <w:p>
            <w:r>
              <w:t>Obtain explicit digital platform/bulk/API/redistribution rights and edition update mechanism.</w:t>
            </w:r>
          </w:p>
        </w:tc>
      </w:tr>
    </w:tbl>
    <w:p>
      <w:r>
        <w:rPr>
          <w:b/>
        </w:rPr>
        <w:t xml:space="preserve">Legal note: </w:t>
      </w:r>
      <w:r>
        <w:t>This is a product/licensing assessment, not legal advice. Counsel should confirm copyright/database rights, trademarks, sublicensing, public display, APIs, derivative works and AI/text-and-data-mining terms before production ingestion.</w:t>
      </w:r>
    </w:p>
    <w:p>
      <w:pPr>
        <w:pStyle w:val="Heading1"/>
        <w:keepNext/>
      </w:pPr>
      <w:r>
        <w:t>Recommended ingestion and provenance architecture</w:t>
      </w:r>
    </w:p>
    <w:tbl>
      <w:tblPr>
        <w:tblW w:type="auto" w:w="0"/>
        <w:jc w:val="center"/>
        <w:tblLayout w:type="fixed"/>
        <w:tblLook w:firstColumn="1" w:firstRow="1" w:lastColumn="0" w:lastRow="0" w:noHBand="0" w:noVBand="1" w:val="04A0"/>
      </w:tblPr>
      <w:tblGrid>
        <w:gridCol w:w="9411"/>
      </w:tblGrid>
      <w:tr>
        <w:trPr>
          <w:cantSplit/>
        </w:trPr>
        <w:tc>
          <w:tcPr>
            <w:tcW w:type="dxa" w:w="9866"/>
            <w:shd w:fill="EAF2F8"/>
            <w:tcMar>
              <w:top w:w="150" w:type="dxa"/>
              <w:start w:w="180" w:type="dxa"/>
              <w:bottom w:w="150" w:type="dxa"/>
              <w:end w:w="180" w:type="dxa"/>
            </w:tcMar>
            <w:tcBorders>
              <w:top w:val="single" w:sz="8" w:color="2B6F9F"/>
              <w:left w:val="single" w:sz="8" w:color="2B6F9F"/>
              <w:bottom w:val="single" w:sz="8" w:color="2B6F9F"/>
              <w:right w:val="single" w:sz="8" w:color="2B6F9F"/>
            </w:tcBorders>
          </w:tcPr>
          <w:p>
            <w:pPr>
              <w:spacing w:after="60"/>
            </w:pPr>
            <w:r>
              <w:rPr>
                <w:b/>
                <w:color w:val="163A5F"/>
                <w:sz w:val="20"/>
              </w:rPr>
              <w:t>Design principle</w:t>
            </w:r>
          </w:p>
          <w:p>
            <w:pPr>
              <w:spacing w:after="0" w:line="252" w:lineRule="auto"/>
            </w:pPr>
            <w:r>
              <w:t>A symbol image must not be the primary identity. The primary object is an engineering concept; each standard/vendor/company/project glyph is a versioned representation with its own provenance and rights.</w:t>
            </w:r>
          </w:p>
        </w:tc>
      </w:tr>
    </w:tbl>
    <w:p>
      <w:r>
        <w:rPr>
          <w:b/>
          <w:color w:val="087E8B"/>
        </w:rPr>
        <w:t xml:space="preserve">1. Source Registry - </w:t>
      </w:r>
      <w:r>
        <w:t>Organisation, standard/practice, edition, jurisdiction, canonical URL, source role, access method, update/status information.</w:t>
      </w:r>
    </w:p>
    <w:p>
      <w:r>
        <w:rPr>
          <w:b/>
          <w:color w:val="087E8B"/>
        </w:rPr>
        <w:t xml:space="preserve">2. Rights Registry - </w:t>
      </w:r>
      <w:r>
        <w:t>Copyright/licence holder, permitted acts, public-display limits, redistribution/API rights, sublicensing, AI/TDM flag, attribution, expiry and evidence.</w:t>
      </w:r>
    </w:p>
    <w:p>
      <w:r>
        <w:rPr>
          <w:b/>
          <w:color w:val="087E8B"/>
        </w:rPr>
        <w:t xml:space="preserve">3. Immutable Raw Snapshot - </w:t>
      </w:r>
      <w:r>
        <w:t>Preserve source-native files exactly as received, timestamp and checksum them, and never overwrite older editions.</w:t>
      </w:r>
    </w:p>
    <w:p>
      <w:r>
        <w:rPr>
          <w:b/>
          <w:color w:val="087E8B"/>
        </w:rPr>
        <w:t xml:space="preserve">4. Normalizer - </w:t>
      </w:r>
      <w:r>
        <w:t>Convert permitted geometry to normalized SVG/graph primitives while retaining source-native geometry, units and transformation lineage.</w:t>
      </w:r>
    </w:p>
    <w:p>
      <w:r>
        <w:rPr>
          <w:b/>
          <w:color w:val="087E8B"/>
        </w:rPr>
        <w:t xml:space="preserve">5. Concept Layer - </w:t>
      </w:r>
      <w:r>
        <w:t>Create a neutral engineering concept and attach DEXPI/PCA/ISO 15926 and CFIHOS identifiers where appropriate.</w:t>
      </w:r>
    </w:p>
    <w:p>
      <w:r>
        <w:rPr>
          <w:b/>
          <w:color w:val="087E8B"/>
        </w:rPr>
        <w:t xml:space="preserve">6. Representation Layer - </w:t>
      </w:r>
      <w:r>
        <w:t>Store each ISO/IEC/ISA/PIP/NORSOK/vendor/company glyph as a separate representation with source edition and symbol ID.</w:t>
      </w:r>
    </w:p>
    <w:p>
      <w:r>
        <w:rPr>
          <w:b/>
          <w:color w:val="087E8B"/>
        </w:rPr>
        <w:t xml:space="preserve">7. Crosswalk Layer - </w:t>
      </w:r>
      <w:r>
        <w:t>Support equivalent-to, broader/narrower, implementation-of, derived-from, company-deviation-from, supersedes and visually-similar-but-semantically-different.</w:t>
      </w:r>
    </w:p>
    <w:p>
      <w:r>
        <w:rPr>
          <w:b/>
          <w:color w:val="087E8B"/>
        </w:rPr>
        <w:t xml:space="preserve">8. SME Review - </w:t>
      </w:r>
      <w:r>
        <w:t>Require human approval of semantic equivalence. Visual similarity alone must never establish engineering equivalence.</w:t>
      </w:r>
    </w:p>
    <w:p>
      <w:r>
        <w:rPr>
          <w:b/>
          <w:color w:val="087E8B"/>
        </w:rPr>
        <w:t xml:space="preserve">9. Publication Gate - </w:t>
      </w:r>
      <w:r>
        <w:t>Evaluate rights before any glyph or structured data is exposed in the UI, downloads or APIs.</w:t>
      </w:r>
    </w:p>
    <w:p>
      <w:r>
        <w:rPr>
          <w:b/>
          <w:color w:val="087E8B"/>
        </w:rPr>
        <w:t xml:space="preserve">10. Update Monitor - </w:t>
      </w:r>
      <w:r>
        <w:t>Create new version records for new editions/status changes; preserve historical use on existing projects/assets.</w:t>
      </w:r>
    </w:p>
    <w:p>
      <w:pPr>
        <w:pStyle w:val="Heading2"/>
        <w:keepNext/>
      </w:pPr>
      <w:r>
        <w:t>Minimum provenance metadata model</w:t>
      </w:r>
    </w:p>
    <w:tbl>
      <w:tblPr>
        <w:tblW w:type="auto" w:w="0"/>
        <w:jc w:val="center"/>
        <w:tblLayout w:type="fixed"/>
        <w:tblLook w:firstColumn="1" w:firstRow="1" w:lastColumn="0" w:lastRow="0" w:noHBand="0" w:noVBand="1" w:val="04A0"/>
      </w:tblPr>
      <w:tblGrid>
        <w:gridCol w:w="1928"/>
        <w:gridCol w:w="7370"/>
      </w:tblGrid>
      <w:tr>
        <w:trPr>
          <w:cantSplit/>
        </w:trPr>
        <w:tc>
          <w:tcPr>
            <w:tcW w:type="dxa" w:w="4933"/>
            <w:shd w:fill="087E8B"/>
          </w:tcPr>
          <w:p>
            <w:r>
              <w:rPr>
                <w:b/>
                <w:color w:val="FFFFFF"/>
              </w:rPr>
              <w:t>Category</w:t>
            </w:r>
          </w:p>
        </w:tc>
        <w:tc>
          <w:tcPr>
            <w:tcW w:type="dxa" w:w="4933"/>
            <w:shd w:fill="087E8B"/>
          </w:tcPr>
          <w:p>
            <w:r>
              <w:rPr>
                <w:b/>
                <w:color w:val="FFFFFF"/>
              </w:rPr>
              <w:t>Fields</w:t>
            </w:r>
          </w:p>
        </w:tc>
      </w:tr>
      <w:tr>
        <w:trPr>
          <w:cantSplit/>
        </w:trPr>
        <w:tc>
          <w:tcPr>
            <w:tcW w:type="dxa" w:w="1928"/>
            <w:tcMar>
              <w:top w:w="80" w:type="dxa"/>
              <w:start w:w="100" w:type="dxa"/>
              <w:bottom w:w="80" w:type="dxa"/>
              <w:end w:w="100" w:type="dxa"/>
            </w:tcMar>
          </w:tcPr>
          <w:p>
            <w:r>
              <w:rPr>
                <w:b/>
              </w:rPr>
              <w:t>Identity</w:t>
            </w:r>
          </w:p>
        </w:tc>
        <w:tc>
          <w:tcPr>
            <w:tcW w:type="dxa" w:w="7370"/>
            <w:tcMar>
              <w:top w:w="80" w:type="dxa"/>
              <w:start w:w="100" w:type="dxa"/>
              <w:bottom w:w="80" w:type="dxa"/>
              <w:end w:w="100" w:type="dxa"/>
            </w:tcMar>
          </w:tcPr>
          <w:p>
            <w:r>
              <w:t>symgov_id; concept_id; representation_variant_id</w:t>
            </w:r>
          </w:p>
        </w:tc>
      </w:tr>
      <w:tr>
        <w:trPr>
          <w:cantSplit/>
        </w:trPr>
        <w:tc>
          <w:tcPr>
            <w:tcW w:type="dxa" w:w="1928"/>
            <w:tcMar>
              <w:top w:w="80" w:type="dxa"/>
              <w:start w:w="100" w:type="dxa"/>
              <w:bottom w:w="80" w:type="dxa"/>
              <w:end w:w="100" w:type="dxa"/>
            </w:tcMar>
            <w:shd w:fill="F2F4F5"/>
          </w:tcPr>
          <w:p>
            <w:r>
              <w:rPr>
                <w:b/>
              </w:rPr>
              <w:t>Source</w:t>
            </w:r>
          </w:p>
        </w:tc>
        <w:tc>
          <w:tcPr>
            <w:tcW w:type="dxa" w:w="7370"/>
            <w:tcMar>
              <w:top w:w="80" w:type="dxa"/>
              <w:start w:w="100" w:type="dxa"/>
              <w:bottom w:w="80" w:type="dxa"/>
              <w:end w:w="100" w:type="dxa"/>
            </w:tcMar>
            <w:shd w:fill="F2F4F5"/>
          </w:tcPr>
          <w:p>
            <w:r>
              <w:t>source_organisation; source_family; standard/practice; edition; symbol/registration ID; source role; current/withdrawn/draft status</w:t>
            </w:r>
          </w:p>
        </w:tc>
      </w:tr>
      <w:tr>
        <w:trPr>
          <w:cantSplit/>
        </w:trPr>
        <w:tc>
          <w:tcPr>
            <w:tcW w:type="dxa" w:w="1928"/>
            <w:tcMar>
              <w:top w:w="80" w:type="dxa"/>
              <w:start w:w="100" w:type="dxa"/>
              <w:bottom w:w="80" w:type="dxa"/>
              <w:end w:w="100" w:type="dxa"/>
            </w:tcMar>
          </w:tcPr>
          <w:p>
            <w:r>
              <w:rPr>
                <w:b/>
              </w:rPr>
              <w:t>Meaning</w:t>
            </w:r>
          </w:p>
        </w:tc>
        <w:tc>
          <w:tcPr>
            <w:tcW w:type="dxa" w:w="7370"/>
            <w:tcMar>
              <w:top w:w="80" w:type="dxa"/>
              <w:start w:w="100" w:type="dxa"/>
              <w:bottom w:w="80" w:type="dxa"/>
              <w:end w:w="100" w:type="dxa"/>
            </w:tcMar>
          </w:tcPr>
          <w:p>
            <w:r>
              <w:t>discipline; title; definition; intended meaning; ports/connection constraints; orientation rules</w:t>
            </w:r>
          </w:p>
        </w:tc>
      </w:tr>
      <w:tr>
        <w:trPr>
          <w:cantSplit/>
        </w:trPr>
        <w:tc>
          <w:tcPr>
            <w:tcW w:type="dxa" w:w="1928"/>
            <w:tcMar>
              <w:top w:w="80" w:type="dxa"/>
              <w:start w:w="100" w:type="dxa"/>
              <w:bottom w:w="80" w:type="dxa"/>
              <w:end w:w="100" w:type="dxa"/>
            </w:tcMar>
            <w:shd w:fill="F2F4F5"/>
          </w:tcPr>
          <w:p>
            <w:r>
              <w:rPr>
                <w:b/>
              </w:rPr>
              <w:t>Semantic links</w:t>
            </w:r>
          </w:p>
        </w:tc>
        <w:tc>
          <w:tcPr>
            <w:tcW w:type="dxa" w:w="7370"/>
            <w:tcMar>
              <w:top w:w="80" w:type="dxa"/>
              <w:start w:w="100" w:type="dxa"/>
              <w:bottom w:w="80" w:type="dxa"/>
              <w:end w:w="100" w:type="dxa"/>
            </w:tcMar>
            <w:shd w:fill="F2F4F5"/>
          </w:tcPr>
          <w:p>
            <w:r>
              <w:t>DEXPI RDL URI; PCA/ISO 15926 URI; CFIHOS identifiers; external classifications</w:t>
            </w:r>
          </w:p>
        </w:tc>
      </w:tr>
      <w:tr>
        <w:trPr>
          <w:cantSplit/>
        </w:trPr>
        <w:tc>
          <w:tcPr>
            <w:tcW w:type="dxa" w:w="1928"/>
            <w:tcMar>
              <w:top w:w="80" w:type="dxa"/>
              <w:start w:w="100" w:type="dxa"/>
              <w:bottom w:w="80" w:type="dxa"/>
              <w:end w:w="100" w:type="dxa"/>
            </w:tcMar>
          </w:tcPr>
          <w:p>
            <w:r>
              <w:rPr>
                <w:b/>
              </w:rPr>
              <w:t>Geometry</w:t>
            </w:r>
          </w:p>
        </w:tc>
        <w:tc>
          <w:tcPr>
            <w:tcW w:type="dxa" w:w="7370"/>
            <w:tcMar>
              <w:top w:w="80" w:type="dxa"/>
              <w:start w:w="100" w:type="dxa"/>
              <w:bottom w:w="80" w:type="dxa"/>
              <w:end w:w="100" w:type="dxa"/>
            </w:tcMar>
          </w:tcPr>
          <w:p>
            <w:r>
              <w:t>original format; normalized format; original checksum; normalized checksum; transforms</w:t>
            </w:r>
          </w:p>
        </w:tc>
      </w:tr>
      <w:tr>
        <w:trPr>
          <w:cantSplit/>
        </w:trPr>
        <w:tc>
          <w:tcPr>
            <w:tcW w:type="dxa" w:w="1928"/>
            <w:tcMar>
              <w:top w:w="80" w:type="dxa"/>
              <w:start w:w="100" w:type="dxa"/>
              <w:bottom w:w="80" w:type="dxa"/>
              <w:end w:w="100" w:type="dxa"/>
            </w:tcMar>
            <w:shd w:fill="F2F4F5"/>
          </w:tcPr>
          <w:p>
            <w:r>
              <w:rPr>
                <w:b/>
              </w:rPr>
              <w:t>Rights</w:t>
            </w:r>
          </w:p>
        </w:tc>
        <w:tc>
          <w:tcPr>
            <w:tcW w:type="dxa" w:w="7370"/>
            <w:tcMar>
              <w:top w:w="80" w:type="dxa"/>
              <w:start w:w="100" w:type="dxa"/>
              <w:bottom w:w="80" w:type="dxa"/>
              <w:end w:w="100" w:type="dxa"/>
            </w:tcMar>
            <w:shd w:fill="F2F4F5"/>
          </w:tcPr>
          <w:p>
            <w:r>
              <w:t>licence_id; licence_basis; permitted uses; public display; redistribution; API sublicensing; AI/TDM; attribution; expiry</w:t>
            </w:r>
          </w:p>
        </w:tc>
      </w:tr>
      <w:tr>
        <w:trPr>
          <w:cantSplit/>
        </w:trPr>
        <w:tc>
          <w:tcPr>
            <w:tcW w:type="dxa" w:w="1928"/>
            <w:tcMar>
              <w:top w:w="80" w:type="dxa"/>
              <w:start w:w="100" w:type="dxa"/>
              <w:bottom w:w="80" w:type="dxa"/>
              <w:end w:w="100" w:type="dxa"/>
            </w:tcMar>
          </w:tcPr>
          <w:p>
            <w:r>
              <w:rPr>
                <w:b/>
              </w:rPr>
              <w:t>Lineage</w:t>
            </w:r>
          </w:p>
        </w:tc>
        <w:tc>
          <w:tcPr>
            <w:tcW w:type="dxa" w:w="7370"/>
            <w:tcMar>
              <w:top w:w="80" w:type="dxa"/>
              <w:start w:w="100" w:type="dxa"/>
              <w:bottom w:w="80" w:type="dxa"/>
              <w:end w:w="100" w:type="dxa"/>
            </w:tcMar>
          </w:tcPr>
          <w:p>
            <w:r>
              <w:t>supersedes; superseded_by; equivalent_to; implementation_of; derived_from; company_deviation_from; project profile</w:t>
            </w:r>
          </w:p>
        </w:tc>
      </w:tr>
      <w:tr>
        <w:trPr>
          <w:cantSplit/>
        </w:trPr>
        <w:tc>
          <w:tcPr>
            <w:tcW w:type="dxa" w:w="1928"/>
            <w:tcMar>
              <w:top w:w="80" w:type="dxa"/>
              <w:start w:w="100" w:type="dxa"/>
              <w:bottom w:w="80" w:type="dxa"/>
              <w:end w:w="100" w:type="dxa"/>
            </w:tcMar>
            <w:shd w:fill="F2F4F5"/>
          </w:tcPr>
          <w:p>
            <w:r>
              <w:rPr>
                <w:b/>
              </w:rPr>
              <w:t>Governance</w:t>
            </w:r>
          </w:p>
        </w:tc>
        <w:tc>
          <w:tcPr>
            <w:tcW w:type="dxa" w:w="7370"/>
            <w:tcMar>
              <w:top w:w="80" w:type="dxa"/>
              <w:start w:w="100" w:type="dxa"/>
              <w:bottom w:w="80" w:type="dxa"/>
              <w:end w:w="100" w:type="dxa"/>
            </w:tcMar>
            <w:shd w:fill="F2F4F5"/>
          </w:tcPr>
          <w:p>
            <w:r>
              <w:t>mapping confidence; SME reviewer; approval date; ingested_at; last source verification</w:t>
            </w:r>
          </w:p>
        </w:tc>
      </w:tr>
    </w:tbl>
    <w:p>
      <w:pPr>
        <w:pStyle w:val="Heading1"/>
        <w:keepNext/>
      </w:pPr>
      <w:r>
        <w:t>Cross-referencing and provenance opportunities</w:t>
      </w:r>
    </w:p>
    <w:p>
      <w:pPr>
        <w:pStyle w:val="Heading2"/>
        <w:keepNext/>
      </w:pPr>
      <w:r>
        <w:t>Concept-to-representation graph</w:t>
      </w:r>
    </w:p>
    <w:p>
      <w:r>
        <w:t>A pump, pressure indicator, control valve or protection device gets a neutral concept node. Each ISO/ISA/PIP/NORSOK/vendor/company symbol attaches as a governed representation or rule-bound variant. This lets SymGov state “same concept, different convention” without claiming the glyphs are identical.</w:t>
      </w:r>
    </w:p>
    <w:p>
      <w:pPr>
        <w:pStyle w:val="Heading2"/>
        <w:keepNext/>
      </w:pPr>
      <w:r>
        <w:t>DEXPI / ISO 15926 semantic bridge</w:t>
      </w:r>
    </w:p>
    <w:p>
      <w:r>
        <w:t>DEXPI RDL provides persistent URIs linked into the PCA/ISO 15926 ecosystem. These identifiers can bridge symbols to engineering objects even where the visual standard differs.</w:t>
      </w:r>
    </w:p>
    <w:p>
      <w:pPr>
        <w:pStyle w:val="Heading2"/>
        <w:keepNext/>
      </w:pPr>
      <w:r>
        <w:t>CFIHOS owner/operator bridge</w:t>
      </w:r>
    </w:p>
    <w:p>
      <w:r>
        <w:t>CFIHOS identifiers and properties can add handover and asset-information semantics to symbol concepts, supporting later integration with EIM, digital twins and AI extraction workflows.</w:t>
      </w:r>
    </w:p>
    <w:p>
      <w:pPr>
        <w:pStyle w:val="Heading2"/>
        <w:keepNext/>
      </w:pPr>
      <w:r>
        <w:t>Vendor implementation maps</w:t>
      </w:r>
    </w:p>
    <w:p>
      <w:r>
        <w:t>A sanctioned mapping can link standard/edition -&gt; vendor class/object -&gt; vendor symbol/master/file -&gt; exchange representation. This becomes valuable for migrations, P&amp;ID ingestion and provenance detection.</w:t>
      </w:r>
    </w:p>
    <w:p>
      <w:pPr>
        <w:pStyle w:val="Heading2"/>
        <w:keepNext/>
      </w:pPr>
      <w:r>
        <w:t>Company and project overlays</w:t>
      </w:r>
    </w:p>
    <w:p>
      <w:r>
        <w:t>Adopt a hierarchy such as canonical standard -&gt; industry profile -&gt; owner/operator standard -&gt; EPC/project standard -&gt; project approved symbol set -&gt; as-built/asset profile. Preserve every deviation and its rationale.</w:t>
      </w:r>
    </w:p>
    <w:p>
      <w:pPr>
        <w:pStyle w:val="Heading1"/>
        <w:keepNext/>
      </w:pPr>
      <w:r>
        <w:t>Ingestion roadmap</w:t>
      </w:r>
    </w:p>
    <w:p>
      <w:pPr>
        <w:pStyle w:val="Heading2"/>
        <w:keepNext/>
      </w:pPr>
      <w:r>
        <w:t>Phase A - provenance and licence foundations</w:t>
      </w:r>
    </w:p>
    <w:p>
      <w:r>
        <w:t>Implement source/rights registries, immutable versioning, concept/representation separation and a licence-aware publication gate before mass ingestion.</w:t>
      </w:r>
    </w:p>
    <w:p>
      <w:pPr>
        <w:pStyle w:val="Heading2"/>
        <w:keepNext/>
      </w:pPr>
      <w:r>
        <w:t>Phase B - open technical proof</w:t>
      </w:r>
    </w:p>
    <w:p>
      <w:r>
        <w:t>Ingest DEXPI 2.0/RDL and a controlled QElectroTech subset. Test parsing, normalized SVG/graph primitives, checksums, search, duplicate detection, versioning and AI/TDM policy enforcement. Link CFIHOS metadata under verified terms.</w:t>
      </w:r>
    </w:p>
    <w:p>
      <w:pPr>
        <w:pStyle w:val="Heading2"/>
        <w:keepNext/>
      </w:pPr>
      <w:r>
        <w:t>Phase C - canonical licensing</w:t>
      </w:r>
    </w:p>
    <w:p>
      <w:r>
        <w:t>Prioritise IEC, ISO, ISA, NORSOK and PIP. Ask for machine-readable rights, stable identifiers, update feeds, preview/display rules and API rights - not merely PDFs. Bundle ISO 14617-2, 10628-2 and 1219-1 where commercially possible.</w:t>
      </w:r>
    </w:p>
    <w:p>
      <w:pPr>
        <w:pStyle w:val="Heading2"/>
        <w:keepNext/>
      </w:pPr>
      <w:r>
        <w:t>Phase D - vendor partnerships</w:t>
      </w:r>
    </w:p>
    <w:p>
      <w:r>
        <w:t>Approach Autodesk, Hexagon, Siemens, AVEVA and Bentley with SymGov positioned as a neutral mapping/provenance layer. Request sanctioned mapping tables, reference exports and interoperability test cases; keep upstream standards IP separate.</w:t>
      </w:r>
    </w:p>
    <w:p>
      <w:pPr>
        <w:pStyle w:val="Heading2"/>
        <w:keepNext/>
      </w:pPr>
      <w:r>
        <w:t>Phase E - owner/operator and EPC overlays</w:t>
      </w:r>
    </w:p>
    <w:p>
      <w:r>
        <w:t>Create private organisation namespaces for corporate deviations and project standards. Start with structured-governance ecosystems such as NORSOK/DEXPI participants and require provenance for EPC-provided content.</w:t>
      </w:r>
    </w:p>
    <w:p>
      <w:pPr>
        <w:pStyle w:val="Heading2"/>
        <w:keepNext/>
      </w:pPr>
      <w:r>
        <w:t>Phase F - discipline expansion</w:t>
      </w:r>
    </w:p>
    <w:p>
      <w:r>
        <w:t>Add fluid power, equipment-use symbols, welding, GD&amp;T and fire/safety once the process/electrical governance model is proven.</w:t>
      </w:r>
    </w:p>
    <w:p>
      <w:pPr>
        <w:pStyle w:val="Heading1"/>
        <w:keepNext/>
      </w:pPr>
      <w:r>
        <w:t>Partnership priority and proposed asks</w:t>
      </w:r>
    </w:p>
    <w:tbl>
      <w:tblPr>
        <w:tblW w:type="auto" w:w="0"/>
        <w:jc w:val="center"/>
        <w:tblLayout w:type="fixed"/>
        <w:tblLook w:firstColumn="1" w:firstRow="1" w:lastColumn="0" w:lastRow="0" w:noHBand="0" w:noVBand="1" w:val="04A0"/>
      </w:tblPr>
      <w:tblGrid>
        <w:gridCol w:w="454"/>
        <w:gridCol w:w="1928"/>
        <w:gridCol w:w="3288"/>
        <w:gridCol w:w="3628"/>
      </w:tblGrid>
      <w:tr>
        <w:trPr>
          <w:tblHeader w:val="true"/>
          <w:cantSplit/>
        </w:trPr>
        <w:tc>
          <w:tcPr>
            <w:tcW w:type="dxa" w:w="2466"/>
            <w:shd w:fill="163A5F"/>
          </w:tcPr>
          <w:p>
            <w:r>
              <w:rPr>
                <w:b/>
                <w:color w:val="FFFFFF"/>
              </w:rPr>
              <w:t>#</w:t>
            </w:r>
          </w:p>
        </w:tc>
        <w:tc>
          <w:tcPr>
            <w:tcW w:type="dxa" w:w="2466"/>
            <w:shd w:fill="163A5F"/>
          </w:tcPr>
          <w:p>
            <w:r>
              <w:rPr>
                <w:b/>
                <w:color w:val="FFFFFF"/>
              </w:rPr>
              <w:t>Partner</w:t>
            </w:r>
          </w:p>
        </w:tc>
        <w:tc>
          <w:tcPr>
            <w:tcW w:type="dxa" w:w="2466"/>
            <w:shd w:fill="163A5F"/>
          </w:tcPr>
          <w:p>
            <w:r>
              <w:rPr>
                <w:b/>
                <w:color w:val="FFFFFF"/>
              </w:rPr>
              <w:t>Why now</w:t>
            </w:r>
          </w:p>
        </w:tc>
        <w:tc>
          <w:tcPr>
            <w:tcW w:type="dxa" w:w="2466"/>
            <w:shd w:fill="163A5F"/>
          </w:tcPr>
          <w:p>
            <w:r>
              <w:rPr>
                <w:b/>
                <w:color w:val="FFFFFF"/>
              </w:rPr>
              <w:t>Proposed ask</w:t>
            </w:r>
          </w:p>
        </w:tc>
      </w:tr>
      <w:tr>
        <w:trPr>
          <w:cantSplit/>
        </w:trPr>
        <w:tc>
          <w:tcPr>
            <w:tcW w:type="dxa" w:w="454"/>
            <w:tcMar>
              <w:top w:w="80" w:type="dxa"/>
              <w:start w:w="90" w:type="dxa"/>
              <w:bottom w:w="80" w:type="dxa"/>
              <w:end w:w="90" w:type="dxa"/>
            </w:tcMar>
          </w:tcPr>
          <w:p>
            <w:r>
              <w:t>1</w:t>
            </w:r>
          </w:p>
        </w:tc>
        <w:tc>
          <w:tcPr>
            <w:tcW w:type="dxa" w:w="1928"/>
            <w:tcMar>
              <w:top w:w="80" w:type="dxa"/>
              <w:start w:w="90" w:type="dxa"/>
              <w:bottom w:w="80" w:type="dxa"/>
              <w:end w:w="90" w:type="dxa"/>
            </w:tcMar>
          </w:tcPr>
          <w:p>
            <w:r>
              <w:t>IEC</w:t>
            </w:r>
          </w:p>
        </w:tc>
        <w:tc>
          <w:tcPr>
            <w:tcW w:type="dxa" w:w="3288"/>
            <w:tcMar>
              <w:top w:w="80" w:type="dxa"/>
              <w:start w:w="90" w:type="dxa"/>
              <w:bottom w:w="80" w:type="dxa"/>
              <w:end w:w="90" w:type="dxa"/>
            </w:tcMar>
          </w:tcPr>
          <w:p>
            <w:r>
              <w:t>Highest-value machine-oriented graphical database.</w:t>
            </w:r>
          </w:p>
        </w:tc>
        <w:tc>
          <w:tcPr>
            <w:tcW w:type="dxa" w:w="3628"/>
            <w:tcMar>
              <w:top w:w="80" w:type="dxa"/>
              <w:start w:w="90" w:type="dxa"/>
              <w:bottom w:w="80" w:type="dxa"/>
              <w:end w:w="90" w:type="dxa"/>
            </w:tcMar>
          </w:tcPr>
          <w:p>
            <w:r>
              <w:t>Commercial integration/replication rights; stable IDs; bulk/API access; update deltas; public/API display terms.</w:t>
            </w:r>
          </w:p>
        </w:tc>
      </w:tr>
      <w:tr>
        <w:trPr>
          <w:cantSplit/>
        </w:trPr>
        <w:tc>
          <w:tcPr>
            <w:tcW w:type="dxa" w:w="454"/>
            <w:tcMar>
              <w:top w:w="80" w:type="dxa"/>
              <w:start w:w="90" w:type="dxa"/>
              <w:bottom w:w="80" w:type="dxa"/>
              <w:end w:w="90" w:type="dxa"/>
            </w:tcMar>
            <w:shd w:fill="F2F4F5"/>
          </w:tcPr>
          <w:p>
            <w:r>
              <w:t>2</w:t>
            </w:r>
          </w:p>
        </w:tc>
        <w:tc>
          <w:tcPr>
            <w:tcW w:type="dxa" w:w="1928"/>
            <w:tcMar>
              <w:top w:w="80" w:type="dxa"/>
              <w:start w:w="90" w:type="dxa"/>
              <w:bottom w:w="80" w:type="dxa"/>
              <w:end w:w="90" w:type="dxa"/>
            </w:tcMar>
            <w:shd w:fill="F2F4F5"/>
          </w:tcPr>
          <w:p>
            <w:r>
              <w:t>ISO</w:t>
            </w:r>
          </w:p>
        </w:tc>
        <w:tc>
          <w:tcPr>
            <w:tcW w:type="dxa" w:w="3288"/>
            <w:tcMar>
              <w:top w:w="80" w:type="dxa"/>
              <w:start w:w="90" w:type="dxa"/>
              <w:bottom w:w="80" w:type="dxa"/>
              <w:end w:w="90" w:type="dxa"/>
            </w:tcMar>
            <w:shd w:fill="F2F4F5"/>
          </w:tcPr>
          <w:p>
            <w:r>
              <w:t>Core industrial/process/fluid-power authority.</w:t>
            </w:r>
          </w:p>
        </w:tc>
        <w:tc>
          <w:tcPr>
            <w:tcW w:type="dxa" w:w="3628"/>
            <w:tcMar>
              <w:top w:w="80" w:type="dxa"/>
              <w:start w:w="90" w:type="dxa"/>
              <w:bottom w:w="80" w:type="dxa"/>
              <w:end w:w="90" w:type="dxa"/>
            </w:tcMar>
            <w:shd w:fill="F2F4F5"/>
          </w:tcPr>
          <w:p>
            <w:r>
              <w:t>Digital platform licence across ISO 14617-2, 10628-2 and 1219-1; structured metadata and updates; clarify AI/TDM.</w:t>
            </w:r>
          </w:p>
        </w:tc>
      </w:tr>
      <w:tr>
        <w:trPr>
          <w:cantSplit/>
        </w:trPr>
        <w:tc>
          <w:tcPr>
            <w:tcW w:type="dxa" w:w="454"/>
            <w:tcMar>
              <w:top w:w="80" w:type="dxa"/>
              <w:start w:w="90" w:type="dxa"/>
              <w:bottom w:w="80" w:type="dxa"/>
              <w:end w:w="90" w:type="dxa"/>
            </w:tcMar>
          </w:tcPr>
          <w:p>
            <w:r>
              <w:t>3</w:t>
            </w:r>
          </w:p>
        </w:tc>
        <w:tc>
          <w:tcPr>
            <w:tcW w:type="dxa" w:w="1928"/>
            <w:tcMar>
              <w:top w:w="80" w:type="dxa"/>
              <w:start w:w="90" w:type="dxa"/>
              <w:bottom w:w="80" w:type="dxa"/>
              <w:end w:w="90" w:type="dxa"/>
            </w:tcMar>
          </w:tcPr>
          <w:p>
            <w:r>
              <w:t>ISA</w:t>
            </w:r>
          </w:p>
        </w:tc>
        <w:tc>
          <w:tcPr>
            <w:tcW w:type="dxa" w:w="3288"/>
            <w:tcMar>
              <w:top w:w="80" w:type="dxa"/>
              <w:start w:w="90" w:type="dxa"/>
              <w:bottom w:w="80" w:type="dxa"/>
              <w:end w:w="90" w:type="dxa"/>
            </w:tcMar>
          </w:tcPr>
          <w:p>
            <w:r>
              <w:t>Essential process instrumentation/control convention.</w:t>
            </w:r>
          </w:p>
        </w:tc>
        <w:tc>
          <w:tcPr>
            <w:tcW w:type="dxa" w:w="3628"/>
            <w:tcMar>
              <w:top w:w="80" w:type="dxa"/>
              <w:start w:w="90" w:type="dxa"/>
              <w:bottom w:w="80" w:type="dxa"/>
              <w:end w:w="90" w:type="dxa"/>
            </w:tcMar>
          </w:tcPr>
          <w:p>
            <w:r>
              <w:t>ISA-5.1/graphic content rights; search/normalization/API permissions; committee liaison.</w:t>
            </w:r>
          </w:p>
        </w:tc>
      </w:tr>
      <w:tr>
        <w:trPr>
          <w:cantSplit/>
        </w:trPr>
        <w:tc>
          <w:tcPr>
            <w:tcW w:type="dxa" w:w="454"/>
            <w:tcMar>
              <w:top w:w="80" w:type="dxa"/>
              <w:start w:w="90" w:type="dxa"/>
              <w:bottom w:w="80" w:type="dxa"/>
              <w:end w:w="90" w:type="dxa"/>
            </w:tcMar>
            <w:shd w:fill="F2F4F5"/>
          </w:tcPr>
          <w:p>
            <w:r>
              <w:t>4</w:t>
            </w:r>
          </w:p>
        </w:tc>
        <w:tc>
          <w:tcPr>
            <w:tcW w:type="dxa" w:w="1928"/>
            <w:tcMar>
              <w:top w:w="80" w:type="dxa"/>
              <w:start w:w="90" w:type="dxa"/>
              <w:bottom w:w="80" w:type="dxa"/>
              <w:end w:w="90" w:type="dxa"/>
            </w:tcMar>
            <w:shd w:fill="F2F4F5"/>
          </w:tcPr>
          <w:p>
            <w:r>
              <w:t>Standards Norway / NORSOK</w:t>
            </w:r>
          </w:p>
        </w:tc>
        <w:tc>
          <w:tcPr>
            <w:tcW w:type="dxa" w:w="3288"/>
            <w:tcMar>
              <w:top w:w="80" w:type="dxa"/>
              <w:start w:w="90" w:type="dxa"/>
              <w:bottom w:w="80" w:type="dxa"/>
              <w:end w:w="90" w:type="dxa"/>
            </w:tcMar>
            <w:shd w:fill="F2F4F5"/>
          </w:tcPr>
          <w:p>
            <w:r>
              <w:t>Z-004:2025 is directly about 2D CAD symbols; operator deviations fit SymGov.</w:t>
            </w:r>
          </w:p>
        </w:tc>
        <w:tc>
          <w:tcPr>
            <w:tcW w:type="dxa" w:w="3628"/>
            <w:tcMar>
              <w:top w:w="80" w:type="dxa"/>
              <w:start w:w="90" w:type="dxa"/>
              <w:bottom w:w="80" w:type="dxa"/>
              <w:end w:w="90" w:type="dxa"/>
            </w:tcMar>
            <w:shd w:fill="F2F4F5"/>
          </w:tcPr>
          <w:p>
            <w:r>
              <w:t>Z-004 format/API/XML clarification; commercial platform rights; operator-deviation model collaboration.</w:t>
            </w:r>
          </w:p>
        </w:tc>
      </w:tr>
      <w:tr>
        <w:trPr>
          <w:cantSplit/>
        </w:trPr>
        <w:tc>
          <w:tcPr>
            <w:tcW w:type="dxa" w:w="454"/>
            <w:tcMar>
              <w:top w:w="80" w:type="dxa"/>
              <w:start w:w="90" w:type="dxa"/>
              <w:bottom w:w="80" w:type="dxa"/>
              <w:end w:w="90" w:type="dxa"/>
            </w:tcMar>
          </w:tcPr>
          <w:p>
            <w:r>
              <w:t>5</w:t>
            </w:r>
          </w:p>
        </w:tc>
        <w:tc>
          <w:tcPr>
            <w:tcW w:type="dxa" w:w="1928"/>
            <w:tcMar>
              <w:top w:w="80" w:type="dxa"/>
              <w:start w:w="90" w:type="dxa"/>
              <w:bottom w:w="80" w:type="dxa"/>
              <w:end w:w="90" w:type="dxa"/>
            </w:tcMar>
          </w:tcPr>
          <w:p>
            <w:r>
              <w:t>PIP</w:t>
            </w:r>
          </w:p>
        </w:tc>
        <w:tc>
          <w:tcPr>
            <w:tcW w:type="dxa" w:w="3288"/>
            <w:tcMar>
              <w:top w:w="80" w:type="dxa"/>
              <w:start w:w="90" w:type="dxa"/>
              <w:bottom w:w="80" w:type="dxa"/>
              <w:end w:w="90" w:type="dxa"/>
            </w:tcMar>
          </w:tcPr>
          <w:p>
            <w:r>
              <w:t>Strong process/EPC practice and industry consortium.</w:t>
            </w:r>
          </w:p>
        </w:tc>
        <w:tc>
          <w:tcPr>
            <w:tcW w:type="dxa" w:w="3628"/>
            <w:tcMar>
              <w:top w:w="80" w:type="dxa"/>
              <w:start w:w="90" w:type="dxa"/>
              <w:bottom w:w="80" w:type="dxa"/>
              <w:end w:w="90" w:type="dxa"/>
            </w:tcMar>
          </w:tcPr>
          <w:p>
            <w:r>
              <w:t>Membership + platform licence; revision feed; member/EPC collaboration channel.</w:t>
            </w:r>
          </w:p>
        </w:tc>
      </w:tr>
      <w:tr>
        <w:trPr>
          <w:cantSplit/>
        </w:trPr>
        <w:tc>
          <w:tcPr>
            <w:tcW w:type="dxa" w:w="454"/>
            <w:tcMar>
              <w:top w:w="80" w:type="dxa"/>
              <w:start w:w="90" w:type="dxa"/>
              <w:bottom w:w="80" w:type="dxa"/>
              <w:end w:w="90" w:type="dxa"/>
            </w:tcMar>
            <w:shd w:fill="F2F4F5"/>
          </w:tcPr>
          <w:p>
            <w:r>
              <w:t>6</w:t>
            </w:r>
          </w:p>
        </w:tc>
        <w:tc>
          <w:tcPr>
            <w:tcW w:type="dxa" w:w="1928"/>
            <w:tcMar>
              <w:top w:w="80" w:type="dxa"/>
              <w:start w:w="90" w:type="dxa"/>
              <w:bottom w:w="80" w:type="dxa"/>
              <w:end w:w="90" w:type="dxa"/>
            </w:tcMar>
            <w:shd w:fill="F2F4F5"/>
          </w:tcPr>
          <w:p>
            <w:r>
              <w:t>DEXPI e.V.</w:t>
            </w:r>
          </w:p>
        </w:tc>
        <w:tc>
          <w:tcPr>
            <w:tcW w:type="dxa" w:w="3288"/>
            <w:tcMar>
              <w:top w:w="80" w:type="dxa"/>
              <w:start w:w="90" w:type="dxa"/>
              <w:bottom w:w="80" w:type="dxa"/>
              <w:end w:w="90" w:type="dxa"/>
            </w:tcMar>
            <w:shd w:fill="F2F4F5"/>
          </w:tcPr>
          <w:p>
            <w:r>
              <w:t>Best open semantic/interoperability ecosystem.</w:t>
            </w:r>
          </w:p>
        </w:tc>
        <w:tc>
          <w:tcPr>
            <w:tcW w:type="dxa" w:w="3628"/>
            <w:tcMar>
              <w:top w:w="80" w:type="dxa"/>
              <w:start w:w="90" w:type="dxa"/>
              <w:bottom w:w="80" w:type="dxa"/>
              <w:end w:w="90" w:type="dxa"/>
            </w:tcMar>
            <w:shd w:fill="F2F4F5"/>
          </w:tcPr>
          <w:p>
            <w:r>
              <w:t>Join; contribute symbol-governance profile; stable mappings; round-trip tests.</w:t>
            </w:r>
          </w:p>
        </w:tc>
      </w:tr>
      <w:tr>
        <w:trPr>
          <w:cantSplit/>
        </w:trPr>
        <w:tc>
          <w:tcPr>
            <w:tcW w:type="dxa" w:w="454"/>
            <w:tcMar>
              <w:top w:w="80" w:type="dxa"/>
              <w:start w:w="90" w:type="dxa"/>
              <w:bottom w:w="80" w:type="dxa"/>
              <w:end w:w="90" w:type="dxa"/>
            </w:tcMar>
          </w:tcPr>
          <w:p>
            <w:r>
              <w:t>7</w:t>
            </w:r>
          </w:p>
        </w:tc>
        <w:tc>
          <w:tcPr>
            <w:tcW w:type="dxa" w:w="1928"/>
            <w:tcMar>
              <w:top w:w="80" w:type="dxa"/>
              <w:start w:w="90" w:type="dxa"/>
              <w:bottom w:w="80" w:type="dxa"/>
              <w:end w:w="90" w:type="dxa"/>
            </w:tcMar>
          </w:tcPr>
          <w:p>
            <w:r>
              <w:t>CFIHOS / JIP36 / PCA</w:t>
            </w:r>
          </w:p>
        </w:tc>
        <w:tc>
          <w:tcPr>
            <w:tcW w:type="dxa" w:w="3288"/>
            <w:tcMar>
              <w:top w:w="80" w:type="dxa"/>
              <w:start w:w="90" w:type="dxa"/>
              <w:bottom w:w="80" w:type="dxa"/>
              <w:end w:w="90" w:type="dxa"/>
            </w:tcMar>
          </w:tcPr>
          <w:p>
            <w:r>
              <w:t>Asset/reference-data enrichment.</w:t>
            </w:r>
          </w:p>
        </w:tc>
        <w:tc>
          <w:tcPr>
            <w:tcW w:type="dxa" w:w="3628"/>
            <w:tcMar>
              <w:top w:w="80" w:type="dxa"/>
              <w:start w:w="90" w:type="dxa"/>
              <w:bottom w:w="80" w:type="dxa"/>
              <w:end w:w="90" w:type="dxa"/>
            </w:tcMar>
          </w:tcPr>
          <w:p>
            <w:r>
              <w:t>Clarify commercial RDL embedding/API rights; agree identifier mappings.</w:t>
            </w:r>
          </w:p>
        </w:tc>
      </w:tr>
      <w:tr>
        <w:trPr>
          <w:cantSplit/>
        </w:trPr>
        <w:tc>
          <w:tcPr>
            <w:tcW w:type="dxa" w:w="454"/>
            <w:tcMar>
              <w:top w:w="80" w:type="dxa"/>
              <w:start w:w="90" w:type="dxa"/>
              <w:bottom w:w="80" w:type="dxa"/>
              <w:end w:w="90" w:type="dxa"/>
            </w:tcMar>
            <w:shd w:fill="F2F4F5"/>
          </w:tcPr>
          <w:p>
            <w:r>
              <w:t>8</w:t>
            </w:r>
          </w:p>
        </w:tc>
        <w:tc>
          <w:tcPr>
            <w:tcW w:type="dxa" w:w="1928"/>
            <w:tcMar>
              <w:top w:w="80" w:type="dxa"/>
              <w:start w:w="90" w:type="dxa"/>
              <w:bottom w:w="80" w:type="dxa"/>
              <w:end w:w="90" w:type="dxa"/>
            </w:tcMar>
            <w:shd w:fill="F2F4F5"/>
          </w:tcPr>
          <w:p>
            <w:r>
              <w:t>Autodesk / Hexagon / Siemens / AVEVA / Bentley</w:t>
            </w:r>
          </w:p>
        </w:tc>
        <w:tc>
          <w:tcPr>
            <w:tcW w:type="dxa" w:w="3288"/>
            <w:tcMar>
              <w:top w:w="80" w:type="dxa"/>
              <w:start w:w="90" w:type="dxa"/>
              <w:bottom w:w="80" w:type="dxa"/>
              <w:end w:w="90" w:type="dxa"/>
            </w:tcMar>
            <w:shd w:fill="F2F4F5"/>
          </w:tcPr>
          <w:p>
            <w:r>
              <w:t>Real-world implementation maps and interoperability.</w:t>
            </w:r>
          </w:p>
        </w:tc>
        <w:tc>
          <w:tcPr>
            <w:tcW w:type="dxa" w:w="3628"/>
            <w:tcMar>
              <w:top w:w="80" w:type="dxa"/>
              <w:start w:w="90" w:type="dxa"/>
              <w:bottom w:w="80" w:type="dxa"/>
              <w:end w:w="90" w:type="dxa"/>
            </w:tcMar>
            <w:shd w:fill="F2F4F5"/>
          </w:tcPr>
          <w:p>
            <w:r>
              <w:t>Sanctioned mapping/reference exports and test cases; no assumption of upstream sublicense rights.</w:t>
            </w:r>
          </w:p>
        </w:tc>
      </w:tr>
      <w:tr>
        <w:trPr>
          <w:cantSplit/>
        </w:trPr>
        <w:tc>
          <w:tcPr>
            <w:tcW w:type="dxa" w:w="454"/>
            <w:tcMar>
              <w:top w:w="80" w:type="dxa"/>
              <w:start w:w="90" w:type="dxa"/>
              <w:bottom w:w="80" w:type="dxa"/>
              <w:end w:w="90" w:type="dxa"/>
            </w:tcMar>
          </w:tcPr>
          <w:p>
            <w:r>
              <w:t>9</w:t>
            </w:r>
          </w:p>
        </w:tc>
        <w:tc>
          <w:tcPr>
            <w:tcW w:type="dxa" w:w="1928"/>
            <w:tcMar>
              <w:top w:w="80" w:type="dxa"/>
              <w:start w:w="90" w:type="dxa"/>
              <w:bottom w:w="80" w:type="dxa"/>
              <w:end w:w="90" w:type="dxa"/>
            </w:tcMar>
          </w:tcPr>
          <w:p>
            <w:r>
              <w:t>Equinor + NORSOK/DEXPI operators</w:t>
            </w:r>
          </w:p>
        </w:tc>
        <w:tc>
          <w:tcPr>
            <w:tcW w:type="dxa" w:w="3288"/>
            <w:tcMar>
              <w:top w:w="80" w:type="dxa"/>
              <w:start w:w="90" w:type="dxa"/>
              <w:bottom w:w="80" w:type="dxa"/>
              <w:end w:w="90" w:type="dxa"/>
            </w:tcMar>
          </w:tcPr>
          <w:p>
            <w:r>
              <w:t>Corporate deviations and asset profile use cases.</w:t>
            </w:r>
          </w:p>
        </w:tc>
        <w:tc>
          <w:tcPr>
            <w:tcW w:type="dxa" w:w="3628"/>
            <w:tcMar>
              <w:top w:w="80" w:type="dxa"/>
              <w:start w:w="90" w:type="dxa"/>
              <w:bottom w:w="80" w:type="dxa"/>
              <w:end w:w="90" w:type="dxa"/>
            </w:tcMar>
          </w:tcPr>
          <w:p>
            <w:r>
              <w:t>Private corporate overlays; approved deviation lineage; pilot crosswalk.</w:t>
            </w:r>
          </w:p>
        </w:tc>
      </w:tr>
      <w:tr>
        <w:trPr>
          <w:cantSplit/>
        </w:trPr>
        <w:tc>
          <w:tcPr>
            <w:tcW w:type="dxa" w:w="454"/>
            <w:tcMar>
              <w:top w:w="80" w:type="dxa"/>
              <w:start w:w="90" w:type="dxa"/>
              <w:bottom w:w="80" w:type="dxa"/>
              <w:end w:w="90" w:type="dxa"/>
            </w:tcMar>
            <w:shd w:fill="F2F4F5"/>
          </w:tcPr>
          <w:p>
            <w:r>
              <w:t>10</w:t>
            </w:r>
          </w:p>
        </w:tc>
        <w:tc>
          <w:tcPr>
            <w:tcW w:type="dxa" w:w="1928"/>
            <w:tcMar>
              <w:top w:w="80" w:type="dxa"/>
              <w:start w:w="90" w:type="dxa"/>
              <w:bottom w:w="80" w:type="dxa"/>
              <w:end w:w="90" w:type="dxa"/>
            </w:tcMar>
            <w:shd w:fill="F2F4F5"/>
          </w:tcPr>
          <w:p>
            <w:r>
              <w:t>ADNOC / Shell / Aramco / EPCs</w:t>
            </w:r>
          </w:p>
        </w:tc>
        <w:tc>
          <w:tcPr>
            <w:tcW w:type="dxa" w:w="3288"/>
            <w:tcMar>
              <w:top w:w="80" w:type="dxa"/>
              <w:start w:w="90" w:type="dxa"/>
              <w:bottom w:w="80" w:type="dxa"/>
              <w:end w:w="90" w:type="dxa"/>
            </w:tcMar>
            <w:shd w:fill="F2F4F5"/>
          </w:tcPr>
          <w:p>
            <w:r>
              <w:t>High-value private/project standards.</w:t>
            </w:r>
          </w:p>
        </w:tc>
        <w:tc>
          <w:tcPr>
            <w:tcW w:type="dxa" w:w="3628"/>
            <w:tcMar>
              <w:top w:w="80" w:type="dxa"/>
              <w:start w:w="90" w:type="dxa"/>
              <w:bottom w:w="80" w:type="dxa"/>
              <w:end w:w="90" w:type="dxa"/>
            </w:tcMar>
            <w:shd w:fill="F2F4F5"/>
          </w:tcPr>
          <w:p>
            <w:r>
              <w:t>Rights-cleared private namespaces and project-specific governance once canonical layer is established.</w:t>
            </w:r>
          </w:p>
        </w:tc>
      </w:tr>
    </w:tbl>
    <w:p>
      <w:pPr>
        <w:pStyle w:val="Heading1"/>
        <w:keepNext/>
      </w:pPr>
      <w:r>
        <w:t>Recommended decisions for SymGov</w:t>
      </w:r>
    </w:p>
    <w:p>
      <w:pPr>
        <w:pStyle w:val="ListNumber"/>
        <w:spacing w:after="40"/>
      </w:pPr>
      <w:r>
        <w:t>Position SymGov as a governance and provenance network, not simply a symbol-download catalogue.</w:t>
      </w:r>
    </w:p>
    <w:p>
      <w:pPr>
        <w:pStyle w:val="ListNumber"/>
        <w:spacing w:after="40"/>
      </w:pPr>
      <w:r>
        <w:t>Make source organisation, standard, edition and symbol/registration ID first-class immutable provenance fields.</w:t>
      </w:r>
    </w:p>
    <w:p>
      <w:pPr>
        <w:pStyle w:val="ListNumber"/>
        <w:spacing w:after="40"/>
      </w:pPr>
      <w:r>
        <w:t>Create a neutral concept layer and attach multiple governed representations; use DEXPI/ISO 15926 and CFIHOS where they add semantic value.</w:t>
      </w:r>
    </w:p>
    <w:p>
      <w:pPr>
        <w:pStyle w:val="ListNumber"/>
        <w:spacing w:after="40"/>
      </w:pPr>
      <w:r>
        <w:t>Build licence policy into storage, UI, download and API layers - including public display, redistribution, sublicensing and AI/TDM flags.</w:t>
      </w:r>
    </w:p>
    <w:p>
      <w:pPr>
        <w:pStyle w:val="ListNumber"/>
        <w:spacing w:after="40"/>
      </w:pPr>
      <w:r>
        <w:t>Use open libraries to prove technical ingestion, but never promote them to normative authority without evidence.</w:t>
      </w:r>
    </w:p>
    <w:p>
      <w:pPr>
        <w:pStyle w:val="ListNumber"/>
        <w:spacing w:after="40"/>
      </w:pPr>
      <w:r>
        <w:t>Prioritise standards-body partnerships as a core commercial workstream. Autodesk's documented licensing model demonstrates that a legitimate route exists.</w:t>
      </w:r>
    </w:p>
    <w:p>
      <w:pPr>
        <w:pStyle w:val="ListNumber"/>
        <w:spacing w:after="40"/>
      </w:pPr>
      <w:r>
        <w:t>Offer standards bodies a controlled distribution proposition: authoritative attribution, current-edition tracking, revocation/supersession, audit logs, usage analytics and protection against uncontrolled bulk extraction.</w:t>
      </w:r>
    </w:p>
    <w:p>
      <w:pPr>
        <w:pStyle w:val="ListNumber"/>
        <w:spacing w:after="40"/>
      </w:pPr>
      <w:r>
        <w:t>Design corporate and project sets as overlays/deviations with explicit lineage, not copied standalone collections.</w:t>
      </w:r>
    </w:p>
    <w:p>
      <w:pPr>
        <w:pStyle w:val="Heading1"/>
        <w:keepNext/>
      </w:pPr>
      <w:r>
        <w:t>Material limitations and open questions</w:t>
      </w:r>
    </w:p>
    <w:p>
      <w:pPr>
        <w:pStyle w:val="ListBullet"/>
        <w:spacing w:after="40"/>
      </w:pPr>
      <w:r>
        <w:t>Purchased standards were not reproduced or inspected beyond publicly available official metadata and licensing pages; some exact internal symbol counts/formats remain to be confirmed in commercial discussions.</w:t>
      </w:r>
    </w:p>
    <w:p>
      <w:pPr>
        <w:pStyle w:val="ListBullet"/>
        <w:spacing w:after="40"/>
      </w:pPr>
      <w:r>
        <w:t>Public availability of owner/operator material does not automatically establish republication or database-extraction rights.</w:t>
      </w:r>
    </w:p>
    <w:p>
      <w:pPr>
        <w:pStyle w:val="ListBullet"/>
        <w:spacing w:after="40"/>
      </w:pPr>
      <w:r>
        <w:t>Adoption ratings are qualitative judgements based on standards/vendor positioning and ecosystem evidence, not audited market-share measurements.</w:t>
      </w:r>
    </w:p>
    <w:p>
      <w:pPr>
        <w:pStyle w:val="ListBullet"/>
        <w:spacing w:after="40"/>
      </w:pPr>
      <w:r>
        <w:t>Exact bulk/API capabilities available under IEC, ISO and NORSOK commercial agreements require negotiation.</w:t>
      </w:r>
    </w:p>
    <w:p>
      <w:pPr>
        <w:pStyle w:val="ListBullet"/>
        <w:spacing w:after="40"/>
      </w:pPr>
      <w:r>
        <w:t>EPC-specific symbol libraries are generally non-public and need direct partner discovery.</w:t>
      </w:r>
    </w:p>
    <w:p>
      <w:pPr>
        <w:pStyle w:val="ListBullet"/>
        <w:spacing w:after="40"/>
      </w:pPr>
      <w:r>
        <w:t>Welding, ASME and NFPA licensing is treated conservatively as permission/licence-required pending contract-specific review.</w:t>
      </w:r>
    </w:p>
    <w:p>
      <w:pPr>
        <w:pStyle w:val="Heading1"/>
        <w:keepNext/>
      </w:pPr>
      <w:r>
        <w:t>Source ledger</w:t>
      </w:r>
    </w:p>
    <w:p>
      <w:r>
        <w:t>Primary sources consulted for material conclusions. Links were verified during research on 5 September 2026. This list is intentionally source-focused rather than a reproduction of protected standard content.</w:t>
      </w:r>
    </w:p>
    <w:tbl>
      <w:tblPr>
        <w:tblW w:type="auto" w:w="0"/>
        <w:jc w:val="center"/>
        <w:tblLayout w:type="fixed"/>
        <w:tblLook w:firstColumn="1" w:firstRow="1" w:lastColumn="0" w:lastRow="0" w:noHBand="0" w:noVBand="1" w:val="04A0"/>
      </w:tblPr>
      <w:tblGrid>
        <w:gridCol w:w="454"/>
        <w:gridCol w:w="3855"/>
        <w:gridCol w:w="2551"/>
        <w:gridCol w:w="2381"/>
      </w:tblGrid>
      <w:tr>
        <w:trPr>
          <w:tblHeader w:val="true"/>
          <w:cantSplit/>
        </w:trPr>
        <w:tc>
          <w:tcPr>
            <w:tcW w:type="dxa" w:w="2466"/>
            <w:shd w:fill="163A5F"/>
          </w:tcPr>
          <w:p>
            <w:r>
              <w:rPr>
                <w:b/>
                <w:color w:val="FFFFFF"/>
              </w:rPr>
              <w:t>#</w:t>
            </w:r>
          </w:p>
        </w:tc>
        <w:tc>
          <w:tcPr>
            <w:tcW w:type="dxa" w:w="2466"/>
            <w:shd w:fill="163A5F"/>
          </w:tcPr>
          <w:p>
            <w:r>
              <w:rPr>
                <w:b/>
                <w:color w:val="FFFFFF"/>
              </w:rPr>
              <w:t>Source</w:t>
            </w:r>
          </w:p>
        </w:tc>
        <w:tc>
          <w:tcPr>
            <w:tcW w:type="dxa" w:w="2466"/>
            <w:shd w:fill="163A5F"/>
          </w:tcPr>
          <w:p>
            <w:r>
              <w:rPr>
                <w:b/>
                <w:color w:val="FFFFFF"/>
              </w:rPr>
              <w:t>Publisher</w:t>
            </w:r>
          </w:p>
        </w:tc>
        <w:tc>
          <w:tcPr>
            <w:tcW w:type="dxa" w:w="2466"/>
            <w:shd w:fill="163A5F"/>
          </w:tcPr>
          <w:p>
            <w:r>
              <w:rPr>
                <w:b/>
                <w:color w:val="FFFFFF"/>
              </w:rPr>
              <w:t>Edition / status</w:t>
            </w:r>
          </w:p>
        </w:tc>
      </w:tr>
      <w:tr>
        <w:trPr>
          <w:cantSplit/>
        </w:trPr>
        <w:tc>
          <w:tcPr>
            <w:tcW w:type="dxa" w:w="454"/>
            <w:tcMar>
              <w:top w:w="70" w:type="dxa"/>
              <w:start w:w="80" w:type="dxa"/>
              <w:bottom w:w="70" w:type="dxa"/>
              <w:end w:w="80" w:type="dxa"/>
            </w:tcMar>
          </w:tcPr>
          <w:p>
            <w:r>
              <w:rPr>
                <w:sz w:val="15"/>
              </w:rPr>
              <w:t>1</w:t>
            </w:r>
          </w:p>
        </w:tc>
        <w:tc>
          <w:tcPr>
            <w:tcW w:type="dxa" w:w="3855"/>
            <w:tcMar>
              <w:top w:w="70" w:type="dxa"/>
              <w:start w:w="80" w:type="dxa"/>
              <w:bottom w:w="70" w:type="dxa"/>
              <w:end w:w="80" w:type="dxa"/>
            </w:tcMar>
          </w:tcPr>
          <w:p>
            <w:hyperlink r:id="rId11">
              <w:r>
                <w:rPr>
                  <w:color w:val="2B6F9F"/>
                  <w:u w:val="single"/>
                </w:rPr>
                <w:t>IEC 60617:2026 DB</w:t>
              </w:r>
            </w:hyperlink>
          </w:p>
        </w:tc>
        <w:tc>
          <w:tcPr>
            <w:tcW w:type="dxa" w:w="2551"/>
            <w:tcMar>
              <w:top w:w="70" w:type="dxa"/>
              <w:start w:w="80" w:type="dxa"/>
              <w:bottom w:w="70" w:type="dxa"/>
              <w:end w:w="80" w:type="dxa"/>
            </w:tcMar>
          </w:tcPr>
          <w:p>
            <w:r>
              <w:rPr>
                <w:sz w:val="15"/>
              </w:rPr>
              <w:t>International Electrotechnical Commission</w:t>
            </w:r>
          </w:p>
        </w:tc>
        <w:tc>
          <w:tcPr>
            <w:tcW w:type="dxa" w:w="2381"/>
            <w:tcMar>
              <w:top w:w="70" w:type="dxa"/>
              <w:start w:w="80" w:type="dxa"/>
              <w:bottom w:w="70" w:type="dxa"/>
              <w:end w:w="80" w:type="dxa"/>
            </w:tcMar>
          </w:tcPr>
          <w:p>
            <w:r>
              <w:rPr>
                <w:sz w:val="15"/>
              </w:rPr>
              <w:t>2026</w:t>
            </w:r>
          </w:p>
        </w:tc>
      </w:tr>
      <w:tr>
        <w:trPr>
          <w:cantSplit/>
        </w:trPr>
        <w:tc>
          <w:tcPr>
            <w:tcW w:type="dxa" w:w="454"/>
            <w:tcMar>
              <w:top w:w="70" w:type="dxa"/>
              <w:start w:w="80" w:type="dxa"/>
              <w:bottom w:w="70" w:type="dxa"/>
              <w:end w:w="80" w:type="dxa"/>
            </w:tcMar>
            <w:shd w:fill="F2F4F5"/>
          </w:tcPr>
          <w:p>
            <w:r>
              <w:rPr>
                <w:sz w:val="15"/>
              </w:rPr>
              <w:t>2</w:t>
            </w:r>
          </w:p>
        </w:tc>
        <w:tc>
          <w:tcPr>
            <w:tcW w:type="dxa" w:w="3855"/>
            <w:tcMar>
              <w:top w:w="70" w:type="dxa"/>
              <w:start w:w="80" w:type="dxa"/>
              <w:bottom w:w="70" w:type="dxa"/>
              <w:end w:w="80" w:type="dxa"/>
            </w:tcMar>
            <w:shd w:fill="F2F4F5"/>
          </w:tcPr>
          <w:p>
            <w:hyperlink r:id="rId12">
              <w:r>
                <w:rPr>
                  <w:color w:val="2B6F9F"/>
                  <w:u w:val="single"/>
                </w:rPr>
                <w:t>IEC Copyright / Database Use</w:t>
              </w:r>
            </w:hyperlink>
          </w:p>
        </w:tc>
        <w:tc>
          <w:tcPr>
            <w:tcW w:type="dxa" w:w="2551"/>
            <w:tcMar>
              <w:top w:w="70" w:type="dxa"/>
              <w:start w:w="80" w:type="dxa"/>
              <w:bottom w:w="70" w:type="dxa"/>
              <w:end w:w="80" w:type="dxa"/>
            </w:tcMar>
            <w:shd w:fill="F2F4F5"/>
          </w:tcPr>
          <w:p>
            <w:r>
              <w:rPr>
                <w:sz w:val="15"/>
              </w:rPr>
              <w:t>International Electrotechnical Commission</w:t>
            </w:r>
          </w:p>
        </w:tc>
        <w:tc>
          <w:tcPr>
            <w:tcW w:type="dxa" w:w="2381"/>
            <w:tcMar>
              <w:top w:w="70" w:type="dxa"/>
              <w:start w:w="80" w:type="dxa"/>
              <w:bottom w:w="70" w:type="dxa"/>
              <w:end w:w="80" w:type="dxa"/>
            </w:tcMar>
            <w:shd w:fill="F2F4F5"/>
          </w:tcPr>
          <w:p>
            <w:r>
              <w:rPr>
                <w:sz w:val="15"/>
              </w:rPr>
              <w:t>Current</w:t>
            </w:r>
          </w:p>
        </w:tc>
      </w:tr>
      <w:tr>
        <w:trPr>
          <w:cantSplit/>
        </w:trPr>
        <w:tc>
          <w:tcPr>
            <w:tcW w:type="dxa" w:w="454"/>
            <w:tcMar>
              <w:top w:w="70" w:type="dxa"/>
              <w:start w:w="80" w:type="dxa"/>
              <w:bottom w:w="70" w:type="dxa"/>
              <w:end w:w="80" w:type="dxa"/>
            </w:tcMar>
          </w:tcPr>
          <w:p>
            <w:r>
              <w:rPr>
                <w:sz w:val="15"/>
              </w:rPr>
              <w:t>3</w:t>
            </w:r>
          </w:p>
        </w:tc>
        <w:tc>
          <w:tcPr>
            <w:tcW w:type="dxa" w:w="3855"/>
            <w:tcMar>
              <w:top w:w="70" w:type="dxa"/>
              <w:start w:w="80" w:type="dxa"/>
              <w:bottom w:w="70" w:type="dxa"/>
              <w:end w:w="80" w:type="dxa"/>
            </w:tcMar>
          </w:tcPr>
          <w:p>
            <w:hyperlink r:id="rId13">
              <w:r>
                <w:rPr>
                  <w:color w:val="2B6F9F"/>
                  <w:u w:val="single"/>
                </w:rPr>
                <w:t>ISO 14617-2:2025</w:t>
              </w:r>
            </w:hyperlink>
          </w:p>
        </w:tc>
        <w:tc>
          <w:tcPr>
            <w:tcW w:type="dxa" w:w="2551"/>
            <w:tcMar>
              <w:top w:w="70" w:type="dxa"/>
              <w:start w:w="80" w:type="dxa"/>
              <w:bottom w:w="70" w:type="dxa"/>
              <w:end w:w="80" w:type="dxa"/>
            </w:tcMar>
          </w:tcPr>
          <w:p>
            <w:r>
              <w:rPr>
                <w:sz w:val="15"/>
              </w:rPr>
              <w:t>ISO</w:t>
            </w:r>
          </w:p>
        </w:tc>
        <w:tc>
          <w:tcPr>
            <w:tcW w:type="dxa" w:w="2381"/>
            <w:tcMar>
              <w:top w:w="70" w:type="dxa"/>
              <w:start w:w="80" w:type="dxa"/>
              <w:bottom w:w="70" w:type="dxa"/>
              <w:end w:w="80" w:type="dxa"/>
            </w:tcMar>
          </w:tcPr>
          <w:p>
            <w:r>
              <w:rPr>
                <w:sz w:val="15"/>
              </w:rPr>
              <w:t>2025</w:t>
            </w:r>
          </w:p>
        </w:tc>
      </w:tr>
      <w:tr>
        <w:trPr>
          <w:cantSplit/>
        </w:trPr>
        <w:tc>
          <w:tcPr>
            <w:tcW w:type="dxa" w:w="454"/>
            <w:tcMar>
              <w:top w:w="70" w:type="dxa"/>
              <w:start w:w="80" w:type="dxa"/>
              <w:bottom w:w="70" w:type="dxa"/>
              <w:end w:w="80" w:type="dxa"/>
            </w:tcMar>
            <w:shd w:fill="F2F4F5"/>
          </w:tcPr>
          <w:p>
            <w:r>
              <w:rPr>
                <w:sz w:val="15"/>
              </w:rPr>
              <w:t>4</w:t>
            </w:r>
          </w:p>
        </w:tc>
        <w:tc>
          <w:tcPr>
            <w:tcW w:type="dxa" w:w="3855"/>
            <w:tcMar>
              <w:top w:w="70" w:type="dxa"/>
              <w:start w:w="80" w:type="dxa"/>
              <w:bottom w:w="70" w:type="dxa"/>
              <w:end w:w="80" w:type="dxa"/>
            </w:tcMar>
            <w:shd w:fill="F2F4F5"/>
          </w:tcPr>
          <w:p>
            <w:hyperlink r:id="rId44">
              <w:r>
                <w:rPr>
                  <w:color w:val="2B6F9F"/>
                  <w:u w:val="single"/>
                </w:rPr>
                <w:t>ISO 14617-1:2025</w:t>
              </w:r>
            </w:hyperlink>
          </w:p>
        </w:tc>
        <w:tc>
          <w:tcPr>
            <w:tcW w:type="dxa" w:w="2551"/>
            <w:tcMar>
              <w:top w:w="70" w:type="dxa"/>
              <w:start w:w="80" w:type="dxa"/>
              <w:bottom w:w="70" w:type="dxa"/>
              <w:end w:w="80" w:type="dxa"/>
            </w:tcMar>
            <w:shd w:fill="F2F4F5"/>
          </w:tcPr>
          <w:p>
            <w:r>
              <w:rPr>
                <w:sz w:val="15"/>
              </w:rPr>
              <w:t>ISO</w:t>
            </w:r>
          </w:p>
        </w:tc>
        <w:tc>
          <w:tcPr>
            <w:tcW w:type="dxa" w:w="2381"/>
            <w:tcMar>
              <w:top w:w="70" w:type="dxa"/>
              <w:start w:w="80" w:type="dxa"/>
              <w:bottom w:w="70" w:type="dxa"/>
              <w:end w:w="80" w:type="dxa"/>
            </w:tcMar>
            <w:shd w:fill="F2F4F5"/>
          </w:tcPr>
          <w:p>
            <w:r>
              <w:rPr>
                <w:sz w:val="15"/>
              </w:rPr>
              <w:t>2025</w:t>
            </w:r>
          </w:p>
        </w:tc>
      </w:tr>
      <w:tr>
        <w:trPr>
          <w:cantSplit/>
        </w:trPr>
        <w:tc>
          <w:tcPr>
            <w:tcW w:type="dxa" w:w="454"/>
            <w:tcMar>
              <w:top w:w="70" w:type="dxa"/>
              <w:start w:w="80" w:type="dxa"/>
              <w:bottom w:w="70" w:type="dxa"/>
              <w:end w:w="80" w:type="dxa"/>
            </w:tcMar>
          </w:tcPr>
          <w:p>
            <w:r>
              <w:rPr>
                <w:sz w:val="15"/>
              </w:rPr>
              <w:t>5</w:t>
            </w:r>
          </w:p>
        </w:tc>
        <w:tc>
          <w:tcPr>
            <w:tcW w:type="dxa" w:w="3855"/>
            <w:tcMar>
              <w:top w:w="70" w:type="dxa"/>
              <w:start w:w="80" w:type="dxa"/>
              <w:bottom w:w="70" w:type="dxa"/>
              <w:end w:w="80" w:type="dxa"/>
            </w:tcMar>
          </w:tcPr>
          <w:p>
            <w:hyperlink r:id="rId14">
              <w:r>
                <w:rPr>
                  <w:color w:val="2B6F9F"/>
                  <w:u w:val="single"/>
                </w:rPr>
                <w:t>ISO Terms and Conditions / Licence Agreement</w:t>
              </w:r>
            </w:hyperlink>
          </w:p>
        </w:tc>
        <w:tc>
          <w:tcPr>
            <w:tcW w:type="dxa" w:w="2551"/>
            <w:tcMar>
              <w:top w:w="70" w:type="dxa"/>
              <w:start w:w="80" w:type="dxa"/>
              <w:bottom w:w="70" w:type="dxa"/>
              <w:end w:w="80" w:type="dxa"/>
            </w:tcMar>
          </w:tcPr>
          <w:p>
            <w:r>
              <w:rPr>
                <w:sz w:val="15"/>
              </w:rPr>
              <w:t>ISO</w:t>
            </w:r>
          </w:p>
        </w:tc>
        <w:tc>
          <w:tcPr>
            <w:tcW w:type="dxa" w:w="2381"/>
            <w:tcMar>
              <w:top w:w="70" w:type="dxa"/>
              <w:start w:w="80" w:type="dxa"/>
              <w:bottom w:w="70" w:type="dxa"/>
              <w:end w:w="80" w:type="dxa"/>
            </w:tcMar>
          </w:tcPr>
          <w:p>
            <w:r>
              <w:rPr>
                <w:sz w:val="15"/>
              </w:rPr>
              <w:t>2026</w:t>
            </w:r>
          </w:p>
        </w:tc>
      </w:tr>
      <w:tr>
        <w:trPr>
          <w:cantSplit/>
        </w:trPr>
        <w:tc>
          <w:tcPr>
            <w:tcW w:type="dxa" w:w="454"/>
            <w:tcMar>
              <w:top w:w="70" w:type="dxa"/>
              <w:start w:w="80" w:type="dxa"/>
              <w:bottom w:w="70" w:type="dxa"/>
              <w:end w:w="80" w:type="dxa"/>
            </w:tcMar>
            <w:shd w:fill="F2F4F5"/>
          </w:tcPr>
          <w:p>
            <w:r>
              <w:rPr>
                <w:sz w:val="15"/>
              </w:rPr>
              <w:t>6</w:t>
            </w:r>
          </w:p>
        </w:tc>
        <w:tc>
          <w:tcPr>
            <w:tcW w:type="dxa" w:w="3855"/>
            <w:tcMar>
              <w:top w:w="70" w:type="dxa"/>
              <w:start w:w="80" w:type="dxa"/>
              <w:bottom w:w="70" w:type="dxa"/>
              <w:end w:w="80" w:type="dxa"/>
            </w:tcMar>
            <w:shd w:fill="F2F4F5"/>
          </w:tcPr>
          <w:p>
            <w:hyperlink r:id="rId15">
              <w:r>
                <w:rPr>
                  <w:color w:val="2B6F9F"/>
                  <w:u w:val="single"/>
                </w:rPr>
                <w:t>ISA5.1 Committee / Scope</w:t>
              </w:r>
            </w:hyperlink>
          </w:p>
        </w:tc>
        <w:tc>
          <w:tcPr>
            <w:tcW w:type="dxa" w:w="2551"/>
            <w:tcMar>
              <w:top w:w="70" w:type="dxa"/>
              <w:start w:w="80" w:type="dxa"/>
              <w:bottom w:w="70" w:type="dxa"/>
              <w:end w:w="80" w:type="dxa"/>
            </w:tcMar>
            <w:shd w:fill="F2F4F5"/>
          </w:tcPr>
          <w:p>
            <w:r>
              <w:rPr>
                <w:sz w:val="15"/>
              </w:rPr>
              <w:t>International Society of Automation</w:t>
            </w:r>
          </w:p>
        </w:tc>
        <w:tc>
          <w:tcPr>
            <w:tcW w:type="dxa" w:w="2381"/>
            <w:tcMar>
              <w:top w:w="70" w:type="dxa"/>
              <w:start w:w="80" w:type="dxa"/>
              <w:bottom w:w="70" w:type="dxa"/>
              <w:end w:w="80" w:type="dxa"/>
            </w:tcMar>
            <w:shd w:fill="F2F4F5"/>
          </w:tcPr>
          <w:p>
            <w:r>
              <w:rPr>
                <w:sz w:val="15"/>
              </w:rPr>
              <w:t>Current</w:t>
            </w:r>
          </w:p>
        </w:tc>
      </w:tr>
      <w:tr>
        <w:trPr>
          <w:cantSplit/>
        </w:trPr>
        <w:tc>
          <w:tcPr>
            <w:tcW w:type="dxa" w:w="454"/>
            <w:tcMar>
              <w:top w:w="70" w:type="dxa"/>
              <w:start w:w="80" w:type="dxa"/>
              <w:bottom w:w="70" w:type="dxa"/>
              <w:end w:w="80" w:type="dxa"/>
            </w:tcMar>
          </w:tcPr>
          <w:p>
            <w:r>
              <w:rPr>
                <w:sz w:val="15"/>
              </w:rPr>
              <w:t>7</w:t>
            </w:r>
          </w:p>
        </w:tc>
        <w:tc>
          <w:tcPr>
            <w:tcW w:type="dxa" w:w="3855"/>
            <w:tcMar>
              <w:top w:w="70" w:type="dxa"/>
              <w:start w:w="80" w:type="dxa"/>
              <w:bottom w:w="70" w:type="dxa"/>
              <w:end w:w="80" w:type="dxa"/>
            </w:tcMar>
          </w:tcPr>
          <w:p>
            <w:hyperlink r:id="rId16">
              <w:r>
                <w:rPr>
                  <w:color w:val="2B6F9F"/>
                  <w:u w:val="single"/>
                </w:rPr>
                <w:t>ISA-5.1 2024 Update Announcement</w:t>
              </w:r>
            </w:hyperlink>
          </w:p>
        </w:tc>
        <w:tc>
          <w:tcPr>
            <w:tcW w:type="dxa" w:w="2551"/>
            <w:tcMar>
              <w:top w:w="70" w:type="dxa"/>
              <w:start w:w="80" w:type="dxa"/>
              <w:bottom w:w="70" w:type="dxa"/>
              <w:end w:w="80" w:type="dxa"/>
            </w:tcMar>
          </w:tcPr>
          <w:p>
            <w:r>
              <w:rPr>
                <w:sz w:val="15"/>
              </w:rPr>
              <w:t>International Society of Automation</w:t>
            </w:r>
          </w:p>
        </w:tc>
        <w:tc>
          <w:tcPr>
            <w:tcW w:type="dxa" w:w="2381"/>
            <w:tcMar>
              <w:top w:w="70" w:type="dxa"/>
              <w:start w:w="80" w:type="dxa"/>
              <w:bottom w:w="70" w:type="dxa"/>
              <w:end w:w="80" w:type="dxa"/>
            </w:tcMar>
          </w:tcPr>
          <w:p>
            <w:r>
              <w:rPr>
                <w:sz w:val="15"/>
              </w:rPr>
              <w:t>2024</w:t>
            </w:r>
          </w:p>
        </w:tc>
      </w:tr>
      <w:tr>
        <w:trPr>
          <w:cantSplit/>
        </w:trPr>
        <w:tc>
          <w:tcPr>
            <w:tcW w:type="dxa" w:w="454"/>
            <w:tcMar>
              <w:top w:w="70" w:type="dxa"/>
              <w:start w:w="80" w:type="dxa"/>
              <w:bottom w:w="70" w:type="dxa"/>
              <w:end w:w="80" w:type="dxa"/>
            </w:tcMar>
            <w:shd w:fill="F2F4F5"/>
          </w:tcPr>
          <w:p>
            <w:r>
              <w:rPr>
                <w:sz w:val="15"/>
              </w:rPr>
              <w:t>8</w:t>
            </w:r>
          </w:p>
        </w:tc>
        <w:tc>
          <w:tcPr>
            <w:tcW w:type="dxa" w:w="3855"/>
            <w:tcMar>
              <w:top w:w="70" w:type="dxa"/>
              <w:start w:w="80" w:type="dxa"/>
              <w:bottom w:w="70" w:type="dxa"/>
              <w:end w:w="80" w:type="dxa"/>
            </w:tcMar>
            <w:shd w:fill="F2F4F5"/>
          </w:tcPr>
          <w:p>
            <w:hyperlink r:id="rId17">
              <w:r>
                <w:rPr>
                  <w:color w:val="2B6F9F"/>
                  <w:u w:val="single"/>
                </w:rPr>
                <w:t>ISA-TR5.1.03-2024 / IP Notice</w:t>
              </w:r>
            </w:hyperlink>
          </w:p>
        </w:tc>
        <w:tc>
          <w:tcPr>
            <w:tcW w:type="dxa" w:w="2551"/>
            <w:tcMar>
              <w:top w:w="70" w:type="dxa"/>
              <w:start w:w="80" w:type="dxa"/>
              <w:bottom w:w="70" w:type="dxa"/>
              <w:end w:w="80" w:type="dxa"/>
            </w:tcMar>
            <w:shd w:fill="F2F4F5"/>
          </w:tcPr>
          <w:p>
            <w:r>
              <w:rPr>
                <w:sz w:val="15"/>
              </w:rPr>
              <w:t>International Society of Automation</w:t>
            </w:r>
          </w:p>
        </w:tc>
        <w:tc>
          <w:tcPr>
            <w:tcW w:type="dxa" w:w="2381"/>
            <w:tcMar>
              <w:top w:w="70" w:type="dxa"/>
              <w:start w:w="80" w:type="dxa"/>
              <w:bottom w:w="70" w:type="dxa"/>
              <w:end w:w="80" w:type="dxa"/>
            </w:tcMar>
            <w:shd w:fill="F2F4F5"/>
          </w:tcPr>
          <w:p>
            <w:r>
              <w:rPr>
                <w:sz w:val="15"/>
              </w:rPr>
              <w:t>2024/2026 notice</w:t>
            </w:r>
          </w:p>
        </w:tc>
      </w:tr>
      <w:tr>
        <w:trPr>
          <w:cantSplit/>
        </w:trPr>
        <w:tc>
          <w:tcPr>
            <w:tcW w:type="dxa" w:w="454"/>
            <w:tcMar>
              <w:top w:w="70" w:type="dxa"/>
              <w:start w:w="80" w:type="dxa"/>
              <w:bottom w:w="70" w:type="dxa"/>
              <w:end w:w="80" w:type="dxa"/>
            </w:tcMar>
          </w:tcPr>
          <w:p>
            <w:r>
              <w:rPr>
                <w:sz w:val="15"/>
              </w:rPr>
              <w:t>9</w:t>
            </w:r>
          </w:p>
        </w:tc>
        <w:tc>
          <w:tcPr>
            <w:tcW w:type="dxa" w:w="3855"/>
            <w:tcMar>
              <w:top w:w="70" w:type="dxa"/>
              <w:start w:w="80" w:type="dxa"/>
              <w:bottom w:w="70" w:type="dxa"/>
              <w:end w:w="80" w:type="dxa"/>
            </w:tcMar>
          </w:tcPr>
          <w:p>
            <w:hyperlink r:id="rId18">
              <w:r>
                <w:rPr>
                  <w:color w:val="2B6F9F"/>
                  <w:u w:val="single"/>
                </w:rPr>
                <w:t>ISO 10628-2:2012</w:t>
              </w:r>
            </w:hyperlink>
          </w:p>
        </w:tc>
        <w:tc>
          <w:tcPr>
            <w:tcW w:type="dxa" w:w="2551"/>
            <w:tcMar>
              <w:top w:w="70" w:type="dxa"/>
              <w:start w:w="80" w:type="dxa"/>
              <w:bottom w:w="70" w:type="dxa"/>
              <w:end w:w="80" w:type="dxa"/>
            </w:tcMar>
          </w:tcPr>
          <w:p>
            <w:r>
              <w:rPr>
                <w:sz w:val="15"/>
              </w:rPr>
              <w:t>ISO</w:t>
            </w:r>
          </w:p>
        </w:tc>
        <w:tc>
          <w:tcPr>
            <w:tcW w:type="dxa" w:w="2381"/>
            <w:tcMar>
              <w:top w:w="70" w:type="dxa"/>
              <w:start w:w="80" w:type="dxa"/>
              <w:bottom w:w="70" w:type="dxa"/>
              <w:end w:w="80" w:type="dxa"/>
            </w:tcMar>
          </w:tcPr>
          <w:p>
            <w:r>
              <w:rPr>
                <w:sz w:val="15"/>
              </w:rPr>
              <w:t>2012; confirmed 2024</w:t>
            </w:r>
          </w:p>
        </w:tc>
      </w:tr>
      <w:tr>
        <w:trPr>
          <w:cantSplit/>
        </w:trPr>
        <w:tc>
          <w:tcPr>
            <w:tcW w:type="dxa" w:w="454"/>
            <w:tcMar>
              <w:top w:w="70" w:type="dxa"/>
              <w:start w:w="80" w:type="dxa"/>
              <w:bottom w:w="70" w:type="dxa"/>
              <w:end w:w="80" w:type="dxa"/>
            </w:tcMar>
            <w:shd w:fill="F2F4F5"/>
          </w:tcPr>
          <w:p>
            <w:r>
              <w:rPr>
                <w:sz w:val="15"/>
              </w:rPr>
              <w:t>10</w:t>
            </w:r>
          </w:p>
        </w:tc>
        <w:tc>
          <w:tcPr>
            <w:tcW w:type="dxa" w:w="3855"/>
            <w:tcMar>
              <w:top w:w="70" w:type="dxa"/>
              <w:start w:w="80" w:type="dxa"/>
              <w:bottom w:w="70" w:type="dxa"/>
              <w:end w:w="80" w:type="dxa"/>
            </w:tcMar>
            <w:shd w:fill="F2F4F5"/>
          </w:tcPr>
          <w:p>
            <w:hyperlink r:id="rId19">
              <w:r>
                <w:rPr>
                  <w:color w:val="2B6F9F"/>
                  <w:u w:val="single"/>
                </w:rPr>
                <w:t>DEXPI Specifications</w:t>
              </w:r>
            </w:hyperlink>
          </w:p>
        </w:tc>
        <w:tc>
          <w:tcPr>
            <w:tcW w:type="dxa" w:w="2551"/>
            <w:tcMar>
              <w:top w:w="70" w:type="dxa"/>
              <w:start w:w="80" w:type="dxa"/>
              <w:bottom w:w="70" w:type="dxa"/>
              <w:end w:w="80" w:type="dxa"/>
            </w:tcMar>
            <w:shd w:fill="F2F4F5"/>
          </w:tcPr>
          <w:p>
            <w:r>
              <w:rPr>
                <w:sz w:val="15"/>
              </w:rPr>
              <w:t>DEXPI e.V.</w:t>
            </w:r>
          </w:p>
        </w:tc>
        <w:tc>
          <w:tcPr>
            <w:tcW w:type="dxa" w:w="2381"/>
            <w:tcMar>
              <w:top w:w="70" w:type="dxa"/>
              <w:start w:w="80" w:type="dxa"/>
              <w:bottom w:w="70" w:type="dxa"/>
              <w:end w:w="80" w:type="dxa"/>
            </w:tcMar>
            <w:shd w:fill="F2F4F5"/>
          </w:tcPr>
          <w:p>
            <w:r>
              <w:rPr>
                <w:sz w:val="15"/>
              </w:rPr>
              <w:t>Current</w:t>
            </w:r>
          </w:p>
        </w:tc>
      </w:tr>
      <w:tr>
        <w:trPr>
          <w:cantSplit/>
        </w:trPr>
        <w:tc>
          <w:tcPr>
            <w:tcW w:type="dxa" w:w="454"/>
            <w:tcMar>
              <w:top w:w="70" w:type="dxa"/>
              <w:start w:w="80" w:type="dxa"/>
              <w:bottom w:w="70" w:type="dxa"/>
              <w:end w:w="80" w:type="dxa"/>
            </w:tcMar>
          </w:tcPr>
          <w:p>
            <w:r>
              <w:rPr>
                <w:sz w:val="15"/>
              </w:rPr>
              <w:t>11</w:t>
            </w:r>
          </w:p>
        </w:tc>
        <w:tc>
          <w:tcPr>
            <w:tcW w:type="dxa" w:w="3855"/>
            <w:tcMar>
              <w:top w:w="70" w:type="dxa"/>
              <w:start w:w="80" w:type="dxa"/>
              <w:bottom w:w="70" w:type="dxa"/>
              <w:end w:w="80" w:type="dxa"/>
            </w:tcMar>
          </w:tcPr>
          <w:p>
            <w:hyperlink r:id="rId39">
              <w:r>
                <w:rPr>
                  <w:color w:val="2B6F9F"/>
                  <w:u w:val="single"/>
                </w:rPr>
                <w:t>DEXPI 2.0 Publication / CC BY 4.0</w:t>
              </w:r>
            </w:hyperlink>
          </w:p>
        </w:tc>
        <w:tc>
          <w:tcPr>
            <w:tcW w:type="dxa" w:w="2551"/>
            <w:tcMar>
              <w:top w:w="70" w:type="dxa"/>
              <w:start w:w="80" w:type="dxa"/>
              <w:bottom w:w="70" w:type="dxa"/>
              <w:end w:w="80" w:type="dxa"/>
            </w:tcMar>
          </w:tcPr>
          <w:p>
            <w:r>
              <w:rPr>
                <w:sz w:val="15"/>
              </w:rPr>
              <w:t>DEXPI e.V.</w:t>
            </w:r>
          </w:p>
        </w:tc>
        <w:tc>
          <w:tcPr>
            <w:tcW w:type="dxa" w:w="2381"/>
            <w:tcMar>
              <w:top w:w="70" w:type="dxa"/>
              <w:start w:w="80" w:type="dxa"/>
              <w:bottom w:w="70" w:type="dxa"/>
              <w:end w:w="80" w:type="dxa"/>
            </w:tcMar>
          </w:tcPr>
          <w:p>
            <w:r>
              <w:rPr>
                <w:sz w:val="15"/>
              </w:rPr>
              <w:t>2025</w:t>
            </w:r>
          </w:p>
        </w:tc>
      </w:tr>
      <w:tr>
        <w:trPr>
          <w:cantSplit/>
        </w:trPr>
        <w:tc>
          <w:tcPr>
            <w:tcW w:type="dxa" w:w="454"/>
            <w:tcMar>
              <w:top w:w="70" w:type="dxa"/>
              <w:start w:w="80" w:type="dxa"/>
              <w:bottom w:w="70" w:type="dxa"/>
              <w:end w:w="80" w:type="dxa"/>
            </w:tcMar>
            <w:shd w:fill="F2F4F5"/>
          </w:tcPr>
          <w:p>
            <w:r>
              <w:rPr>
                <w:sz w:val="15"/>
              </w:rPr>
              <w:t>12</w:t>
            </w:r>
          </w:p>
        </w:tc>
        <w:tc>
          <w:tcPr>
            <w:tcW w:type="dxa" w:w="3855"/>
            <w:tcMar>
              <w:top w:w="70" w:type="dxa"/>
              <w:start w:w="80" w:type="dxa"/>
              <w:bottom w:w="70" w:type="dxa"/>
              <w:end w:w="80" w:type="dxa"/>
            </w:tcMar>
            <w:shd w:fill="F2F4F5"/>
          </w:tcPr>
          <w:p>
            <w:hyperlink r:id="rId20">
              <w:r>
                <w:rPr>
                  <w:color w:val="2B6F9F"/>
                  <w:u w:val="single"/>
                </w:rPr>
                <w:t>DEXPI Graphics Overview</w:t>
              </w:r>
            </w:hyperlink>
          </w:p>
        </w:tc>
        <w:tc>
          <w:tcPr>
            <w:tcW w:type="dxa" w:w="2551"/>
            <w:tcMar>
              <w:top w:w="70" w:type="dxa"/>
              <w:start w:w="80" w:type="dxa"/>
              <w:bottom w:w="70" w:type="dxa"/>
              <w:end w:w="80" w:type="dxa"/>
            </w:tcMar>
            <w:shd w:fill="F2F4F5"/>
          </w:tcPr>
          <w:p>
            <w:r>
              <w:rPr>
                <w:sz w:val="15"/>
              </w:rPr>
              <w:t>DEXPI e.V.</w:t>
            </w:r>
          </w:p>
        </w:tc>
        <w:tc>
          <w:tcPr>
            <w:tcW w:type="dxa" w:w="2381"/>
            <w:tcMar>
              <w:top w:w="70" w:type="dxa"/>
              <w:start w:w="80" w:type="dxa"/>
              <w:bottom w:w="70" w:type="dxa"/>
              <w:end w:w="80" w:type="dxa"/>
            </w:tcMar>
            <w:shd w:fill="F2F4F5"/>
          </w:tcPr>
          <w:p>
            <w:r>
              <w:rPr>
                <w:sz w:val="15"/>
              </w:rPr>
              <w:t>P&amp;ID 1.4</w:t>
            </w:r>
          </w:p>
        </w:tc>
      </w:tr>
      <w:tr>
        <w:trPr>
          <w:cantSplit/>
        </w:trPr>
        <w:tc>
          <w:tcPr>
            <w:tcW w:type="dxa" w:w="454"/>
            <w:tcMar>
              <w:top w:w="70" w:type="dxa"/>
              <w:start w:w="80" w:type="dxa"/>
              <w:bottom w:w="70" w:type="dxa"/>
              <w:end w:w="80" w:type="dxa"/>
            </w:tcMar>
          </w:tcPr>
          <w:p>
            <w:r>
              <w:rPr>
                <w:sz w:val="15"/>
              </w:rPr>
              <w:t>13</w:t>
            </w:r>
          </w:p>
        </w:tc>
        <w:tc>
          <w:tcPr>
            <w:tcW w:type="dxa" w:w="3855"/>
            <w:tcMar>
              <w:top w:w="70" w:type="dxa"/>
              <w:start w:w="80" w:type="dxa"/>
              <w:bottom w:w="70" w:type="dxa"/>
              <w:end w:w="80" w:type="dxa"/>
            </w:tcMar>
          </w:tcPr>
          <w:p>
            <w:hyperlink r:id="rId21">
              <w:r>
                <w:rPr>
                  <w:color w:val="2B6F9F"/>
                  <w:u w:val="single"/>
                </w:rPr>
                <w:t>DEXPI Sandbox RDL</w:t>
              </w:r>
            </w:hyperlink>
          </w:p>
        </w:tc>
        <w:tc>
          <w:tcPr>
            <w:tcW w:type="dxa" w:w="2551"/>
            <w:tcMar>
              <w:top w:w="70" w:type="dxa"/>
              <w:start w:w="80" w:type="dxa"/>
              <w:bottom w:w="70" w:type="dxa"/>
              <w:end w:w="80" w:type="dxa"/>
            </w:tcMar>
          </w:tcPr>
          <w:p>
            <w:r>
              <w:rPr>
                <w:sz w:val="15"/>
              </w:rPr>
              <w:t>DEXPI e.V.</w:t>
            </w:r>
          </w:p>
        </w:tc>
        <w:tc>
          <w:tcPr>
            <w:tcW w:type="dxa" w:w="2381"/>
            <w:tcMar>
              <w:top w:w="70" w:type="dxa"/>
              <w:start w:w="80" w:type="dxa"/>
              <w:bottom w:w="70" w:type="dxa"/>
              <w:end w:w="80" w:type="dxa"/>
            </w:tcMar>
          </w:tcPr>
          <w:p>
            <w:r>
              <w:rPr>
                <w:sz w:val="15"/>
              </w:rPr>
              <w:t>Current</w:t>
            </w:r>
          </w:p>
        </w:tc>
      </w:tr>
      <w:tr>
        <w:trPr>
          <w:cantSplit/>
        </w:trPr>
        <w:tc>
          <w:tcPr>
            <w:tcW w:type="dxa" w:w="454"/>
            <w:tcMar>
              <w:top w:w="70" w:type="dxa"/>
              <w:start w:w="80" w:type="dxa"/>
              <w:bottom w:w="70" w:type="dxa"/>
              <w:end w:w="80" w:type="dxa"/>
            </w:tcMar>
            <w:shd w:fill="F2F4F5"/>
          </w:tcPr>
          <w:p>
            <w:r>
              <w:rPr>
                <w:sz w:val="15"/>
              </w:rPr>
              <w:t>14</w:t>
            </w:r>
          </w:p>
        </w:tc>
        <w:tc>
          <w:tcPr>
            <w:tcW w:type="dxa" w:w="3855"/>
            <w:tcMar>
              <w:top w:w="70" w:type="dxa"/>
              <w:start w:w="80" w:type="dxa"/>
              <w:bottom w:w="70" w:type="dxa"/>
              <w:end w:w="80" w:type="dxa"/>
            </w:tcMar>
            <w:shd w:fill="F2F4F5"/>
          </w:tcPr>
          <w:p>
            <w:hyperlink r:id="rId22">
              <w:r>
                <w:rPr>
                  <w:color w:val="2B6F9F"/>
                  <w:u w:val="single"/>
                </w:rPr>
                <w:t>Join DEXPI</w:t>
              </w:r>
            </w:hyperlink>
          </w:p>
        </w:tc>
        <w:tc>
          <w:tcPr>
            <w:tcW w:type="dxa" w:w="2551"/>
            <w:tcMar>
              <w:top w:w="70" w:type="dxa"/>
              <w:start w:w="80" w:type="dxa"/>
              <w:bottom w:w="70" w:type="dxa"/>
              <w:end w:w="80" w:type="dxa"/>
            </w:tcMar>
            <w:shd w:fill="F2F4F5"/>
          </w:tcPr>
          <w:p>
            <w:r>
              <w:rPr>
                <w:sz w:val="15"/>
              </w:rPr>
              <w:t>DEXPI e.V.</w:t>
            </w:r>
          </w:p>
        </w:tc>
        <w:tc>
          <w:tcPr>
            <w:tcW w:type="dxa" w:w="2381"/>
            <w:tcMar>
              <w:top w:w="70" w:type="dxa"/>
              <w:start w:w="80" w:type="dxa"/>
              <w:bottom w:w="70" w:type="dxa"/>
              <w:end w:w="80" w:type="dxa"/>
            </w:tcMar>
            <w:shd w:fill="F2F4F5"/>
          </w:tcPr>
          <w:p>
            <w:r>
              <w:rPr>
                <w:sz w:val="15"/>
              </w:rPr>
              <w:t>Current</w:t>
            </w:r>
          </w:p>
        </w:tc>
      </w:tr>
      <w:tr>
        <w:trPr>
          <w:cantSplit/>
        </w:trPr>
        <w:tc>
          <w:tcPr>
            <w:tcW w:type="dxa" w:w="454"/>
            <w:tcMar>
              <w:top w:w="70" w:type="dxa"/>
              <w:start w:w="80" w:type="dxa"/>
              <w:bottom w:w="70" w:type="dxa"/>
              <w:end w:w="80" w:type="dxa"/>
            </w:tcMar>
          </w:tcPr>
          <w:p>
            <w:r>
              <w:rPr>
                <w:sz w:val="15"/>
              </w:rPr>
              <w:t>15</w:t>
            </w:r>
          </w:p>
        </w:tc>
        <w:tc>
          <w:tcPr>
            <w:tcW w:type="dxa" w:w="3855"/>
            <w:tcMar>
              <w:top w:w="70" w:type="dxa"/>
              <w:start w:w="80" w:type="dxa"/>
              <w:bottom w:w="70" w:type="dxa"/>
              <w:end w:w="80" w:type="dxa"/>
            </w:tcMar>
          </w:tcPr>
          <w:p>
            <w:hyperlink r:id="rId23">
              <w:r>
                <w:rPr>
                  <w:color w:val="2B6F9F"/>
                  <w:u w:val="single"/>
                </w:rPr>
                <w:t>NORSOK Z Technical Information / Z-004:2025</w:t>
              </w:r>
            </w:hyperlink>
          </w:p>
        </w:tc>
        <w:tc>
          <w:tcPr>
            <w:tcW w:type="dxa" w:w="2551"/>
            <w:tcMar>
              <w:top w:w="70" w:type="dxa"/>
              <w:start w:w="80" w:type="dxa"/>
              <w:bottom w:w="70" w:type="dxa"/>
              <w:end w:w="80" w:type="dxa"/>
            </w:tcMar>
          </w:tcPr>
          <w:p>
            <w:r>
              <w:rPr>
                <w:sz w:val="15"/>
              </w:rPr>
              <w:t>Standards Norway</w:t>
            </w:r>
          </w:p>
        </w:tc>
        <w:tc>
          <w:tcPr>
            <w:tcW w:type="dxa" w:w="2381"/>
            <w:tcMar>
              <w:top w:w="70" w:type="dxa"/>
              <w:start w:w="80" w:type="dxa"/>
              <w:bottom w:w="70" w:type="dxa"/>
              <w:end w:w="80" w:type="dxa"/>
            </w:tcMar>
          </w:tcPr>
          <w:p>
            <w:r>
              <w:rPr>
                <w:sz w:val="15"/>
              </w:rPr>
              <w:t>2025</w:t>
            </w:r>
          </w:p>
        </w:tc>
      </w:tr>
      <w:tr>
        <w:trPr>
          <w:cantSplit/>
        </w:trPr>
        <w:tc>
          <w:tcPr>
            <w:tcW w:type="dxa" w:w="454"/>
            <w:tcMar>
              <w:top w:w="70" w:type="dxa"/>
              <w:start w:w="80" w:type="dxa"/>
              <w:bottom w:w="70" w:type="dxa"/>
              <w:end w:w="80" w:type="dxa"/>
            </w:tcMar>
            <w:shd w:fill="F2F4F5"/>
          </w:tcPr>
          <w:p>
            <w:r>
              <w:rPr>
                <w:sz w:val="15"/>
              </w:rPr>
              <w:t>16</w:t>
            </w:r>
          </w:p>
        </w:tc>
        <w:tc>
          <w:tcPr>
            <w:tcW w:type="dxa" w:w="3855"/>
            <w:tcMar>
              <w:top w:w="70" w:type="dxa"/>
              <w:start w:w="80" w:type="dxa"/>
              <w:bottom w:w="70" w:type="dxa"/>
              <w:end w:w="80" w:type="dxa"/>
            </w:tcMar>
            <w:shd w:fill="F2F4F5"/>
          </w:tcPr>
          <w:p>
            <w:hyperlink r:id="rId24">
              <w:r>
                <w:rPr>
                  <w:color w:val="2B6F9F"/>
                  <w:u w:val="single"/>
                </w:rPr>
                <w:t>NORSOK Direct Access / XML</w:t>
              </w:r>
            </w:hyperlink>
          </w:p>
        </w:tc>
        <w:tc>
          <w:tcPr>
            <w:tcW w:type="dxa" w:w="2551"/>
            <w:tcMar>
              <w:top w:w="70" w:type="dxa"/>
              <w:start w:w="80" w:type="dxa"/>
              <w:bottom w:w="70" w:type="dxa"/>
              <w:end w:w="80" w:type="dxa"/>
            </w:tcMar>
            <w:shd w:fill="F2F4F5"/>
          </w:tcPr>
          <w:p>
            <w:r>
              <w:rPr>
                <w:sz w:val="15"/>
              </w:rPr>
              <w:t>Standards Norway</w:t>
            </w:r>
          </w:p>
        </w:tc>
        <w:tc>
          <w:tcPr>
            <w:tcW w:type="dxa" w:w="2381"/>
            <w:tcMar>
              <w:top w:w="70" w:type="dxa"/>
              <w:start w:w="80" w:type="dxa"/>
              <w:bottom w:w="70" w:type="dxa"/>
              <w:end w:w="80" w:type="dxa"/>
            </w:tcMar>
            <w:shd w:fill="F2F4F5"/>
          </w:tcPr>
          <w:p>
            <w:r>
              <w:rPr>
                <w:sz w:val="15"/>
              </w:rPr>
              <w:t>Current</w:t>
            </w:r>
          </w:p>
        </w:tc>
      </w:tr>
      <w:tr>
        <w:trPr>
          <w:cantSplit/>
        </w:trPr>
        <w:tc>
          <w:tcPr>
            <w:tcW w:type="dxa" w:w="454"/>
            <w:tcMar>
              <w:top w:w="70" w:type="dxa"/>
              <w:start w:w="80" w:type="dxa"/>
              <w:bottom w:w="70" w:type="dxa"/>
              <w:end w:w="80" w:type="dxa"/>
            </w:tcMar>
          </w:tcPr>
          <w:p>
            <w:r>
              <w:rPr>
                <w:sz w:val="15"/>
              </w:rPr>
              <w:t>17</w:t>
            </w:r>
          </w:p>
        </w:tc>
        <w:tc>
          <w:tcPr>
            <w:tcW w:type="dxa" w:w="3855"/>
            <w:tcMar>
              <w:top w:w="70" w:type="dxa"/>
              <w:start w:w="80" w:type="dxa"/>
              <w:bottom w:w="70" w:type="dxa"/>
              <w:end w:w="80" w:type="dxa"/>
            </w:tcMar>
          </w:tcPr>
          <w:p>
            <w:hyperlink r:id="rId25">
              <w:r>
                <w:rPr>
                  <w:color w:val="2B6F9F"/>
                  <w:u w:val="single"/>
                </w:rPr>
                <w:t>NORSOK Standards Overview</w:t>
              </w:r>
            </w:hyperlink>
          </w:p>
        </w:tc>
        <w:tc>
          <w:tcPr>
            <w:tcW w:type="dxa" w:w="2551"/>
            <w:tcMar>
              <w:top w:w="70" w:type="dxa"/>
              <w:start w:w="80" w:type="dxa"/>
              <w:bottom w:w="70" w:type="dxa"/>
              <w:end w:w="80" w:type="dxa"/>
            </w:tcMar>
          </w:tcPr>
          <w:p>
            <w:r>
              <w:rPr>
                <w:sz w:val="15"/>
              </w:rPr>
              <w:t>Standards Norway</w:t>
            </w:r>
          </w:p>
        </w:tc>
        <w:tc>
          <w:tcPr>
            <w:tcW w:type="dxa" w:w="2381"/>
            <w:tcMar>
              <w:top w:w="70" w:type="dxa"/>
              <w:start w:w="80" w:type="dxa"/>
              <w:bottom w:w="70" w:type="dxa"/>
              <w:end w:w="80" w:type="dxa"/>
            </w:tcMar>
          </w:tcPr>
          <w:p>
            <w:r>
              <w:rPr>
                <w:sz w:val="15"/>
              </w:rPr>
              <w:t>Current</w:t>
            </w:r>
          </w:p>
        </w:tc>
      </w:tr>
      <w:tr>
        <w:trPr>
          <w:cantSplit/>
        </w:trPr>
        <w:tc>
          <w:tcPr>
            <w:tcW w:type="dxa" w:w="454"/>
            <w:tcMar>
              <w:top w:w="70" w:type="dxa"/>
              <w:start w:w="80" w:type="dxa"/>
              <w:bottom w:w="70" w:type="dxa"/>
              <w:end w:w="80" w:type="dxa"/>
            </w:tcMar>
            <w:shd w:fill="F2F4F5"/>
          </w:tcPr>
          <w:p>
            <w:r>
              <w:rPr>
                <w:sz w:val="15"/>
              </w:rPr>
              <w:t>18</w:t>
            </w:r>
          </w:p>
        </w:tc>
        <w:tc>
          <w:tcPr>
            <w:tcW w:type="dxa" w:w="3855"/>
            <w:tcMar>
              <w:top w:w="70" w:type="dxa"/>
              <w:start w:w="80" w:type="dxa"/>
              <w:bottom w:w="70" w:type="dxa"/>
              <w:end w:w="80" w:type="dxa"/>
            </w:tcMar>
            <w:shd w:fill="F2F4F5"/>
          </w:tcPr>
          <w:p>
            <w:hyperlink r:id="rId26">
              <w:r>
                <w:rPr>
                  <w:color w:val="2B6F9F"/>
                  <w:u w:val="single"/>
                </w:rPr>
                <w:t>PIP Practices / PIC001</w:t>
              </w:r>
            </w:hyperlink>
          </w:p>
        </w:tc>
        <w:tc>
          <w:tcPr>
            <w:tcW w:type="dxa" w:w="2551"/>
            <w:tcMar>
              <w:top w:w="70" w:type="dxa"/>
              <w:start w:w="80" w:type="dxa"/>
              <w:bottom w:w="70" w:type="dxa"/>
              <w:end w:w="80" w:type="dxa"/>
            </w:tcMar>
            <w:shd w:fill="F2F4F5"/>
          </w:tcPr>
          <w:p>
            <w:r>
              <w:rPr>
                <w:sz w:val="15"/>
              </w:rPr>
              <w:t>Process Industry Practices</w:t>
            </w:r>
          </w:p>
        </w:tc>
        <w:tc>
          <w:tcPr>
            <w:tcW w:type="dxa" w:w="2381"/>
            <w:tcMar>
              <w:top w:w="70" w:type="dxa"/>
              <w:start w:w="80" w:type="dxa"/>
              <w:bottom w:w="70" w:type="dxa"/>
              <w:end w:w="80" w:type="dxa"/>
            </w:tcMar>
            <w:shd w:fill="F2F4F5"/>
          </w:tcPr>
          <w:p>
            <w:r>
              <w:rPr>
                <w:sz w:val="15"/>
              </w:rPr>
              <w:t>2026 revision</w:t>
            </w:r>
          </w:p>
        </w:tc>
      </w:tr>
      <w:tr>
        <w:trPr>
          <w:cantSplit/>
        </w:trPr>
        <w:tc>
          <w:tcPr>
            <w:tcW w:type="dxa" w:w="454"/>
            <w:tcMar>
              <w:top w:w="70" w:type="dxa"/>
              <w:start w:w="80" w:type="dxa"/>
              <w:bottom w:w="70" w:type="dxa"/>
              <w:end w:w="80" w:type="dxa"/>
            </w:tcMar>
          </w:tcPr>
          <w:p>
            <w:r>
              <w:rPr>
                <w:sz w:val="15"/>
              </w:rPr>
              <w:t>19</w:t>
            </w:r>
          </w:p>
        </w:tc>
        <w:tc>
          <w:tcPr>
            <w:tcW w:type="dxa" w:w="3855"/>
            <w:tcMar>
              <w:top w:w="70" w:type="dxa"/>
              <w:start w:w="80" w:type="dxa"/>
              <w:bottom w:w="70" w:type="dxa"/>
              <w:end w:w="80" w:type="dxa"/>
            </w:tcMar>
          </w:tcPr>
          <w:p>
            <w:hyperlink r:id="rId27">
              <w:r>
                <w:rPr>
                  <w:color w:val="2B6F9F"/>
                  <w:u w:val="single"/>
                </w:rPr>
                <w:t>PIP Membership Information</w:t>
              </w:r>
            </w:hyperlink>
          </w:p>
        </w:tc>
        <w:tc>
          <w:tcPr>
            <w:tcW w:type="dxa" w:w="2551"/>
            <w:tcMar>
              <w:top w:w="70" w:type="dxa"/>
              <w:start w:w="80" w:type="dxa"/>
              <w:bottom w:w="70" w:type="dxa"/>
              <w:end w:w="80" w:type="dxa"/>
            </w:tcMar>
          </w:tcPr>
          <w:p>
            <w:r>
              <w:rPr>
                <w:sz w:val="15"/>
              </w:rPr>
              <w:t>Process Industry Practices</w:t>
            </w:r>
          </w:p>
        </w:tc>
        <w:tc>
          <w:tcPr>
            <w:tcW w:type="dxa" w:w="2381"/>
            <w:tcMar>
              <w:top w:w="70" w:type="dxa"/>
              <w:start w:w="80" w:type="dxa"/>
              <w:bottom w:w="70" w:type="dxa"/>
              <w:end w:w="80" w:type="dxa"/>
            </w:tcMar>
          </w:tcPr>
          <w:p>
            <w:r>
              <w:rPr>
                <w:sz w:val="15"/>
              </w:rPr>
              <w:t>Current</w:t>
            </w:r>
          </w:p>
        </w:tc>
      </w:tr>
      <w:tr>
        <w:trPr>
          <w:cantSplit/>
        </w:trPr>
        <w:tc>
          <w:tcPr>
            <w:tcW w:type="dxa" w:w="454"/>
            <w:tcMar>
              <w:top w:w="70" w:type="dxa"/>
              <w:start w:w="80" w:type="dxa"/>
              <w:bottom w:w="70" w:type="dxa"/>
              <w:end w:w="80" w:type="dxa"/>
            </w:tcMar>
            <w:shd w:fill="F2F4F5"/>
          </w:tcPr>
          <w:p>
            <w:r>
              <w:rPr>
                <w:sz w:val="15"/>
              </w:rPr>
              <w:t>20</w:t>
            </w:r>
          </w:p>
        </w:tc>
        <w:tc>
          <w:tcPr>
            <w:tcW w:type="dxa" w:w="3855"/>
            <w:tcMar>
              <w:top w:w="70" w:type="dxa"/>
              <w:start w:w="80" w:type="dxa"/>
              <w:bottom w:w="70" w:type="dxa"/>
              <w:end w:w="80" w:type="dxa"/>
            </w:tcMar>
            <w:shd w:fill="F2F4F5"/>
          </w:tcPr>
          <w:p>
            <w:hyperlink r:id="rId28">
              <w:r>
                <w:rPr>
                  <w:color w:val="2B6F9F"/>
                  <w:u w:val="single"/>
                </w:rPr>
                <w:t>PIP Member Licence Notice</w:t>
              </w:r>
            </w:hyperlink>
          </w:p>
        </w:tc>
        <w:tc>
          <w:tcPr>
            <w:tcW w:type="dxa" w:w="2551"/>
            <w:tcMar>
              <w:top w:w="70" w:type="dxa"/>
              <w:start w:w="80" w:type="dxa"/>
              <w:bottom w:w="70" w:type="dxa"/>
              <w:end w:w="80" w:type="dxa"/>
            </w:tcMar>
            <w:shd w:fill="F2F4F5"/>
          </w:tcPr>
          <w:p>
            <w:r>
              <w:rPr>
                <w:sz w:val="15"/>
              </w:rPr>
              <w:t>Process Industry Practices</w:t>
            </w:r>
          </w:p>
        </w:tc>
        <w:tc>
          <w:tcPr>
            <w:tcW w:type="dxa" w:w="2381"/>
            <w:tcMar>
              <w:top w:w="70" w:type="dxa"/>
              <w:start w:w="80" w:type="dxa"/>
              <w:bottom w:w="70" w:type="dxa"/>
              <w:end w:w="80" w:type="dxa"/>
            </w:tcMar>
            <w:shd w:fill="F2F4F5"/>
          </w:tcPr>
          <w:p>
            <w:r>
              <w:rPr>
                <w:sz w:val="15"/>
              </w:rPr>
              <w:t>Current</w:t>
            </w:r>
          </w:p>
        </w:tc>
      </w:tr>
      <w:tr>
        <w:trPr>
          <w:cantSplit/>
        </w:trPr>
        <w:tc>
          <w:tcPr>
            <w:tcW w:type="dxa" w:w="454"/>
            <w:tcMar>
              <w:top w:w="70" w:type="dxa"/>
              <w:start w:w="80" w:type="dxa"/>
              <w:bottom w:w="70" w:type="dxa"/>
              <w:end w:w="80" w:type="dxa"/>
            </w:tcMar>
          </w:tcPr>
          <w:p>
            <w:r>
              <w:rPr>
                <w:sz w:val="15"/>
              </w:rPr>
              <w:t>21</w:t>
            </w:r>
          </w:p>
        </w:tc>
        <w:tc>
          <w:tcPr>
            <w:tcW w:type="dxa" w:w="3855"/>
            <w:tcMar>
              <w:top w:w="70" w:type="dxa"/>
              <w:start w:w="80" w:type="dxa"/>
              <w:bottom w:w="70" w:type="dxa"/>
              <w:end w:w="80" w:type="dxa"/>
            </w:tcMar>
          </w:tcPr>
          <w:p>
            <w:hyperlink r:id="rId29">
              <w:r>
                <w:rPr>
                  <w:color w:val="2B6F9F"/>
                  <w:u w:val="single"/>
                </w:rPr>
                <w:t>ISO 1219-1:2012</w:t>
              </w:r>
            </w:hyperlink>
          </w:p>
        </w:tc>
        <w:tc>
          <w:tcPr>
            <w:tcW w:type="dxa" w:w="2551"/>
            <w:tcMar>
              <w:top w:w="70" w:type="dxa"/>
              <w:start w:w="80" w:type="dxa"/>
              <w:bottom w:w="70" w:type="dxa"/>
              <w:end w:w="80" w:type="dxa"/>
            </w:tcMar>
          </w:tcPr>
          <w:p>
            <w:r>
              <w:rPr>
                <w:sz w:val="15"/>
              </w:rPr>
              <w:t>ISO</w:t>
            </w:r>
          </w:p>
        </w:tc>
        <w:tc>
          <w:tcPr>
            <w:tcW w:type="dxa" w:w="2381"/>
            <w:tcMar>
              <w:top w:w="70" w:type="dxa"/>
              <w:start w:w="80" w:type="dxa"/>
              <w:bottom w:w="70" w:type="dxa"/>
              <w:end w:w="80" w:type="dxa"/>
            </w:tcMar>
          </w:tcPr>
          <w:p>
            <w:r>
              <w:rPr>
                <w:sz w:val="15"/>
              </w:rPr>
              <w:t>2012 + 2016 amendment</w:t>
            </w:r>
          </w:p>
        </w:tc>
      </w:tr>
      <w:tr>
        <w:trPr>
          <w:cantSplit/>
        </w:trPr>
        <w:tc>
          <w:tcPr>
            <w:tcW w:type="dxa" w:w="454"/>
            <w:tcMar>
              <w:top w:w="70" w:type="dxa"/>
              <w:start w:w="80" w:type="dxa"/>
              <w:bottom w:w="70" w:type="dxa"/>
              <w:end w:w="80" w:type="dxa"/>
            </w:tcMar>
            <w:shd w:fill="F2F4F5"/>
          </w:tcPr>
          <w:p>
            <w:r>
              <w:rPr>
                <w:sz w:val="15"/>
              </w:rPr>
              <w:t>22</w:t>
            </w:r>
          </w:p>
        </w:tc>
        <w:tc>
          <w:tcPr>
            <w:tcW w:type="dxa" w:w="3855"/>
            <w:tcMar>
              <w:top w:w="70" w:type="dxa"/>
              <w:start w:w="80" w:type="dxa"/>
              <w:bottom w:w="70" w:type="dxa"/>
              <w:end w:w="80" w:type="dxa"/>
            </w:tcMar>
            <w:shd w:fill="F2F4F5"/>
          </w:tcPr>
          <w:p>
            <w:hyperlink r:id="rId30">
              <w:r>
                <w:rPr>
                  <w:color w:val="2B6F9F"/>
                  <w:u w:val="single"/>
                </w:rPr>
                <w:t>ISO 7000:2019</w:t>
              </w:r>
            </w:hyperlink>
          </w:p>
        </w:tc>
        <w:tc>
          <w:tcPr>
            <w:tcW w:type="dxa" w:w="2551"/>
            <w:tcMar>
              <w:top w:w="70" w:type="dxa"/>
              <w:start w:w="80" w:type="dxa"/>
              <w:bottom w:w="70" w:type="dxa"/>
              <w:end w:w="80" w:type="dxa"/>
            </w:tcMar>
            <w:shd w:fill="F2F4F5"/>
          </w:tcPr>
          <w:p>
            <w:r>
              <w:rPr>
                <w:sz w:val="15"/>
              </w:rPr>
              <w:t>ISO</w:t>
            </w:r>
          </w:p>
        </w:tc>
        <w:tc>
          <w:tcPr>
            <w:tcW w:type="dxa" w:w="2381"/>
            <w:tcMar>
              <w:top w:w="70" w:type="dxa"/>
              <w:start w:w="80" w:type="dxa"/>
              <w:bottom w:w="70" w:type="dxa"/>
              <w:end w:w="80" w:type="dxa"/>
            </w:tcMar>
            <w:shd w:fill="F2F4F5"/>
          </w:tcPr>
          <w:p>
            <w:r>
              <w:rPr>
                <w:sz w:val="15"/>
              </w:rPr>
              <w:t>2019</w:t>
            </w:r>
          </w:p>
        </w:tc>
      </w:tr>
      <w:tr>
        <w:trPr>
          <w:cantSplit/>
        </w:trPr>
        <w:tc>
          <w:tcPr>
            <w:tcW w:type="dxa" w:w="454"/>
            <w:tcMar>
              <w:top w:w="70" w:type="dxa"/>
              <w:start w:w="80" w:type="dxa"/>
              <w:bottom w:w="70" w:type="dxa"/>
              <w:end w:w="80" w:type="dxa"/>
            </w:tcMar>
          </w:tcPr>
          <w:p>
            <w:r>
              <w:rPr>
                <w:sz w:val="15"/>
              </w:rPr>
              <w:t>23</w:t>
            </w:r>
          </w:p>
        </w:tc>
        <w:tc>
          <w:tcPr>
            <w:tcW w:type="dxa" w:w="3855"/>
            <w:tcMar>
              <w:top w:w="70" w:type="dxa"/>
              <w:start w:w="80" w:type="dxa"/>
              <w:bottom w:w="70" w:type="dxa"/>
              <w:end w:w="80" w:type="dxa"/>
            </w:tcMar>
          </w:tcPr>
          <w:p>
            <w:hyperlink r:id="rId31">
              <w:r>
                <w:rPr>
                  <w:color w:val="2B6F9F"/>
                  <w:u w:val="single"/>
                </w:rPr>
                <w:t>ISO 7000 / IEC 60417 Collection</w:t>
              </w:r>
            </w:hyperlink>
          </w:p>
        </w:tc>
        <w:tc>
          <w:tcPr>
            <w:tcW w:type="dxa" w:w="2551"/>
            <w:tcMar>
              <w:top w:w="70" w:type="dxa"/>
              <w:start w:w="80" w:type="dxa"/>
              <w:bottom w:w="70" w:type="dxa"/>
              <w:end w:w="80" w:type="dxa"/>
            </w:tcMar>
          </w:tcPr>
          <w:p>
            <w:r>
              <w:rPr>
                <w:sz w:val="15"/>
              </w:rPr>
              <w:t>ISO / IEC</w:t>
            </w:r>
          </w:p>
        </w:tc>
        <w:tc>
          <w:tcPr>
            <w:tcW w:type="dxa" w:w="2381"/>
            <w:tcMar>
              <w:top w:w="70" w:type="dxa"/>
              <w:start w:w="80" w:type="dxa"/>
              <w:bottom w:w="70" w:type="dxa"/>
              <w:end w:w="80" w:type="dxa"/>
            </w:tcMar>
          </w:tcPr>
          <w:p>
            <w:r>
              <w:rPr>
                <w:sz w:val="15"/>
              </w:rPr>
              <w:t>Current</w:t>
            </w:r>
          </w:p>
        </w:tc>
      </w:tr>
      <w:tr>
        <w:trPr>
          <w:cantSplit/>
        </w:trPr>
        <w:tc>
          <w:tcPr>
            <w:tcW w:type="dxa" w:w="454"/>
            <w:tcMar>
              <w:top w:w="70" w:type="dxa"/>
              <w:start w:w="80" w:type="dxa"/>
              <w:bottom w:w="70" w:type="dxa"/>
              <w:end w:w="80" w:type="dxa"/>
            </w:tcMar>
            <w:shd w:fill="F2F4F5"/>
          </w:tcPr>
          <w:p>
            <w:r>
              <w:rPr>
                <w:sz w:val="15"/>
              </w:rPr>
              <w:t>24</w:t>
            </w:r>
          </w:p>
        </w:tc>
        <w:tc>
          <w:tcPr>
            <w:tcW w:type="dxa" w:w="3855"/>
            <w:tcMar>
              <w:top w:w="70" w:type="dxa"/>
              <w:start w:w="80" w:type="dxa"/>
              <w:bottom w:w="70" w:type="dxa"/>
              <w:end w:w="80" w:type="dxa"/>
            </w:tcMar>
            <w:shd w:fill="F2F4F5"/>
          </w:tcPr>
          <w:p>
            <w:hyperlink r:id="rId32">
              <w:r>
                <w:rPr>
                  <w:color w:val="2B6F9F"/>
                  <w:u w:val="single"/>
                </w:rPr>
                <w:t>Plant 3D Content Notices</w:t>
              </w:r>
            </w:hyperlink>
          </w:p>
        </w:tc>
        <w:tc>
          <w:tcPr>
            <w:tcW w:type="dxa" w:w="2551"/>
            <w:tcMar>
              <w:top w:w="70" w:type="dxa"/>
              <w:start w:w="80" w:type="dxa"/>
              <w:bottom w:w="70" w:type="dxa"/>
              <w:end w:w="80" w:type="dxa"/>
            </w:tcMar>
            <w:shd w:fill="F2F4F5"/>
          </w:tcPr>
          <w:p>
            <w:r>
              <w:rPr>
                <w:sz w:val="15"/>
              </w:rPr>
              <w:t>Autodesk</w:t>
            </w:r>
          </w:p>
        </w:tc>
        <w:tc>
          <w:tcPr>
            <w:tcW w:type="dxa" w:w="2381"/>
            <w:tcMar>
              <w:top w:w="70" w:type="dxa"/>
              <w:start w:w="80" w:type="dxa"/>
              <w:bottom w:w="70" w:type="dxa"/>
              <w:end w:w="80" w:type="dxa"/>
            </w:tcMar>
            <w:shd w:fill="F2F4F5"/>
          </w:tcPr>
          <w:p>
            <w:r>
              <w:rPr>
                <w:sz w:val="15"/>
              </w:rPr>
              <w:t>2020 documentation</w:t>
            </w:r>
          </w:p>
        </w:tc>
      </w:tr>
      <w:tr>
        <w:trPr>
          <w:cantSplit/>
        </w:trPr>
        <w:tc>
          <w:tcPr>
            <w:tcW w:type="dxa" w:w="454"/>
            <w:tcMar>
              <w:top w:w="70" w:type="dxa"/>
              <w:start w:w="80" w:type="dxa"/>
              <w:bottom w:w="70" w:type="dxa"/>
              <w:end w:w="80" w:type="dxa"/>
            </w:tcMar>
          </w:tcPr>
          <w:p>
            <w:r>
              <w:rPr>
                <w:sz w:val="15"/>
              </w:rPr>
              <w:t>25</w:t>
            </w:r>
          </w:p>
        </w:tc>
        <w:tc>
          <w:tcPr>
            <w:tcW w:type="dxa" w:w="3855"/>
            <w:tcMar>
              <w:top w:w="70" w:type="dxa"/>
              <w:start w:w="80" w:type="dxa"/>
              <w:bottom w:w="70" w:type="dxa"/>
              <w:end w:w="80" w:type="dxa"/>
            </w:tcMar>
          </w:tcPr>
          <w:p>
            <w:hyperlink r:id="rId33">
              <w:r>
                <w:rPr>
                  <w:color w:val="2B6F9F"/>
                  <w:u w:val="single"/>
                </w:rPr>
                <w:t>AABBCC Codes for Symbols</w:t>
              </w:r>
            </w:hyperlink>
          </w:p>
        </w:tc>
        <w:tc>
          <w:tcPr>
            <w:tcW w:type="dxa" w:w="2551"/>
            <w:tcMar>
              <w:top w:w="70" w:type="dxa"/>
              <w:start w:w="80" w:type="dxa"/>
              <w:bottom w:w="70" w:type="dxa"/>
              <w:end w:w="80" w:type="dxa"/>
            </w:tcMar>
          </w:tcPr>
          <w:p>
            <w:r>
              <w:rPr>
                <w:sz w:val="15"/>
              </w:rPr>
              <w:t>Hexagon</w:t>
            </w:r>
          </w:p>
        </w:tc>
        <w:tc>
          <w:tcPr>
            <w:tcW w:type="dxa" w:w="2381"/>
            <w:tcMar>
              <w:top w:w="70" w:type="dxa"/>
              <w:start w:w="80" w:type="dxa"/>
              <w:bottom w:w="70" w:type="dxa"/>
              <w:end w:w="80" w:type="dxa"/>
            </w:tcMar>
          </w:tcPr>
          <w:p>
            <w:r>
              <w:rPr>
                <w:sz w:val="15"/>
              </w:rPr>
              <w:t>Smart Engineering Manager 12</w:t>
            </w:r>
          </w:p>
        </w:tc>
      </w:tr>
      <w:tr>
        <w:trPr>
          <w:cantSplit/>
        </w:trPr>
        <w:tc>
          <w:tcPr>
            <w:tcW w:type="dxa" w:w="454"/>
            <w:tcMar>
              <w:top w:w="70" w:type="dxa"/>
              <w:start w:w="80" w:type="dxa"/>
              <w:bottom w:w="70" w:type="dxa"/>
              <w:end w:w="80" w:type="dxa"/>
            </w:tcMar>
            <w:shd w:fill="F2F4F5"/>
          </w:tcPr>
          <w:p>
            <w:r>
              <w:rPr>
                <w:sz w:val="15"/>
              </w:rPr>
              <w:t>26</w:t>
            </w:r>
          </w:p>
        </w:tc>
        <w:tc>
          <w:tcPr>
            <w:tcW w:type="dxa" w:w="3855"/>
            <w:tcMar>
              <w:top w:w="70" w:type="dxa"/>
              <w:start w:w="80" w:type="dxa"/>
              <w:bottom w:w="70" w:type="dxa"/>
              <w:end w:w="80" w:type="dxa"/>
            </w:tcMar>
            <w:shd w:fill="F2F4F5"/>
          </w:tcPr>
          <w:p>
            <w:hyperlink r:id="rId45">
              <w:r>
                <w:rPr>
                  <w:color w:val="2B6F9F"/>
                  <w:u w:val="single"/>
                </w:rPr>
                <w:t>Smart P&amp;ID Symbol Library Example</w:t>
              </w:r>
            </w:hyperlink>
          </w:p>
        </w:tc>
        <w:tc>
          <w:tcPr>
            <w:tcW w:type="dxa" w:w="2551"/>
            <w:tcMar>
              <w:top w:w="70" w:type="dxa"/>
              <w:start w:w="80" w:type="dxa"/>
              <w:bottom w:w="70" w:type="dxa"/>
              <w:end w:w="80" w:type="dxa"/>
            </w:tcMar>
            <w:shd w:fill="F2F4F5"/>
          </w:tcPr>
          <w:p>
            <w:r>
              <w:rPr>
                <w:sz w:val="15"/>
              </w:rPr>
              <w:t>Hexagon</w:t>
            </w:r>
          </w:p>
        </w:tc>
        <w:tc>
          <w:tcPr>
            <w:tcW w:type="dxa" w:w="2381"/>
            <w:tcMar>
              <w:top w:w="70" w:type="dxa"/>
              <w:start w:w="80" w:type="dxa"/>
              <w:bottom w:w="70" w:type="dxa"/>
              <w:end w:w="80" w:type="dxa"/>
            </w:tcMar>
            <w:shd w:fill="F2F4F5"/>
          </w:tcPr>
          <w:p>
            <w:r>
              <w:rPr>
                <w:sz w:val="15"/>
              </w:rPr>
              <w:t>Version 12</w:t>
            </w:r>
          </w:p>
        </w:tc>
      </w:tr>
      <w:tr>
        <w:trPr>
          <w:cantSplit/>
        </w:trPr>
        <w:tc>
          <w:tcPr>
            <w:tcW w:type="dxa" w:w="454"/>
            <w:tcMar>
              <w:top w:w="70" w:type="dxa"/>
              <w:start w:w="80" w:type="dxa"/>
              <w:bottom w:w="70" w:type="dxa"/>
              <w:end w:w="80" w:type="dxa"/>
            </w:tcMar>
          </w:tcPr>
          <w:p>
            <w:r>
              <w:rPr>
                <w:sz w:val="15"/>
              </w:rPr>
              <w:t>27</w:t>
            </w:r>
          </w:p>
        </w:tc>
        <w:tc>
          <w:tcPr>
            <w:tcW w:type="dxa" w:w="3855"/>
            <w:tcMar>
              <w:top w:w="70" w:type="dxa"/>
              <w:start w:w="80" w:type="dxa"/>
              <w:bottom w:w="70" w:type="dxa"/>
              <w:end w:w="80" w:type="dxa"/>
            </w:tcMar>
          </w:tcPr>
          <w:p>
            <w:hyperlink r:id="rId34">
              <w:r>
                <w:rPr>
                  <w:color w:val="2B6F9F"/>
                  <w:u w:val="single"/>
                </w:rPr>
                <w:t>COMOS P&amp;ID Documentation</w:t>
              </w:r>
            </w:hyperlink>
          </w:p>
        </w:tc>
        <w:tc>
          <w:tcPr>
            <w:tcW w:type="dxa" w:w="2551"/>
            <w:tcMar>
              <w:top w:w="70" w:type="dxa"/>
              <w:start w:w="80" w:type="dxa"/>
              <w:bottom w:w="70" w:type="dxa"/>
              <w:end w:w="80" w:type="dxa"/>
            </w:tcMar>
          </w:tcPr>
          <w:p>
            <w:r>
              <w:rPr>
                <w:sz w:val="15"/>
              </w:rPr>
              <w:t>Siemens</w:t>
            </w:r>
          </w:p>
        </w:tc>
        <w:tc>
          <w:tcPr>
            <w:tcW w:type="dxa" w:w="2381"/>
            <w:tcMar>
              <w:top w:w="70" w:type="dxa"/>
              <w:start w:w="80" w:type="dxa"/>
              <w:bottom w:w="70" w:type="dxa"/>
              <w:end w:w="80" w:type="dxa"/>
            </w:tcMar>
          </w:tcPr>
          <w:p>
            <w:r>
              <w:rPr>
                <w:sz w:val="15"/>
              </w:rPr>
              <w:t>2025 documentation</w:t>
            </w:r>
          </w:p>
        </w:tc>
      </w:tr>
      <w:tr>
        <w:trPr>
          <w:cantSplit/>
        </w:trPr>
        <w:tc>
          <w:tcPr>
            <w:tcW w:type="dxa" w:w="454"/>
            <w:tcMar>
              <w:top w:w="70" w:type="dxa"/>
              <w:start w:w="80" w:type="dxa"/>
              <w:bottom w:w="70" w:type="dxa"/>
              <w:end w:w="80" w:type="dxa"/>
            </w:tcMar>
            <w:shd w:fill="F2F4F5"/>
          </w:tcPr>
          <w:p>
            <w:r>
              <w:rPr>
                <w:sz w:val="15"/>
              </w:rPr>
              <w:t>28</w:t>
            </w:r>
          </w:p>
        </w:tc>
        <w:tc>
          <w:tcPr>
            <w:tcW w:type="dxa" w:w="3855"/>
            <w:tcMar>
              <w:top w:w="70" w:type="dxa"/>
              <w:start w:w="80" w:type="dxa"/>
              <w:bottom w:w="70" w:type="dxa"/>
              <w:end w:w="80" w:type="dxa"/>
            </w:tcMar>
            <w:shd w:fill="F2F4F5"/>
          </w:tcPr>
          <w:p>
            <w:hyperlink r:id="rId35">
              <w:r>
                <w:rPr>
                  <w:color w:val="2B6F9F"/>
                  <w:u w:val="single"/>
                </w:rPr>
                <w:t>AVEVA Diagrams - Symbols</w:t>
              </w:r>
            </w:hyperlink>
          </w:p>
        </w:tc>
        <w:tc>
          <w:tcPr>
            <w:tcW w:type="dxa" w:w="2551"/>
            <w:tcMar>
              <w:top w:w="70" w:type="dxa"/>
              <w:start w:w="80" w:type="dxa"/>
              <w:bottom w:w="70" w:type="dxa"/>
              <w:end w:w="80" w:type="dxa"/>
            </w:tcMar>
            <w:shd w:fill="F2F4F5"/>
          </w:tcPr>
          <w:p>
            <w:r>
              <w:rPr>
                <w:sz w:val="15"/>
              </w:rPr>
              <w:t>AVEVA</w:t>
            </w:r>
          </w:p>
        </w:tc>
        <w:tc>
          <w:tcPr>
            <w:tcW w:type="dxa" w:w="2381"/>
            <w:tcMar>
              <w:top w:w="70" w:type="dxa"/>
              <w:start w:w="80" w:type="dxa"/>
              <w:bottom w:w="70" w:type="dxa"/>
              <w:end w:w="80" w:type="dxa"/>
            </w:tcMar>
            <w:shd w:fill="F2F4F5"/>
          </w:tcPr>
          <w:p>
            <w:r>
              <w:rPr>
                <w:sz w:val="15"/>
              </w:rPr>
              <w:t>Current help</w:t>
            </w:r>
          </w:p>
        </w:tc>
      </w:tr>
      <w:tr>
        <w:trPr>
          <w:cantSplit/>
        </w:trPr>
        <w:tc>
          <w:tcPr>
            <w:tcW w:type="dxa" w:w="454"/>
            <w:tcMar>
              <w:top w:w="70" w:type="dxa"/>
              <w:start w:w="80" w:type="dxa"/>
              <w:bottom w:w="70" w:type="dxa"/>
              <w:end w:w="80" w:type="dxa"/>
            </w:tcMar>
          </w:tcPr>
          <w:p>
            <w:r>
              <w:rPr>
                <w:sz w:val="15"/>
              </w:rPr>
              <w:t>29</w:t>
            </w:r>
          </w:p>
        </w:tc>
        <w:tc>
          <w:tcPr>
            <w:tcW w:type="dxa" w:w="3855"/>
            <w:tcMar>
              <w:top w:w="70" w:type="dxa"/>
              <w:start w:w="80" w:type="dxa"/>
              <w:bottom w:w="70" w:type="dxa"/>
              <w:end w:w="80" w:type="dxa"/>
            </w:tcMar>
          </w:tcPr>
          <w:p>
            <w:hyperlink r:id="rId36">
              <w:r>
                <w:rPr>
                  <w:color w:val="2B6F9F"/>
                  <w:u w:val="single"/>
                </w:rPr>
                <w:t>OpenPlant PID</w:t>
              </w:r>
            </w:hyperlink>
          </w:p>
        </w:tc>
        <w:tc>
          <w:tcPr>
            <w:tcW w:type="dxa" w:w="2551"/>
            <w:tcMar>
              <w:top w:w="70" w:type="dxa"/>
              <w:start w:w="80" w:type="dxa"/>
              <w:bottom w:w="70" w:type="dxa"/>
              <w:end w:w="80" w:type="dxa"/>
            </w:tcMar>
          </w:tcPr>
          <w:p>
            <w:r>
              <w:rPr>
                <w:sz w:val="15"/>
              </w:rPr>
              <w:t>Bentley Systems</w:t>
            </w:r>
          </w:p>
        </w:tc>
        <w:tc>
          <w:tcPr>
            <w:tcW w:type="dxa" w:w="2381"/>
            <w:tcMar>
              <w:top w:w="70" w:type="dxa"/>
              <w:start w:w="80" w:type="dxa"/>
              <w:bottom w:w="70" w:type="dxa"/>
              <w:end w:w="80" w:type="dxa"/>
            </w:tcMar>
          </w:tcPr>
          <w:p>
            <w:r>
              <w:rPr>
                <w:sz w:val="15"/>
              </w:rPr>
              <w:t>Current</w:t>
            </w:r>
          </w:p>
        </w:tc>
      </w:tr>
      <w:tr>
        <w:trPr>
          <w:cantSplit/>
        </w:trPr>
        <w:tc>
          <w:tcPr>
            <w:tcW w:type="dxa" w:w="454"/>
            <w:tcMar>
              <w:top w:w="70" w:type="dxa"/>
              <w:start w:w="80" w:type="dxa"/>
              <w:bottom w:w="70" w:type="dxa"/>
              <w:end w:w="80" w:type="dxa"/>
            </w:tcMar>
            <w:shd w:fill="F2F4F5"/>
          </w:tcPr>
          <w:p>
            <w:r>
              <w:rPr>
                <w:sz w:val="15"/>
              </w:rPr>
              <w:t>30</w:t>
            </w:r>
          </w:p>
        </w:tc>
        <w:tc>
          <w:tcPr>
            <w:tcW w:type="dxa" w:w="3855"/>
            <w:tcMar>
              <w:top w:w="70" w:type="dxa"/>
              <w:start w:w="80" w:type="dxa"/>
              <w:bottom w:w="70" w:type="dxa"/>
              <w:end w:w="80" w:type="dxa"/>
            </w:tcMar>
            <w:shd w:fill="F2F4F5"/>
          </w:tcPr>
          <w:p>
            <w:hyperlink r:id="rId40">
              <w:r>
                <w:rPr>
                  <w:color w:val="2B6F9F"/>
                  <w:u w:val="single"/>
                </w:rPr>
                <w:t>CFIHOS Standards v2.0</w:t>
              </w:r>
            </w:hyperlink>
          </w:p>
        </w:tc>
        <w:tc>
          <w:tcPr>
            <w:tcW w:type="dxa" w:w="2551"/>
            <w:tcMar>
              <w:top w:w="70" w:type="dxa"/>
              <w:start w:w="80" w:type="dxa"/>
              <w:bottom w:w="70" w:type="dxa"/>
              <w:end w:w="80" w:type="dxa"/>
            </w:tcMar>
            <w:shd w:fill="F2F4F5"/>
          </w:tcPr>
          <w:p>
            <w:r>
              <w:rPr>
                <w:sz w:val="15"/>
              </w:rPr>
              <w:t>IOGP JIP36 / CFIHOS</w:t>
            </w:r>
          </w:p>
        </w:tc>
        <w:tc>
          <w:tcPr>
            <w:tcW w:type="dxa" w:w="2381"/>
            <w:tcMar>
              <w:top w:w="70" w:type="dxa"/>
              <w:start w:w="80" w:type="dxa"/>
              <w:bottom w:w="70" w:type="dxa"/>
              <w:end w:w="80" w:type="dxa"/>
            </w:tcMar>
            <w:shd w:fill="F2F4F5"/>
          </w:tcPr>
          <w:p>
            <w:r>
              <w:rPr>
                <w:sz w:val="15"/>
              </w:rPr>
              <w:t>2025</w:t>
            </w:r>
          </w:p>
        </w:tc>
      </w:tr>
      <w:tr>
        <w:trPr>
          <w:cantSplit/>
        </w:trPr>
        <w:tc>
          <w:tcPr>
            <w:tcW w:type="dxa" w:w="454"/>
            <w:tcMar>
              <w:top w:w="70" w:type="dxa"/>
              <w:start w:w="80" w:type="dxa"/>
              <w:bottom w:w="70" w:type="dxa"/>
              <w:end w:w="80" w:type="dxa"/>
            </w:tcMar>
          </w:tcPr>
          <w:p>
            <w:r>
              <w:rPr>
                <w:sz w:val="15"/>
              </w:rPr>
              <w:t>31</w:t>
            </w:r>
          </w:p>
        </w:tc>
        <w:tc>
          <w:tcPr>
            <w:tcW w:type="dxa" w:w="3855"/>
            <w:tcMar>
              <w:top w:w="70" w:type="dxa"/>
              <w:start w:w="80" w:type="dxa"/>
              <w:bottom w:w="70" w:type="dxa"/>
              <w:end w:w="80" w:type="dxa"/>
            </w:tcMar>
          </w:tcPr>
          <w:p>
            <w:hyperlink r:id="rId41">
              <w:r>
                <w:rPr>
                  <w:color w:val="2B6F9F"/>
                  <w:u w:val="single"/>
                </w:rPr>
                <w:t>CFIHOS RDL v2.0</w:t>
              </w:r>
            </w:hyperlink>
          </w:p>
        </w:tc>
        <w:tc>
          <w:tcPr>
            <w:tcW w:type="dxa" w:w="2551"/>
            <w:tcMar>
              <w:top w:w="70" w:type="dxa"/>
              <w:start w:w="80" w:type="dxa"/>
              <w:bottom w:w="70" w:type="dxa"/>
              <w:end w:w="80" w:type="dxa"/>
            </w:tcMar>
          </w:tcPr>
          <w:p>
            <w:r>
              <w:rPr>
                <w:sz w:val="15"/>
              </w:rPr>
              <w:t>POSC Caesar Association</w:t>
            </w:r>
          </w:p>
        </w:tc>
        <w:tc>
          <w:tcPr>
            <w:tcW w:type="dxa" w:w="2381"/>
            <w:tcMar>
              <w:top w:w="70" w:type="dxa"/>
              <w:start w:w="80" w:type="dxa"/>
              <w:bottom w:w="70" w:type="dxa"/>
              <w:end w:w="80" w:type="dxa"/>
            </w:tcMar>
          </w:tcPr>
          <w:p>
            <w:r>
              <w:rPr>
                <w:sz w:val="15"/>
              </w:rPr>
              <w:t>v2.0</w:t>
            </w:r>
          </w:p>
        </w:tc>
      </w:tr>
      <w:tr>
        <w:trPr>
          <w:cantSplit/>
        </w:trPr>
        <w:tc>
          <w:tcPr>
            <w:tcW w:type="dxa" w:w="454"/>
            <w:tcMar>
              <w:top w:w="70" w:type="dxa"/>
              <w:start w:w="80" w:type="dxa"/>
              <w:bottom w:w="70" w:type="dxa"/>
              <w:end w:w="80" w:type="dxa"/>
            </w:tcMar>
            <w:shd w:fill="F2F4F5"/>
          </w:tcPr>
          <w:p>
            <w:r>
              <w:rPr>
                <w:sz w:val="15"/>
              </w:rPr>
              <w:t>32</w:t>
            </w:r>
          </w:p>
        </w:tc>
        <w:tc>
          <w:tcPr>
            <w:tcW w:type="dxa" w:w="3855"/>
            <w:tcMar>
              <w:top w:w="70" w:type="dxa"/>
              <w:start w:w="80" w:type="dxa"/>
              <w:bottom w:w="70" w:type="dxa"/>
              <w:end w:w="80" w:type="dxa"/>
            </w:tcMar>
            <w:shd w:fill="F2F4F5"/>
          </w:tcPr>
          <w:p>
            <w:hyperlink r:id="rId37">
              <w:r>
                <w:rPr>
                  <w:color w:val="2B6F9F"/>
                  <w:u w:val="single"/>
                </w:rPr>
                <w:t>Equinor LCI Specification Portal</w:t>
              </w:r>
            </w:hyperlink>
          </w:p>
        </w:tc>
        <w:tc>
          <w:tcPr>
            <w:tcW w:type="dxa" w:w="2551"/>
            <w:tcMar>
              <w:top w:w="70" w:type="dxa"/>
              <w:start w:w="80" w:type="dxa"/>
              <w:bottom w:w="70" w:type="dxa"/>
              <w:end w:w="80" w:type="dxa"/>
            </w:tcMar>
            <w:shd w:fill="F2F4F5"/>
          </w:tcPr>
          <w:p>
            <w:r>
              <w:rPr>
                <w:sz w:val="15"/>
              </w:rPr>
              <w:t>Equinor</w:t>
            </w:r>
          </w:p>
        </w:tc>
        <w:tc>
          <w:tcPr>
            <w:tcW w:type="dxa" w:w="2381"/>
            <w:tcMar>
              <w:top w:w="70" w:type="dxa"/>
              <w:start w:w="80" w:type="dxa"/>
              <w:bottom w:w="70" w:type="dxa"/>
              <w:end w:w="80" w:type="dxa"/>
            </w:tcMar>
            <w:shd w:fill="F2F4F5"/>
          </w:tcPr>
          <w:p>
            <w:r>
              <w:rPr>
                <w:sz w:val="15"/>
              </w:rPr>
              <w:t>Current</w:t>
            </w:r>
          </w:p>
        </w:tc>
      </w:tr>
      <w:tr>
        <w:trPr>
          <w:cantSplit/>
        </w:trPr>
        <w:tc>
          <w:tcPr>
            <w:tcW w:type="dxa" w:w="454"/>
            <w:tcMar>
              <w:top w:w="70" w:type="dxa"/>
              <w:start w:w="80" w:type="dxa"/>
              <w:bottom w:w="70" w:type="dxa"/>
              <w:end w:w="80" w:type="dxa"/>
            </w:tcMar>
          </w:tcPr>
          <w:p>
            <w:r>
              <w:rPr>
                <w:sz w:val="15"/>
              </w:rPr>
              <w:t>33</w:t>
            </w:r>
          </w:p>
        </w:tc>
        <w:tc>
          <w:tcPr>
            <w:tcW w:type="dxa" w:w="3855"/>
            <w:tcMar>
              <w:top w:w="70" w:type="dxa"/>
              <w:start w:w="80" w:type="dxa"/>
              <w:bottom w:w="70" w:type="dxa"/>
              <w:end w:w="80" w:type="dxa"/>
            </w:tcMar>
          </w:tcPr>
          <w:p>
            <w:hyperlink r:id="rId46">
              <w:r>
                <w:rPr>
                  <w:color w:val="2B6F9F"/>
                  <w:u w:val="single"/>
                </w:rPr>
                <w:t>QElectroTech Official Elements</w:t>
              </w:r>
            </w:hyperlink>
          </w:p>
        </w:tc>
        <w:tc>
          <w:tcPr>
            <w:tcW w:type="dxa" w:w="2551"/>
            <w:tcMar>
              <w:top w:w="70" w:type="dxa"/>
              <w:start w:w="80" w:type="dxa"/>
              <w:bottom w:w="70" w:type="dxa"/>
              <w:end w:w="80" w:type="dxa"/>
            </w:tcMar>
          </w:tcPr>
          <w:p>
            <w:r>
              <w:rPr>
                <w:sz w:val="15"/>
              </w:rPr>
              <w:t>QElectroTech</w:t>
            </w:r>
          </w:p>
        </w:tc>
        <w:tc>
          <w:tcPr>
            <w:tcW w:type="dxa" w:w="2381"/>
            <w:tcMar>
              <w:top w:w="70" w:type="dxa"/>
              <w:start w:w="80" w:type="dxa"/>
              <w:bottom w:w="70" w:type="dxa"/>
              <w:end w:w="80" w:type="dxa"/>
            </w:tcMar>
          </w:tcPr>
          <w:p>
            <w:r>
              <w:rPr>
                <w:sz w:val="15"/>
              </w:rPr>
              <w:t>Current</w:t>
            </w:r>
          </w:p>
        </w:tc>
      </w:tr>
      <w:tr>
        <w:trPr>
          <w:cantSplit/>
        </w:trPr>
        <w:tc>
          <w:tcPr>
            <w:tcW w:type="dxa" w:w="454"/>
            <w:tcMar>
              <w:top w:w="70" w:type="dxa"/>
              <w:start w:w="80" w:type="dxa"/>
              <w:bottom w:w="70" w:type="dxa"/>
              <w:end w:w="80" w:type="dxa"/>
            </w:tcMar>
            <w:shd w:fill="F2F4F5"/>
          </w:tcPr>
          <w:p>
            <w:r>
              <w:rPr>
                <w:sz w:val="15"/>
              </w:rPr>
              <w:t>34</w:t>
            </w:r>
          </w:p>
        </w:tc>
        <w:tc>
          <w:tcPr>
            <w:tcW w:type="dxa" w:w="3855"/>
            <w:tcMar>
              <w:top w:w="70" w:type="dxa"/>
              <w:start w:w="80" w:type="dxa"/>
              <w:bottom w:w="70" w:type="dxa"/>
              <w:end w:w="80" w:type="dxa"/>
            </w:tcMar>
            <w:shd w:fill="F2F4F5"/>
          </w:tcPr>
          <w:p>
            <w:hyperlink r:id="rId42">
              <w:r>
                <w:rPr>
                  <w:color w:val="2B6F9F"/>
                  <w:u w:val="single"/>
                </w:rPr>
                <w:t>QElectroTech Elements Licence</w:t>
              </w:r>
            </w:hyperlink>
          </w:p>
        </w:tc>
        <w:tc>
          <w:tcPr>
            <w:tcW w:type="dxa" w:w="2551"/>
            <w:tcMar>
              <w:top w:w="70" w:type="dxa"/>
              <w:start w:w="80" w:type="dxa"/>
              <w:bottom w:w="70" w:type="dxa"/>
              <w:end w:w="80" w:type="dxa"/>
            </w:tcMar>
            <w:shd w:fill="F2F4F5"/>
          </w:tcPr>
          <w:p>
            <w:r>
              <w:rPr>
                <w:sz w:val="15"/>
              </w:rPr>
              <w:t>QElectroTech</w:t>
            </w:r>
          </w:p>
        </w:tc>
        <w:tc>
          <w:tcPr>
            <w:tcW w:type="dxa" w:w="2381"/>
            <w:tcMar>
              <w:top w:w="70" w:type="dxa"/>
              <w:start w:w="80" w:type="dxa"/>
              <w:bottom w:w="70" w:type="dxa"/>
              <w:end w:w="80" w:type="dxa"/>
            </w:tcMar>
            <w:shd w:fill="F2F4F5"/>
          </w:tcPr>
          <w:p>
            <w:r>
              <w:rPr>
                <w:sz w:val="15"/>
              </w:rPr>
              <w:t>Current</w:t>
            </w:r>
          </w:p>
        </w:tc>
      </w:tr>
      <w:tr>
        <w:trPr>
          <w:cantSplit/>
        </w:trPr>
        <w:tc>
          <w:tcPr>
            <w:tcW w:type="dxa" w:w="454"/>
            <w:tcMar>
              <w:top w:w="70" w:type="dxa"/>
              <w:start w:w="80" w:type="dxa"/>
              <w:bottom w:w="70" w:type="dxa"/>
              <w:end w:w="80" w:type="dxa"/>
            </w:tcMar>
          </w:tcPr>
          <w:p>
            <w:r>
              <w:rPr>
                <w:sz w:val="15"/>
              </w:rPr>
              <w:t>35</w:t>
            </w:r>
          </w:p>
        </w:tc>
        <w:tc>
          <w:tcPr>
            <w:tcW w:type="dxa" w:w="3855"/>
            <w:tcMar>
              <w:top w:w="70" w:type="dxa"/>
              <w:start w:w="80" w:type="dxa"/>
              <w:bottom w:w="70" w:type="dxa"/>
              <w:end w:w="80" w:type="dxa"/>
            </w:tcMar>
          </w:tcPr>
          <w:p>
            <w:hyperlink r:id="rId43">
              <w:r>
                <w:rPr>
                  <w:color w:val="2B6F9F"/>
                  <w:u w:val="single"/>
                </w:rPr>
                <w:t>KiCad Symbols Licence</w:t>
              </w:r>
            </w:hyperlink>
          </w:p>
        </w:tc>
        <w:tc>
          <w:tcPr>
            <w:tcW w:type="dxa" w:w="2551"/>
            <w:tcMar>
              <w:top w:w="70" w:type="dxa"/>
              <w:start w:w="80" w:type="dxa"/>
              <w:bottom w:w="70" w:type="dxa"/>
              <w:end w:w="80" w:type="dxa"/>
            </w:tcMar>
          </w:tcPr>
          <w:p>
            <w:r>
              <w:rPr>
                <w:sz w:val="15"/>
              </w:rPr>
              <w:t>KiCad</w:t>
            </w:r>
          </w:p>
        </w:tc>
        <w:tc>
          <w:tcPr>
            <w:tcW w:type="dxa" w:w="2381"/>
            <w:tcMar>
              <w:top w:w="70" w:type="dxa"/>
              <w:start w:w="80" w:type="dxa"/>
              <w:bottom w:w="70" w:type="dxa"/>
              <w:end w:w="80" w:type="dxa"/>
            </w:tcMar>
          </w:tcPr>
          <w:p>
            <w:r>
              <w:rPr>
                <w:sz w:val="15"/>
              </w:rPr>
              <w:t>CC BY-SA 4.0</w:t>
            </w:r>
          </w:p>
        </w:tc>
      </w:tr>
      <w:tr>
        <w:trPr>
          <w:cantSplit/>
        </w:trPr>
        <w:tc>
          <w:tcPr>
            <w:tcW w:type="dxa" w:w="454"/>
            <w:tcMar>
              <w:top w:w="70" w:type="dxa"/>
              <w:start w:w="80" w:type="dxa"/>
              <w:bottom w:w="70" w:type="dxa"/>
              <w:end w:w="80" w:type="dxa"/>
            </w:tcMar>
            <w:shd w:fill="F2F4F5"/>
          </w:tcPr>
          <w:p>
            <w:r>
              <w:rPr>
                <w:sz w:val="15"/>
              </w:rPr>
              <w:t>36</w:t>
            </w:r>
          </w:p>
        </w:tc>
        <w:tc>
          <w:tcPr>
            <w:tcW w:type="dxa" w:w="3855"/>
            <w:tcMar>
              <w:top w:w="70" w:type="dxa"/>
              <w:start w:w="80" w:type="dxa"/>
              <w:bottom w:w="70" w:type="dxa"/>
              <w:end w:w="80" w:type="dxa"/>
            </w:tcMar>
            <w:shd w:fill="F2F4F5"/>
          </w:tcPr>
          <w:p>
            <w:hyperlink r:id="rId38">
              <w:r>
                <w:rPr>
                  <w:color w:val="2B6F9F"/>
                  <w:u w:val="single"/>
                </w:rPr>
                <w:t>ADNOC Public Engineering Standard Example</w:t>
              </w:r>
            </w:hyperlink>
          </w:p>
        </w:tc>
        <w:tc>
          <w:tcPr>
            <w:tcW w:type="dxa" w:w="2551"/>
            <w:tcMar>
              <w:top w:w="70" w:type="dxa"/>
              <w:start w:w="80" w:type="dxa"/>
              <w:bottom w:w="70" w:type="dxa"/>
              <w:end w:w="80" w:type="dxa"/>
            </w:tcMar>
            <w:shd w:fill="F2F4F5"/>
          </w:tcPr>
          <w:p>
            <w:r>
              <w:rPr>
                <w:sz w:val="15"/>
              </w:rPr>
              <w:t>ADNOC</w:t>
            </w:r>
          </w:p>
        </w:tc>
        <w:tc>
          <w:tcPr>
            <w:tcW w:type="dxa" w:w="2381"/>
            <w:tcMar>
              <w:top w:w="70" w:type="dxa"/>
              <w:start w:w="80" w:type="dxa"/>
              <w:bottom w:w="70" w:type="dxa"/>
              <w:end w:w="80" w:type="dxa"/>
            </w:tcMar>
            <w:shd w:fill="F2F4F5"/>
          </w:tcPr>
          <w:p>
            <w:r>
              <w:rPr>
                <w:sz w:val="15"/>
              </w:rPr>
              <w:t>2021</w:t>
            </w:r>
          </w:p>
        </w:tc>
      </w:tr>
    </w:tbl>
    <w:p/>
    <w:tbl>
      <w:tblPr>
        <w:tblW w:type="auto" w:w="0"/>
        <w:jc w:val="center"/>
        <w:tblLayout w:type="fixed"/>
        <w:tblLook w:firstColumn="1" w:firstRow="1" w:lastColumn="0" w:lastRow="0" w:noHBand="0" w:noVBand="1" w:val="04A0"/>
      </w:tblPr>
      <w:tblGrid>
        <w:gridCol w:w="9411"/>
      </w:tblGrid>
      <w:tr>
        <w:trPr>
          <w:cantSplit/>
        </w:trPr>
        <w:tc>
          <w:tcPr>
            <w:tcW w:type="dxa" w:w="9866"/>
            <w:shd w:fill="E8F4F4"/>
            <w:tcMar>
              <w:top w:w="150" w:type="dxa"/>
              <w:start w:w="180" w:type="dxa"/>
              <w:bottom w:w="150" w:type="dxa"/>
              <w:end w:w="180" w:type="dxa"/>
            </w:tcMar>
            <w:tcBorders>
              <w:top w:val="single" w:sz="8" w:color="087E8B"/>
              <w:left w:val="single" w:sz="8" w:color="087E8B"/>
              <w:bottom w:val="single" w:sz="8" w:color="087E8B"/>
              <w:right w:val="single" w:sz="8" w:color="087E8B"/>
            </w:tcBorders>
          </w:tcPr>
          <w:p>
            <w:pPr>
              <w:spacing w:after="60"/>
            </w:pPr>
            <w:r>
              <w:rPr>
                <w:b/>
                <w:color w:val="163A5F"/>
                <w:sz w:val="20"/>
              </w:rPr>
              <w:t>Bottom line</w:t>
            </w:r>
          </w:p>
          <w:p>
            <w:pPr>
              <w:spacing w:after="0" w:line="252" w:lineRule="auto"/>
            </w:pPr>
            <w:r>
              <w:t>The strongest moat for SymGov is not possession of more symbol images. It is trusted provenance: who governs a symbol, which edition it came from, what it means, which organisations deviate from it, whether a user may reuse it, and how it maps to equivalent engineering concepts across standards and software.</w:t>
            </w:r>
          </w:p>
        </w:tc>
      </w:tr>
    </w:tbl>
    <w:sectPr w:rsidR="00FC693F" w:rsidRPr="0006063C" w:rsidSect="00034616">
      <w:headerReference w:type="default" r:id="rId9"/>
      <w:footerReference w:type="default" r:id="rId10"/>
      <w:pgSz w:w="11906" w:h="16838"/>
      <w:pgMar w:top="1020" w:right="1020" w:bottom="935"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17D"/>
        <w:sz w:val="15"/>
      </w:rPr>
      <w:t>SYMGOV  |  ENGINEERING SYMBOL SOURCE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63A5F"/>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87E8B"/>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2B6F9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64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2723" TargetMode="External"/><Relationship Id="rId12" Type="http://schemas.openxmlformats.org/officeDocument/2006/relationships/hyperlink" Target="https://webstore.iec.ch/copyright" TargetMode="External"/><Relationship Id="rId13" Type="http://schemas.openxmlformats.org/officeDocument/2006/relationships/hyperlink" Target="https://www.iso.org/standard/83364.html" TargetMode="External"/><Relationship Id="rId14" Type="http://schemas.openxmlformats.org/officeDocument/2006/relationships/hyperlink" Target="https://www.iso.org/terms-conditions-licence-agreement.html" TargetMode="External"/><Relationship Id="rId15" Type="http://schemas.openxmlformats.org/officeDocument/2006/relationships/hyperlink" Target="https://www.isa.org/standards-and-publications/isa-standards/isa-standards-committees/isa5-1" TargetMode="External"/><Relationship Id="rId16" Type="http://schemas.openxmlformats.org/officeDocument/2006/relationships/hyperlink" Target="https://www.isa.org/news-press-releases/2024/october/widely-used-engineering-symbols-and-drawings-stand" TargetMode="External"/><Relationship Id="rId17" Type="http://schemas.openxmlformats.org/officeDocument/2006/relationships/hyperlink" Target="https://www.isa.org/products/isa-tr5-1-03-2024-instrumentation-and-control-grap" TargetMode="External"/><Relationship Id="rId18" Type="http://schemas.openxmlformats.org/officeDocument/2006/relationships/hyperlink" Target="https://www.iso.org/standard/51841.html" TargetMode="External"/><Relationship Id="rId19" Type="http://schemas.openxmlformats.org/officeDocument/2006/relationships/hyperlink" Target="https://dexpi.org/specifications/" TargetMode="External"/><Relationship Id="rId20" Type="http://schemas.openxmlformats.org/officeDocument/2006/relationships/hyperlink" Target="https://dexpi.org/static/pid_specification_1.4/reference/Graphics/overview.html" TargetMode="External"/><Relationship Id="rId21" Type="http://schemas.openxmlformats.org/officeDocument/2006/relationships/hyperlink" Target="https://sandbox.dexpi.org/" TargetMode="External"/><Relationship Id="rId22" Type="http://schemas.openxmlformats.org/officeDocument/2006/relationships/hyperlink" Target="https://dexpi.org/members/become_member/" TargetMode="External"/><Relationship Id="rId23" Type="http://schemas.openxmlformats.org/officeDocument/2006/relationships/hyperlink" Target="https://standard.no/en/sectors/petroleum/norsok-standards/z-technical-info/" TargetMode="External"/><Relationship Id="rId24" Type="http://schemas.openxmlformats.org/officeDocument/2006/relationships/hyperlink" Target="https://standard.no/en/sectors/petroleum/norsok/norsok-standards-get-direct-access/" TargetMode="External"/><Relationship Id="rId25" Type="http://schemas.openxmlformats.org/officeDocument/2006/relationships/hyperlink" Target="https://standard.no/en/sectors/petroleum/norsok-standards/" TargetMode="External"/><Relationship Id="rId26" Type="http://schemas.openxmlformats.org/officeDocument/2006/relationships/hyperlink" Target="https://pip.org/practices/" TargetMode="External"/><Relationship Id="rId27" Type="http://schemas.openxmlformats.org/officeDocument/2006/relationships/hyperlink" Target="https://pip.org/membership-information/" TargetMode="External"/><Relationship Id="rId28" Type="http://schemas.openxmlformats.org/officeDocument/2006/relationships/hyperlink" Target="https://pip.org/login/" TargetMode="External"/><Relationship Id="rId29" Type="http://schemas.openxmlformats.org/officeDocument/2006/relationships/hyperlink" Target="https://www.iso.org/standard/60184.html" TargetMode="External"/><Relationship Id="rId30" Type="http://schemas.openxmlformats.org/officeDocument/2006/relationships/hyperlink" Target="https://www.iso.org/standard/78717.html" TargetMode="External"/><Relationship Id="rId31" Type="http://schemas.openxmlformats.org/officeDocument/2006/relationships/hyperlink" Target="https://www.iso.org/publication/PUB400008.html" TargetMode="External"/><Relationship Id="rId32" Type="http://schemas.openxmlformats.org/officeDocument/2006/relationships/hyperlink" Target="https://help.autodesk.com/cloudhelp/2020/ENU/Plant3D-UserGuide/files/GUID-F92A888C-C394-4232-A54C-BF8443791493.htm" TargetMode="External"/><Relationship Id="rId33" Type="http://schemas.openxmlformats.org/officeDocument/2006/relationships/hyperlink" Target="https://docs.hexagonppm.com/r/en-US/Catalog-Manager-Help/12/154029" TargetMode="External"/><Relationship Id="rId34" Type="http://schemas.openxmlformats.org/officeDocument/2006/relationships/hyperlink" Target="https://cache.industry.siemens.com/dl/files/739/109480739/att_1345642/v2/109480737_COMOS_PID_docu_en_v2.pdf" TargetMode="External"/><Relationship Id="rId35" Type="http://schemas.openxmlformats.org/officeDocument/2006/relationships/hyperlink" Target="https://help.aveva.com/AVEVA_Diagrams/14.1.4/Diagrams/Work_Diagrams.05.125.html" TargetMode="External"/><Relationship Id="rId36" Type="http://schemas.openxmlformats.org/officeDocument/2006/relationships/hyperlink" Target="https://www.bentley.com/en/products/openplant-pid/" TargetMode="External"/><Relationship Id="rId37" Type="http://schemas.openxmlformats.org/officeDocument/2006/relationships/hyperlink" Target="https://lci.equinor.com/" TargetMode="External"/><Relationship Id="rId38" Type="http://schemas.openxmlformats.org/officeDocument/2006/relationships/hyperlink" Target="https://www.adnoc.ae/-/media/adnoc-v2/files/specs/2021/engineering-standards-and-specifications-october14th/onshore-pipelines-contruction-spec.ashx" TargetMode="External"/><Relationship Id="rId39" Type="http://schemas.openxmlformats.org/officeDocument/2006/relationships/hyperlink" Target="https://dexpi.org/dexpi-2-0-specification-published-a-new-standard-for-process-industry-data-exchange/" TargetMode="External"/><Relationship Id="rId40" Type="http://schemas.openxmlformats.org/officeDocument/2006/relationships/hyperlink" Target="https://www.jip36-cfihos.org/cfihos-standards/" TargetMode="External"/><Relationship Id="rId41" Type="http://schemas.openxmlformats.org/officeDocument/2006/relationships/hyperlink" Target="https://www.posccaesar.org/ontologies/cfihos/v2.0" TargetMode="External"/><Relationship Id="rId42" Type="http://schemas.openxmlformats.org/officeDocument/2006/relationships/hyperlink" Target="https://github.com/qelectrotech/qelectrotech-elements/blob/main/ELEMENTS.LICENSE" TargetMode="External"/><Relationship Id="rId43" Type="http://schemas.openxmlformats.org/officeDocument/2006/relationships/hyperlink" Target="https://gitlab.com/kicad/libraries/kicad-symbols/-/blob/5.1.9/LICENSE.md" TargetMode="External"/><Relationship Id="rId44" Type="http://schemas.openxmlformats.org/officeDocument/2006/relationships/hyperlink" Target="https://www.iso.org/standard/85641.html" TargetMode="External"/><Relationship Id="rId45" Type="http://schemas.openxmlformats.org/officeDocument/2006/relationships/hyperlink" Target="https://docs.hexagonppm.com/r/en-US/Intergraph-Smart-P-ID-Help/12/288792" TargetMode="External"/><Relationship Id="rId46" Type="http://schemas.openxmlformats.org/officeDocument/2006/relationships/hyperlink" Target="https://github.com/qelectrotech/qelectrotech-el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SymGov Engineering Symbol Sources - Deep Research Report</dc:title>
  <dc:subject>Authoritative engineering symbol sources, licensing, provenance and ingestion roadmap</dc:subject>
  <dc:creator>OpenAI</dc:creator>
  <cp:keywords>SymGov, engineering symbols, IEC 60617, ISO 14617, ISA 5.1, DEXPI, NORSOK, PIP, licensing, provenance</cp:keywords>
  <dc:description>generated by python-docx</dc:description>
  <cp:lastModifiedBy/>
  <cp:revision>1</cp:revision>
  <dcterms:created xsi:type="dcterms:W3CDTF">2013-12-23T23:15:00Z</dcterms:created>
  <dcterms:modified xsi:type="dcterms:W3CDTF">2013-12-23T23:15:00Z</dcterms:modified>
  <cp:category/>
</cp:coreProperties>
</file>