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CC7B" w14:textId="49F7BD64" w:rsidR="06B96909" w:rsidRPr="00667E79" w:rsidRDefault="588687E9" w:rsidP="00EA23BE">
      <w:pPr>
        <w:spacing w:before="240" w:after="240" w:line="360" w:lineRule="auto"/>
        <w:jc w:val="center"/>
        <w:rPr>
          <w:rFonts w:ascii="Georgia" w:hAnsi="Georgia" w:cs="Times New Roman"/>
          <w:b/>
        </w:rPr>
      </w:pPr>
      <w:r w:rsidRPr="00667E79">
        <w:rPr>
          <w:rFonts w:ascii="Georgia" w:hAnsi="Georgia" w:cs="Times New Roman"/>
          <w:b/>
        </w:rPr>
        <w:t>Comprehensive Investment Analysis of Top 20 US Companies: 2003-</w:t>
      </w:r>
      <w:r w:rsidRPr="4CACBAAA">
        <w:rPr>
          <w:rFonts w:ascii="Georgia" w:hAnsi="Georgia" w:cs="Times New Roman"/>
          <w:b/>
          <w:bCs/>
        </w:rPr>
        <w:t>202</w:t>
      </w:r>
      <w:r w:rsidR="5C944D5B" w:rsidRPr="4CACBAAA">
        <w:rPr>
          <w:rFonts w:ascii="Georgia" w:hAnsi="Georgia" w:cs="Times New Roman"/>
          <w:b/>
          <w:bCs/>
        </w:rPr>
        <w:t>2</w:t>
      </w:r>
    </w:p>
    <w:p w14:paraId="0459A7A9" w14:textId="2529E6FF" w:rsidR="06B96909" w:rsidRPr="00A30007" w:rsidRDefault="588687E9" w:rsidP="00A30007">
      <w:pPr>
        <w:spacing w:before="240" w:after="240" w:line="360" w:lineRule="auto"/>
        <w:jc w:val="center"/>
        <w:rPr>
          <w:rFonts w:ascii="Georgia" w:hAnsi="Georgia" w:cs="Times New Roman"/>
        </w:rPr>
      </w:pPr>
      <w:r w:rsidRPr="00667E79">
        <w:rPr>
          <w:rFonts w:ascii="Georgia" w:hAnsi="Georgia" w:cs="Times New Roman"/>
          <w:b/>
        </w:rPr>
        <w:t>DSCI 510: Principles of Programming for Data Science</w:t>
      </w:r>
      <w:r w:rsidRPr="00667E79">
        <w:rPr>
          <w:rFonts w:ascii="Georgia" w:hAnsi="Georgia" w:cs="Times New Roman"/>
        </w:rPr>
        <w:br/>
      </w:r>
      <w:r w:rsidRPr="00667E79">
        <w:rPr>
          <w:rFonts w:ascii="Georgia" w:hAnsi="Georgia" w:cs="Times New Roman"/>
          <w:b/>
        </w:rPr>
        <w:t>Final Project Report</w:t>
      </w:r>
      <w:r w:rsidRPr="00667E79">
        <w:rPr>
          <w:rFonts w:ascii="Georgia" w:hAnsi="Georgia" w:cs="Times New Roman"/>
        </w:rPr>
        <w:br/>
      </w:r>
      <w:r w:rsidR="00A30007" w:rsidRPr="00667E79">
        <w:rPr>
          <w:rFonts w:ascii="Georgia" w:hAnsi="Georgia" w:cs="Times New Roman"/>
        </w:rPr>
        <w:t>Christopher Bou Saab</w:t>
      </w:r>
      <w:r w:rsidR="00A30007">
        <w:rPr>
          <w:rFonts w:ascii="Georgia" w:hAnsi="Georgia" w:cs="Times New Roman"/>
        </w:rPr>
        <w:t xml:space="preserve"> &amp; </w:t>
      </w:r>
      <w:r w:rsidRPr="00667E79">
        <w:rPr>
          <w:rFonts w:ascii="Georgia" w:hAnsi="Georgia" w:cs="Times New Roman"/>
        </w:rPr>
        <w:t>Pardi Bedirian</w:t>
      </w:r>
    </w:p>
    <w:p w14:paraId="5F23861C" w14:textId="6C43FDA8" w:rsidR="00A7785C" w:rsidRPr="00667E79" w:rsidRDefault="00A7785C" w:rsidP="00905201">
      <w:pPr>
        <w:spacing w:before="240" w:after="240" w:line="360" w:lineRule="auto"/>
        <w:rPr>
          <w:rFonts w:ascii="Georgia" w:hAnsi="Georgia" w:cs="Times New Roman"/>
        </w:rPr>
      </w:pPr>
      <w:r w:rsidRPr="00667E79">
        <w:rPr>
          <w:rFonts w:ascii="Georgia" w:hAnsi="Georgia" w:cs="Times New Roman"/>
        </w:rPr>
        <w:t>Table of Contents</w:t>
      </w:r>
      <w:r w:rsidR="00A30007">
        <w:rPr>
          <w:rFonts w:ascii="Georgia" w:hAnsi="Georgia" w:cs="Times New Roman"/>
        </w:rPr>
        <w:t>:</w:t>
      </w:r>
    </w:p>
    <w:p w14:paraId="2CAD60EA" w14:textId="6D9E67F0" w:rsidR="00A7785C" w:rsidRPr="00667E79" w:rsidRDefault="00A7785C" w:rsidP="00905201">
      <w:pPr>
        <w:pStyle w:val="ListParagraph"/>
        <w:numPr>
          <w:ilvl w:val="0"/>
          <w:numId w:val="2"/>
        </w:numPr>
        <w:spacing w:before="240" w:after="240" w:line="360" w:lineRule="auto"/>
        <w:rPr>
          <w:rFonts w:ascii="Georgia" w:hAnsi="Georgia" w:cs="Times New Roman"/>
        </w:rPr>
      </w:pPr>
      <w:r w:rsidRPr="00667E79">
        <w:rPr>
          <w:rFonts w:ascii="Georgia" w:hAnsi="Georgia" w:cs="Times New Roman"/>
        </w:rPr>
        <w:t>Introduction</w:t>
      </w:r>
    </w:p>
    <w:p w14:paraId="1BCBB5E4" w14:textId="4C26D404" w:rsidR="00A7785C" w:rsidRPr="00667E79" w:rsidRDefault="00A7785C" w:rsidP="00905201">
      <w:pPr>
        <w:pStyle w:val="ListParagraph"/>
        <w:numPr>
          <w:ilvl w:val="0"/>
          <w:numId w:val="2"/>
        </w:numPr>
        <w:spacing w:before="240" w:after="240" w:line="360" w:lineRule="auto"/>
        <w:rPr>
          <w:rFonts w:ascii="Georgia" w:hAnsi="Georgia" w:cs="Times New Roman"/>
        </w:rPr>
      </w:pPr>
      <w:r w:rsidRPr="00667E79">
        <w:rPr>
          <w:rFonts w:ascii="Georgia" w:hAnsi="Georgia" w:cs="Times New Roman"/>
        </w:rPr>
        <w:t>Data Collection</w:t>
      </w:r>
    </w:p>
    <w:p w14:paraId="08A06A2F" w14:textId="152FC561" w:rsidR="00A7785C" w:rsidRPr="00667E79" w:rsidRDefault="00A7785C" w:rsidP="00905201">
      <w:pPr>
        <w:pStyle w:val="ListParagraph"/>
        <w:numPr>
          <w:ilvl w:val="0"/>
          <w:numId w:val="2"/>
        </w:numPr>
        <w:spacing w:before="240" w:after="240" w:line="360" w:lineRule="auto"/>
        <w:rPr>
          <w:rFonts w:ascii="Georgia" w:hAnsi="Georgia" w:cs="Times New Roman"/>
        </w:rPr>
      </w:pPr>
      <w:r w:rsidRPr="00667E79">
        <w:rPr>
          <w:rFonts w:ascii="Georgia" w:hAnsi="Georgia" w:cs="Times New Roman"/>
        </w:rPr>
        <w:t>Data Cleaning</w:t>
      </w:r>
    </w:p>
    <w:p w14:paraId="64B3C685" w14:textId="16F0372E" w:rsidR="0067351B" w:rsidRPr="00667E79" w:rsidRDefault="0067351B" w:rsidP="00905201">
      <w:pPr>
        <w:pStyle w:val="ListParagraph"/>
        <w:numPr>
          <w:ilvl w:val="0"/>
          <w:numId w:val="2"/>
        </w:numPr>
        <w:spacing w:before="240" w:after="240" w:line="360" w:lineRule="auto"/>
        <w:rPr>
          <w:rFonts w:ascii="Georgia" w:hAnsi="Georgia" w:cs="Times New Roman"/>
        </w:rPr>
      </w:pPr>
      <w:r w:rsidRPr="00667E79">
        <w:rPr>
          <w:rFonts w:ascii="Georgia" w:hAnsi="Georgia" w:cs="Times New Roman"/>
        </w:rPr>
        <w:t>Data Analysis</w:t>
      </w:r>
    </w:p>
    <w:p w14:paraId="1881979C" w14:textId="33664B9A" w:rsidR="0067351B" w:rsidRPr="00667E79" w:rsidRDefault="0067351B" w:rsidP="00905201">
      <w:pPr>
        <w:pStyle w:val="ListParagraph"/>
        <w:numPr>
          <w:ilvl w:val="0"/>
          <w:numId w:val="2"/>
        </w:numPr>
        <w:spacing w:before="240" w:after="240" w:line="360" w:lineRule="auto"/>
        <w:rPr>
          <w:rFonts w:ascii="Georgia" w:hAnsi="Georgia" w:cs="Times New Roman"/>
        </w:rPr>
      </w:pPr>
      <w:r w:rsidRPr="00667E79">
        <w:rPr>
          <w:rFonts w:ascii="Georgia" w:hAnsi="Georgia" w:cs="Times New Roman"/>
        </w:rPr>
        <w:t>Data Visualization</w:t>
      </w:r>
    </w:p>
    <w:p w14:paraId="6E237A5A" w14:textId="5F87AEA7" w:rsidR="00AD2854" w:rsidRDefault="00DE2EF6" w:rsidP="00AD2854">
      <w:pPr>
        <w:pStyle w:val="ListParagraph"/>
        <w:numPr>
          <w:ilvl w:val="0"/>
          <w:numId w:val="2"/>
        </w:numPr>
        <w:spacing w:before="240" w:after="240" w:line="360" w:lineRule="auto"/>
        <w:rPr>
          <w:rFonts w:ascii="Georgia" w:hAnsi="Georgia" w:cs="Times New Roman"/>
        </w:rPr>
      </w:pPr>
      <w:r>
        <w:rPr>
          <w:rFonts w:ascii="Georgia" w:hAnsi="Georgia" w:cs="Times New Roman"/>
        </w:rPr>
        <w:t>Future Work</w:t>
      </w:r>
    </w:p>
    <w:p w14:paraId="41C021AF" w14:textId="77777777" w:rsidR="00AD2854" w:rsidRPr="00AD2854" w:rsidRDefault="00AD2854" w:rsidP="00AD2854">
      <w:pPr>
        <w:pStyle w:val="ListParagraph"/>
        <w:spacing w:before="240" w:after="240" w:line="360" w:lineRule="auto"/>
        <w:rPr>
          <w:rFonts w:ascii="Georgia" w:hAnsi="Georgia" w:cs="Times New Roman"/>
        </w:rPr>
      </w:pPr>
    </w:p>
    <w:p w14:paraId="0736BFF4" w14:textId="5DBF841C" w:rsidR="00667E79" w:rsidRPr="00667E79" w:rsidRDefault="00A7785C" w:rsidP="00AD2854">
      <w:pPr>
        <w:pStyle w:val="ListParagraph"/>
        <w:numPr>
          <w:ilvl w:val="0"/>
          <w:numId w:val="1"/>
        </w:numPr>
        <w:spacing w:before="240" w:after="240" w:line="360" w:lineRule="auto"/>
        <w:rPr>
          <w:rFonts w:ascii="Georgia" w:hAnsi="Georgia" w:cs="Times New Roman"/>
        </w:rPr>
      </w:pPr>
      <w:r w:rsidRPr="00667E79">
        <w:rPr>
          <w:rFonts w:ascii="Georgia" w:hAnsi="Georgia" w:cs="Times New Roman"/>
        </w:rPr>
        <w:t>Introduction</w:t>
      </w:r>
    </w:p>
    <w:p w14:paraId="5BDAB9F0" w14:textId="0A49EA31" w:rsidR="00B123E3" w:rsidRPr="00667E79" w:rsidRDefault="002B6C6F" w:rsidP="002A6FDE">
      <w:pPr>
        <w:spacing w:before="240" w:after="240"/>
        <w:rPr>
          <w:rFonts w:ascii="Georgia" w:hAnsi="Georgia" w:cs="Times New Roman"/>
        </w:rPr>
      </w:pPr>
      <w:r w:rsidRPr="00667E79">
        <w:rPr>
          <w:rFonts w:ascii="Georgia" w:hAnsi="Georgia" w:cs="Times New Roman"/>
        </w:rPr>
        <w:t xml:space="preserve">This </w:t>
      </w:r>
      <w:r w:rsidR="00FC0F55" w:rsidRPr="00667E79">
        <w:rPr>
          <w:rFonts w:ascii="Georgia" w:hAnsi="Georgia" w:cs="Times New Roman"/>
        </w:rPr>
        <w:t>project</w:t>
      </w:r>
      <w:r w:rsidRPr="00667E79">
        <w:rPr>
          <w:rFonts w:ascii="Georgia" w:hAnsi="Georgia" w:cs="Times New Roman"/>
        </w:rPr>
        <w:t xml:space="preserve"> aims to provide a comprehensive investment analysis of the top 20 US companies by market capitalization over a two-decade period, from 2003 to </w:t>
      </w:r>
      <w:r w:rsidRPr="4CACBAAA">
        <w:rPr>
          <w:rFonts w:ascii="Georgia" w:hAnsi="Georgia" w:cs="Times New Roman"/>
        </w:rPr>
        <w:t>202</w:t>
      </w:r>
      <w:r w:rsidR="04341EB0" w:rsidRPr="4CACBAAA">
        <w:rPr>
          <w:rFonts w:ascii="Georgia" w:hAnsi="Georgia" w:cs="Times New Roman"/>
        </w:rPr>
        <w:t>2</w:t>
      </w:r>
      <w:r w:rsidRPr="4CACBAAA">
        <w:rPr>
          <w:rFonts w:ascii="Georgia" w:hAnsi="Georgia" w:cs="Times New Roman"/>
        </w:rPr>
        <w:t>.</w:t>
      </w:r>
      <w:r w:rsidRPr="00667E79">
        <w:rPr>
          <w:rFonts w:ascii="Georgia" w:hAnsi="Georgia" w:cs="Times New Roman"/>
        </w:rPr>
        <w:t xml:space="preserve"> The analysis focuses on evaluating the financial performance, stock market trends, and the </w:t>
      </w:r>
      <w:r w:rsidR="00B123E3" w:rsidRPr="00667E79">
        <w:rPr>
          <w:rFonts w:ascii="Georgia" w:hAnsi="Georgia" w:cs="Times New Roman"/>
        </w:rPr>
        <w:t xml:space="preserve">effects of </w:t>
      </w:r>
      <w:r w:rsidRPr="00667E79">
        <w:rPr>
          <w:rFonts w:ascii="Georgia" w:hAnsi="Georgia" w:cs="Times New Roman"/>
        </w:rPr>
        <w:t xml:space="preserve">overall economic </w:t>
      </w:r>
      <w:r w:rsidR="00B123E3" w:rsidRPr="00667E79">
        <w:rPr>
          <w:rFonts w:ascii="Georgia" w:hAnsi="Georgia" w:cs="Times New Roman"/>
        </w:rPr>
        <w:t>indicators</w:t>
      </w:r>
      <w:r w:rsidRPr="00667E79">
        <w:rPr>
          <w:rFonts w:ascii="Georgia" w:hAnsi="Georgia" w:cs="Times New Roman"/>
        </w:rPr>
        <w:t xml:space="preserve"> on these leading companies.</w:t>
      </w:r>
    </w:p>
    <w:p w14:paraId="7045F4F0" w14:textId="6E89E60A" w:rsidR="00667E79" w:rsidRDefault="00C96C80" w:rsidP="002A6FDE">
      <w:pPr>
        <w:spacing w:before="240" w:after="240"/>
        <w:rPr>
          <w:rFonts w:ascii="Georgia" w:hAnsi="Georgia" w:cs="Times New Roman"/>
        </w:rPr>
      </w:pPr>
      <w:r w:rsidRPr="00667E79">
        <w:rPr>
          <w:rFonts w:ascii="Georgia" w:hAnsi="Georgia" w:cs="Times New Roman"/>
        </w:rPr>
        <w:t>A pivotal aspect of this analysis is the computation of an aggregate score for each company in a specific year. This score is derived by taking into account all the aforementioned financial and economic factors, allowing for a comprehensive assessment of each company's performance.</w:t>
      </w:r>
      <w:r w:rsidR="00E93510" w:rsidRPr="00667E79">
        <w:rPr>
          <w:rFonts w:ascii="Georgia" w:hAnsi="Georgia"/>
        </w:rPr>
        <w:t xml:space="preserve"> </w:t>
      </w:r>
      <w:r w:rsidR="00E93510" w:rsidRPr="00E93510">
        <w:rPr>
          <w:rFonts w:ascii="Georgia" w:hAnsi="Georgia" w:cs="Times New Roman"/>
        </w:rPr>
        <w:t xml:space="preserve">Based on the aggregate scores, companies are assigned to specific tiers for each year, representing their relative performance and stability. Building on this classification, a predictive model is developed and trained using this data. This model is designed to predict the 'Final Score' or tier </w:t>
      </w:r>
      <w:r w:rsidR="009148D7" w:rsidRPr="00667E79">
        <w:rPr>
          <w:rFonts w:ascii="Georgia" w:hAnsi="Georgia" w:cs="Times New Roman"/>
        </w:rPr>
        <w:t>of</w:t>
      </w:r>
      <w:r w:rsidR="00E93510" w:rsidRPr="00E93510">
        <w:rPr>
          <w:rFonts w:ascii="Georgia" w:hAnsi="Georgia" w:cs="Times New Roman"/>
        </w:rPr>
        <w:t xml:space="preserve"> a specific company in a given year, offering valuable foresight into potential future performances</w:t>
      </w:r>
      <w:r w:rsidR="009148D7" w:rsidRPr="00667E79">
        <w:rPr>
          <w:rFonts w:ascii="Georgia" w:hAnsi="Georgia" w:cs="Times New Roman"/>
        </w:rPr>
        <w:t xml:space="preserve">. </w:t>
      </w:r>
      <w:r w:rsidR="00E93510" w:rsidRPr="00E93510">
        <w:rPr>
          <w:rFonts w:ascii="Georgia" w:hAnsi="Georgia" w:cs="Times New Roman"/>
        </w:rPr>
        <w:t xml:space="preserve">This analytical approach and predictive modeling </w:t>
      </w:r>
      <w:r w:rsidR="00AB7386" w:rsidRPr="00667E79">
        <w:rPr>
          <w:rFonts w:ascii="Georgia" w:hAnsi="Georgia" w:cs="Times New Roman"/>
        </w:rPr>
        <w:t>are</w:t>
      </w:r>
      <w:r w:rsidR="00E93510" w:rsidRPr="00E93510">
        <w:rPr>
          <w:rFonts w:ascii="Georgia" w:hAnsi="Georgia" w:cs="Times New Roman"/>
        </w:rPr>
        <w:t xml:space="preserve"> crucial for investors, financial analysts, and market observers.</w:t>
      </w:r>
    </w:p>
    <w:p w14:paraId="62B2E971" w14:textId="77777777" w:rsidR="002A6FDE" w:rsidRDefault="002A6FDE" w:rsidP="002A6FDE">
      <w:pPr>
        <w:spacing w:before="240" w:after="240"/>
        <w:rPr>
          <w:rFonts w:ascii="Georgia" w:hAnsi="Georgia" w:cs="Times New Roman"/>
        </w:rPr>
      </w:pPr>
    </w:p>
    <w:p w14:paraId="4E847A9A" w14:textId="77777777" w:rsidR="002A6FDE" w:rsidRDefault="002A6FDE" w:rsidP="002A6FDE">
      <w:pPr>
        <w:spacing w:before="240" w:after="240"/>
        <w:rPr>
          <w:rFonts w:ascii="Georgia" w:hAnsi="Georgia" w:cs="Times New Roman"/>
        </w:rPr>
      </w:pPr>
    </w:p>
    <w:p w14:paraId="4470AB3B" w14:textId="77777777" w:rsidR="002A6FDE" w:rsidRDefault="002A6FDE" w:rsidP="002A6FDE">
      <w:pPr>
        <w:spacing w:before="240" w:after="240"/>
        <w:rPr>
          <w:rFonts w:ascii="Georgia" w:hAnsi="Georgia" w:cs="Times New Roman"/>
        </w:rPr>
      </w:pPr>
    </w:p>
    <w:p w14:paraId="274D7DA0" w14:textId="77777777" w:rsidR="002A6FDE" w:rsidRPr="00E93510" w:rsidRDefault="002A6FDE" w:rsidP="002A6FDE">
      <w:pPr>
        <w:spacing w:before="240" w:after="240"/>
        <w:rPr>
          <w:rFonts w:ascii="Georgia" w:hAnsi="Georgia" w:cs="Times New Roman"/>
        </w:rPr>
      </w:pPr>
    </w:p>
    <w:p w14:paraId="4F9F7D03" w14:textId="3E53FBA0" w:rsidR="00667E79" w:rsidRDefault="00A7785C" w:rsidP="00905201">
      <w:pPr>
        <w:pStyle w:val="ListParagraph"/>
        <w:numPr>
          <w:ilvl w:val="0"/>
          <w:numId w:val="1"/>
        </w:numPr>
        <w:spacing w:before="240" w:after="240" w:line="360" w:lineRule="auto"/>
        <w:rPr>
          <w:rFonts w:ascii="Georgia" w:hAnsi="Georgia" w:cs="Times New Roman"/>
        </w:rPr>
      </w:pPr>
      <w:r w:rsidRPr="00667E79">
        <w:rPr>
          <w:rFonts w:ascii="Georgia" w:hAnsi="Georgia" w:cs="Times New Roman"/>
        </w:rPr>
        <w:lastRenderedPageBreak/>
        <w:t>Data Collection</w:t>
      </w:r>
      <w:r w:rsidR="00905201">
        <w:rPr>
          <w:rFonts w:ascii="Georgia" w:hAnsi="Georgia" w:cs="Times New Roman"/>
        </w:rPr>
        <w:t xml:space="preserve"> </w:t>
      </w:r>
    </w:p>
    <w:p w14:paraId="69693F60" w14:textId="77777777" w:rsidR="00905201" w:rsidRDefault="00905201" w:rsidP="00905201">
      <w:pPr>
        <w:spacing w:before="240" w:after="240"/>
        <w:ind w:left="360"/>
        <w:rPr>
          <w:rFonts w:ascii="Georgia" w:hAnsi="Georgia"/>
          <w:i/>
          <w:iCs/>
          <w:sz w:val="22"/>
          <w:szCs w:val="22"/>
        </w:rPr>
      </w:pPr>
      <w:r w:rsidRPr="00905201">
        <w:rPr>
          <w:rFonts w:ascii="Georgia" w:hAnsi="Georgia"/>
          <w:i/>
          <w:iCs/>
          <w:sz w:val="22"/>
          <w:szCs w:val="22"/>
        </w:rPr>
        <w:t>This section details the diverse data sources and collection methods utilized in the study.</w:t>
      </w:r>
    </w:p>
    <w:p w14:paraId="695BAA72" w14:textId="77777777" w:rsidR="0097260E" w:rsidRDefault="00905201" w:rsidP="0070574B">
      <w:pPr>
        <w:pStyle w:val="ListParagraph"/>
        <w:numPr>
          <w:ilvl w:val="0"/>
          <w:numId w:val="7"/>
        </w:numPr>
        <w:spacing w:before="240" w:after="240"/>
        <w:rPr>
          <w:rFonts w:ascii="Georgia" w:hAnsi="Georgia" w:cs="Times New Roman"/>
        </w:rPr>
      </w:pPr>
      <w:r w:rsidRPr="00877123">
        <w:rPr>
          <w:rFonts w:ascii="Georgia" w:hAnsi="Georgia" w:cs="Times New Roman"/>
          <w:b/>
          <w:bCs/>
          <w:i/>
          <w:iCs/>
        </w:rPr>
        <w:t>Market Capitalization Data:</w:t>
      </w:r>
      <w:r w:rsidRPr="00877123">
        <w:rPr>
          <w:rFonts w:ascii="Georgia" w:hAnsi="Georgia" w:cs="Times New Roman"/>
          <w:b/>
          <w:bCs/>
          <w:i/>
          <w:iCs/>
        </w:rPr>
        <w:t xml:space="preserve"> </w:t>
      </w:r>
      <w:r w:rsidRPr="004023DD">
        <w:rPr>
          <w:rFonts w:ascii="Georgia" w:hAnsi="Georgia" w:cs="Times New Roman"/>
        </w:rPr>
        <w:t>Market capitalization data, crucial for identifying the top 20 US companies, was obtained from a CSV file named 'marketcap.csv'.</w:t>
      </w:r>
      <w:r w:rsidR="00D31A8A" w:rsidRPr="004023DD">
        <w:rPr>
          <w:rFonts w:ascii="Georgia" w:hAnsi="Georgia" w:cs="Times New Roman"/>
        </w:rPr>
        <w:t xml:space="preserve"> </w:t>
      </w:r>
      <w:r w:rsidR="00046281" w:rsidRPr="004023DD">
        <w:rPr>
          <w:rFonts w:ascii="Georgia" w:hAnsi="Georgia" w:cs="Times New Roman"/>
        </w:rPr>
        <w:t xml:space="preserve">This csv was downloaded from </w:t>
      </w:r>
      <w:r w:rsidR="004023DD" w:rsidRPr="004023DD">
        <w:rPr>
          <w:rFonts w:ascii="Georgia" w:hAnsi="Georgia" w:cs="Times New Roman"/>
        </w:rPr>
        <w:t>companiesmarketcap.com</w:t>
      </w:r>
      <w:r w:rsidR="002331AD">
        <w:rPr>
          <w:rFonts w:ascii="Georgia" w:hAnsi="Georgia" w:cs="Times New Roman"/>
        </w:rPr>
        <w:t xml:space="preserve"> and modified </w:t>
      </w:r>
      <w:r w:rsidR="005345EC">
        <w:rPr>
          <w:rFonts w:ascii="Georgia" w:hAnsi="Georgia" w:cs="Times New Roman"/>
        </w:rPr>
        <w:t xml:space="preserve">before usage in the project. </w:t>
      </w:r>
      <w:r w:rsidRPr="004023DD">
        <w:rPr>
          <w:rFonts w:ascii="Georgia" w:hAnsi="Georgia" w:cs="Times New Roman"/>
        </w:rPr>
        <w:t>This</w:t>
      </w:r>
      <w:r w:rsidRPr="004023DD">
        <w:rPr>
          <w:rFonts w:ascii="Georgia" w:hAnsi="Georgia" w:cs="Times New Roman"/>
        </w:rPr>
        <w:t xml:space="preserve"> dataset </w:t>
      </w:r>
      <w:r w:rsidR="0097260E">
        <w:rPr>
          <w:rFonts w:ascii="Georgia" w:hAnsi="Georgia" w:cs="Times New Roman"/>
        </w:rPr>
        <w:t xml:space="preserve">in the csv </w:t>
      </w:r>
      <w:r w:rsidRPr="004023DD">
        <w:rPr>
          <w:rFonts w:ascii="Georgia" w:hAnsi="Georgia" w:cs="Times New Roman"/>
        </w:rPr>
        <w:t>was used to sort and select the top companies based on their market capitalization."</w:t>
      </w:r>
    </w:p>
    <w:p w14:paraId="420D0D46" w14:textId="2506C243" w:rsidR="00877123" w:rsidRDefault="00667E79" w:rsidP="0070574B">
      <w:pPr>
        <w:pStyle w:val="ListParagraph"/>
        <w:numPr>
          <w:ilvl w:val="0"/>
          <w:numId w:val="7"/>
        </w:numPr>
        <w:spacing w:before="240" w:after="240"/>
        <w:rPr>
          <w:rFonts w:ascii="Georgia" w:hAnsi="Georgia"/>
        </w:rPr>
      </w:pPr>
      <w:r w:rsidRPr="00877123">
        <w:rPr>
          <w:rFonts w:ascii="Georgia" w:hAnsi="Georgia"/>
          <w:b/>
          <w:bCs/>
          <w:i/>
          <w:iCs/>
        </w:rPr>
        <w:t>Company Financial Data:</w:t>
      </w:r>
      <w:r w:rsidR="0097260E" w:rsidRPr="0097260E">
        <w:rPr>
          <w:rFonts w:ascii="Georgia" w:hAnsi="Georgia"/>
        </w:rPr>
        <w:t xml:space="preserve"> </w:t>
      </w:r>
      <w:r w:rsidR="0097260E" w:rsidRPr="00667E79">
        <w:rPr>
          <w:rFonts w:ascii="Georgia" w:hAnsi="Georgia"/>
        </w:rPr>
        <w:t xml:space="preserve">Financial data for the selected companies, including earnings per share (EPS), revenues, and net income loss, </w:t>
      </w:r>
      <w:r w:rsidR="002270B0">
        <w:rPr>
          <w:rFonts w:ascii="Georgia" w:hAnsi="Georgia"/>
        </w:rPr>
        <w:t>were</w:t>
      </w:r>
      <w:r w:rsidR="0097260E" w:rsidRPr="00667E79">
        <w:rPr>
          <w:rFonts w:ascii="Georgia" w:hAnsi="Georgia"/>
        </w:rPr>
        <w:t xml:space="preserve"> gathered </w:t>
      </w:r>
      <w:r w:rsidR="002270B0">
        <w:rPr>
          <w:rFonts w:ascii="Georgia" w:hAnsi="Georgia"/>
        </w:rPr>
        <w:t>from</w:t>
      </w:r>
      <w:r w:rsidR="0097260E" w:rsidRPr="00667E79">
        <w:rPr>
          <w:rFonts w:ascii="Georgia" w:hAnsi="Georgia"/>
        </w:rPr>
        <w:t xml:space="preserve"> the Securities and Exchange Commission (SEC) filings </w:t>
      </w:r>
      <w:r w:rsidR="002270B0">
        <w:rPr>
          <w:rFonts w:ascii="Georgia" w:hAnsi="Georgia"/>
        </w:rPr>
        <w:t xml:space="preserve">that </w:t>
      </w:r>
      <w:r w:rsidR="0097260E" w:rsidRPr="00667E79">
        <w:rPr>
          <w:rFonts w:ascii="Georgia" w:hAnsi="Georgia"/>
        </w:rPr>
        <w:t xml:space="preserve">were accessed </w:t>
      </w:r>
      <w:r w:rsidR="00C60382">
        <w:rPr>
          <w:rFonts w:ascii="Georgia" w:hAnsi="Georgia"/>
        </w:rPr>
        <w:t>by</w:t>
      </w:r>
      <w:r w:rsidR="00877123">
        <w:rPr>
          <w:rFonts w:ascii="Georgia" w:hAnsi="Georgia"/>
        </w:rPr>
        <w:t xml:space="preserve"> API.</w:t>
      </w:r>
    </w:p>
    <w:p w14:paraId="38B4F5A1" w14:textId="270AF0A9" w:rsidR="00C60382" w:rsidRPr="00AD2854" w:rsidRDefault="00667E79" w:rsidP="00AD2854">
      <w:pPr>
        <w:pStyle w:val="ListParagraph"/>
        <w:numPr>
          <w:ilvl w:val="0"/>
          <w:numId w:val="7"/>
        </w:numPr>
        <w:spacing w:before="240" w:after="240"/>
        <w:rPr>
          <w:rFonts w:ascii="Georgia" w:hAnsi="Georgia"/>
        </w:rPr>
      </w:pPr>
      <w:r w:rsidRPr="00877123">
        <w:rPr>
          <w:rFonts w:ascii="Georgia" w:hAnsi="Georgia"/>
          <w:b/>
          <w:bCs/>
          <w:i/>
          <w:iCs/>
        </w:rPr>
        <w:t>Economic Indicators:</w:t>
      </w:r>
      <w:r w:rsidR="00877123">
        <w:rPr>
          <w:rFonts w:ascii="Georgia" w:hAnsi="Georgia"/>
        </w:rPr>
        <w:t xml:space="preserve"> </w:t>
      </w:r>
      <w:r w:rsidRPr="00877123">
        <w:rPr>
          <w:rFonts w:ascii="Georgia" w:hAnsi="Georgia"/>
        </w:rPr>
        <w:t xml:space="preserve">Economic indicators such as GDP growth, inflation rate, and unemployment rate were sourced from the Federal Reserve Economic Data (FRED) database using the </w:t>
      </w:r>
      <w:r w:rsidR="00877123">
        <w:rPr>
          <w:rFonts w:ascii="Georgia" w:hAnsi="Georgia"/>
        </w:rPr>
        <w:t>‘</w:t>
      </w:r>
      <w:r w:rsidRPr="00877123">
        <w:rPr>
          <w:rFonts w:ascii="Georgia" w:hAnsi="Georgia"/>
        </w:rPr>
        <w:t>fredapi</w:t>
      </w:r>
      <w:r w:rsidR="00877123">
        <w:rPr>
          <w:rFonts w:ascii="Georgia" w:hAnsi="Georgia"/>
        </w:rPr>
        <w:t>’</w:t>
      </w:r>
      <w:r w:rsidRPr="00877123">
        <w:rPr>
          <w:rFonts w:ascii="Georgia" w:hAnsi="Georgia"/>
        </w:rPr>
        <w:t xml:space="preserve"> Python library. These indicators provide a broader economic context affecting the market and companies.</w:t>
      </w:r>
    </w:p>
    <w:p w14:paraId="769284EC" w14:textId="77777777" w:rsidR="0091754C" w:rsidRDefault="00667E79" w:rsidP="0070574B">
      <w:pPr>
        <w:pStyle w:val="ListParagraph"/>
        <w:numPr>
          <w:ilvl w:val="0"/>
          <w:numId w:val="7"/>
        </w:numPr>
        <w:spacing w:before="240" w:after="240"/>
        <w:rPr>
          <w:rFonts w:ascii="Georgia" w:hAnsi="Georgia"/>
        </w:rPr>
      </w:pPr>
      <w:r w:rsidRPr="00016240">
        <w:rPr>
          <w:rFonts w:ascii="Georgia" w:hAnsi="Georgia"/>
          <w:b/>
          <w:bCs/>
          <w:i/>
          <w:iCs/>
        </w:rPr>
        <w:t>CIK Numbers and SEC Data:</w:t>
      </w:r>
      <w:r w:rsidR="00877123">
        <w:rPr>
          <w:rFonts w:ascii="Georgia" w:hAnsi="Georgia"/>
        </w:rPr>
        <w:t xml:space="preserve"> </w:t>
      </w:r>
      <w:r w:rsidRPr="00877123">
        <w:rPr>
          <w:rFonts w:ascii="Georgia" w:hAnsi="Georgia"/>
        </w:rPr>
        <w:t>CIK (Central Index Key) numbers, essential for accessing detailed financial reports from the SEC, were retrieved using a web request to the SEC's official website. This allowed for the collection of specific financial data directly related to each company.</w:t>
      </w:r>
    </w:p>
    <w:p w14:paraId="28388FC1" w14:textId="34A52E34" w:rsidR="00A7785C" w:rsidRPr="00667E79" w:rsidRDefault="00667E79" w:rsidP="0070574B">
      <w:pPr>
        <w:pStyle w:val="ListParagraph"/>
        <w:numPr>
          <w:ilvl w:val="0"/>
          <w:numId w:val="7"/>
        </w:numPr>
        <w:spacing w:before="240" w:after="240"/>
        <w:rPr>
          <w:rFonts w:ascii="Georgia" w:hAnsi="Georgia" w:cs="Times New Roman"/>
        </w:rPr>
      </w:pPr>
      <w:r w:rsidRPr="00016240">
        <w:rPr>
          <w:rFonts w:ascii="Georgia" w:hAnsi="Georgia"/>
          <w:b/>
          <w:bCs/>
          <w:i/>
          <w:iCs/>
        </w:rPr>
        <w:t>Stock Price Data:</w:t>
      </w:r>
      <w:r w:rsidR="00DA7E01">
        <w:rPr>
          <w:rFonts w:ascii="Georgia" w:hAnsi="Georgia"/>
        </w:rPr>
        <w:t xml:space="preserve"> </w:t>
      </w:r>
      <w:r w:rsidRPr="00DA7E01">
        <w:rPr>
          <w:rFonts w:ascii="Georgia" w:hAnsi="Georgia"/>
        </w:rPr>
        <w:t>Historical stock price data was downloaded using the yfinance library. This data included various price metrics such as opening, closing, high, and low prices, enabling the analysis of stock price trends over the years.</w:t>
      </w:r>
    </w:p>
    <w:p w14:paraId="4B266039" w14:textId="77777777" w:rsidR="00016240" w:rsidRPr="00016240" w:rsidRDefault="00016240" w:rsidP="00016240">
      <w:pPr>
        <w:spacing w:before="240" w:after="240"/>
        <w:rPr>
          <w:rFonts w:ascii="Georgia" w:hAnsi="Georgia"/>
        </w:rPr>
      </w:pPr>
    </w:p>
    <w:p w14:paraId="06B35A91" w14:textId="7885962D" w:rsidR="00A7785C" w:rsidRDefault="00A7785C" w:rsidP="00905201">
      <w:pPr>
        <w:pStyle w:val="ListParagraph"/>
        <w:numPr>
          <w:ilvl w:val="0"/>
          <w:numId w:val="1"/>
        </w:numPr>
        <w:spacing w:before="240" w:after="240" w:line="360" w:lineRule="auto"/>
        <w:rPr>
          <w:rFonts w:ascii="Georgia" w:hAnsi="Georgia" w:cs="Times New Roman"/>
        </w:rPr>
      </w:pPr>
      <w:r w:rsidRPr="00667E79">
        <w:rPr>
          <w:rFonts w:ascii="Georgia" w:hAnsi="Georgia" w:cs="Times New Roman"/>
        </w:rPr>
        <w:t>Data Cleaning</w:t>
      </w:r>
    </w:p>
    <w:p w14:paraId="18BF6862" w14:textId="0C298B2F" w:rsidR="00B3075C" w:rsidRDefault="00B3075C" w:rsidP="00B3075C">
      <w:pPr>
        <w:rPr>
          <w:rFonts w:ascii="Georgia" w:hAnsi="Georgia"/>
        </w:rPr>
      </w:pPr>
      <w:r w:rsidRPr="00072A70">
        <w:rPr>
          <w:rFonts w:ascii="Georgia" w:hAnsi="Georgia"/>
        </w:rPr>
        <w:t>All the collected data was then integrated and prepared for analysis. This involved merging, formatting, and structuring the data into a consistent format suitable for the subsequent stages of cleaning, analysis, and visualization.</w:t>
      </w:r>
    </w:p>
    <w:p w14:paraId="48A01322" w14:textId="77777777" w:rsidR="00AE312F" w:rsidRPr="00AE312F" w:rsidRDefault="00AE312F" w:rsidP="00AE312F">
      <w:pPr>
        <w:rPr>
          <w:rFonts w:ascii="Georgia" w:hAnsi="Georgia"/>
        </w:rPr>
      </w:pPr>
    </w:p>
    <w:p w14:paraId="50FEFC8E" w14:textId="3703E965" w:rsidR="00AE312F" w:rsidRDefault="00AE312F" w:rsidP="00AE312F">
      <w:pPr>
        <w:rPr>
          <w:rFonts w:ascii="Georgia" w:hAnsi="Georgia"/>
        </w:rPr>
      </w:pPr>
      <w:r w:rsidRPr="00AE312F">
        <w:rPr>
          <w:rFonts w:ascii="Georgia" w:hAnsi="Georgia"/>
        </w:rPr>
        <w:t xml:space="preserve">This section outlines the critical data cleaning and preprocessing steps undertaken to ensure the accuracy and reliability of the data used in our </w:t>
      </w:r>
      <w:r w:rsidR="0017622D" w:rsidRPr="00AE312F">
        <w:rPr>
          <w:rFonts w:ascii="Georgia" w:hAnsi="Georgia"/>
        </w:rPr>
        <w:t>analysis.</w:t>
      </w:r>
    </w:p>
    <w:p w14:paraId="30954B0B" w14:textId="0C245A8A" w:rsidR="0017622D" w:rsidRPr="00AE312F" w:rsidRDefault="0017622D" w:rsidP="00AE312F">
      <w:pPr>
        <w:rPr>
          <w:rFonts w:ascii="Georgia" w:hAnsi="Georgia"/>
        </w:rPr>
      </w:pPr>
    </w:p>
    <w:p w14:paraId="2CF1569D" w14:textId="77777777" w:rsidR="0063183A" w:rsidRDefault="00AE312F" w:rsidP="0070574B">
      <w:pPr>
        <w:pStyle w:val="ListParagraph"/>
        <w:numPr>
          <w:ilvl w:val="0"/>
          <w:numId w:val="8"/>
        </w:numPr>
        <w:rPr>
          <w:rFonts w:ascii="Georgia" w:hAnsi="Georgia"/>
        </w:rPr>
      </w:pPr>
      <w:r w:rsidRPr="00AE6292">
        <w:rPr>
          <w:rFonts w:ascii="Georgia" w:hAnsi="Georgia"/>
          <w:b/>
          <w:bCs/>
        </w:rPr>
        <w:t>Market Capitalization Filter:</w:t>
      </w:r>
      <w:r w:rsidRPr="0017622D">
        <w:rPr>
          <w:rFonts w:ascii="Georgia" w:hAnsi="Georgia"/>
        </w:rPr>
        <w:t xml:space="preserve"> The initial step involved sorting the market capitalization data (sourced from 'marketcap.csv') by rank. We selected the top 20 companies </w:t>
      </w:r>
      <w:r w:rsidR="0063183A">
        <w:rPr>
          <w:rFonts w:ascii="Georgia" w:hAnsi="Georgia"/>
        </w:rPr>
        <w:t xml:space="preserve">from the data </w:t>
      </w:r>
      <w:r w:rsidRPr="0017622D">
        <w:rPr>
          <w:rFonts w:ascii="Georgia" w:hAnsi="Georgia"/>
        </w:rPr>
        <w:t>for our analysis.</w:t>
      </w:r>
    </w:p>
    <w:p w14:paraId="5D1A6457" w14:textId="77777777" w:rsidR="00163DD7" w:rsidRDefault="00AE312F" w:rsidP="0070574B">
      <w:pPr>
        <w:pStyle w:val="ListParagraph"/>
        <w:numPr>
          <w:ilvl w:val="0"/>
          <w:numId w:val="8"/>
        </w:numPr>
        <w:rPr>
          <w:rFonts w:ascii="Georgia" w:hAnsi="Georgia"/>
        </w:rPr>
      </w:pPr>
      <w:r w:rsidRPr="00AE6292">
        <w:rPr>
          <w:rFonts w:ascii="Georgia" w:hAnsi="Georgia"/>
          <w:b/>
          <w:bCs/>
        </w:rPr>
        <w:t>Initializing Dataframes:</w:t>
      </w:r>
      <w:r w:rsidRPr="0063183A">
        <w:rPr>
          <w:rFonts w:ascii="Georgia" w:hAnsi="Georgia"/>
        </w:rPr>
        <w:t xml:space="preserve"> For each of the top 20 companies, individual </w:t>
      </w:r>
      <w:r w:rsidR="0063183A">
        <w:rPr>
          <w:rFonts w:ascii="Georgia" w:hAnsi="Georgia"/>
        </w:rPr>
        <w:t>d</w:t>
      </w:r>
      <w:r w:rsidR="0063183A" w:rsidRPr="0063183A">
        <w:rPr>
          <w:rFonts w:ascii="Georgia" w:hAnsi="Georgia"/>
        </w:rPr>
        <w:t>ataframes</w:t>
      </w:r>
      <w:r w:rsidRPr="0063183A">
        <w:rPr>
          <w:rFonts w:ascii="Georgia" w:hAnsi="Georgia"/>
        </w:rPr>
        <w:t xml:space="preserve"> were initialized for the years 2003 to 2023. These dataframes included placeholders for various financial metrics such as stock price, market cap, revenue, EPS, and others, which were initially set to zero</w:t>
      </w:r>
      <w:r w:rsidR="00163DD7">
        <w:rPr>
          <w:rFonts w:ascii="Georgia" w:hAnsi="Georgia"/>
        </w:rPr>
        <w:t>.</w:t>
      </w:r>
    </w:p>
    <w:p w14:paraId="01D62176" w14:textId="77777777" w:rsidR="00057B7A" w:rsidRDefault="00AE312F" w:rsidP="0070574B">
      <w:pPr>
        <w:pStyle w:val="ListParagraph"/>
        <w:numPr>
          <w:ilvl w:val="0"/>
          <w:numId w:val="8"/>
        </w:numPr>
        <w:rPr>
          <w:rFonts w:ascii="Georgia" w:hAnsi="Georgia"/>
        </w:rPr>
      </w:pPr>
      <w:r w:rsidRPr="00AE6292">
        <w:rPr>
          <w:rFonts w:ascii="Georgia" w:hAnsi="Georgia"/>
          <w:b/>
          <w:bCs/>
        </w:rPr>
        <w:lastRenderedPageBreak/>
        <w:t>Reindexing and Sorting:</w:t>
      </w:r>
      <w:r w:rsidRPr="00163DD7">
        <w:rPr>
          <w:rFonts w:ascii="Georgia" w:hAnsi="Georgia"/>
        </w:rPr>
        <w:t xml:space="preserve"> The dataframes </w:t>
      </w:r>
      <w:r w:rsidR="00057B7A">
        <w:rPr>
          <w:rFonts w:ascii="Georgia" w:hAnsi="Georgia"/>
        </w:rPr>
        <w:t xml:space="preserve">were </w:t>
      </w:r>
      <w:r w:rsidR="00F856AF">
        <w:rPr>
          <w:rFonts w:ascii="Georgia" w:hAnsi="Georgia"/>
        </w:rPr>
        <w:t xml:space="preserve">sorted </w:t>
      </w:r>
      <w:r w:rsidRPr="00163DD7">
        <w:rPr>
          <w:rFonts w:ascii="Georgia" w:hAnsi="Georgia"/>
        </w:rPr>
        <w:t>based on the compan</w:t>
      </w:r>
      <w:r w:rsidR="00057B7A">
        <w:rPr>
          <w:rFonts w:ascii="Georgia" w:hAnsi="Georgia"/>
        </w:rPr>
        <w:t>ies’</w:t>
      </w:r>
      <w:r w:rsidRPr="00163DD7">
        <w:rPr>
          <w:rFonts w:ascii="Georgia" w:hAnsi="Georgia"/>
        </w:rPr>
        <w:t xml:space="preserve"> </w:t>
      </w:r>
      <w:r w:rsidR="007A7BBF">
        <w:rPr>
          <w:rFonts w:ascii="Georgia" w:hAnsi="Georgia"/>
        </w:rPr>
        <w:t>market capitalization</w:t>
      </w:r>
      <w:r w:rsidR="00057B7A">
        <w:rPr>
          <w:rFonts w:ascii="Georgia" w:hAnsi="Georgia"/>
        </w:rPr>
        <w:t>s for each given and</w:t>
      </w:r>
      <w:r w:rsidR="00057B7A" w:rsidRPr="00163DD7">
        <w:rPr>
          <w:rFonts w:ascii="Georgia" w:hAnsi="Georgia"/>
        </w:rPr>
        <w:t xml:space="preserve"> reindexed</w:t>
      </w:r>
      <w:r w:rsidR="00057B7A">
        <w:rPr>
          <w:rFonts w:ascii="Georgia" w:hAnsi="Georgia"/>
        </w:rPr>
        <w:t xml:space="preserve">. </w:t>
      </w:r>
      <w:r w:rsidRPr="00163DD7">
        <w:rPr>
          <w:rFonts w:ascii="Georgia" w:hAnsi="Georgia"/>
        </w:rPr>
        <w:t>This reindexing facilitated easier data manipulation and integration in subsequent steps.</w:t>
      </w:r>
    </w:p>
    <w:p w14:paraId="30D9FB55" w14:textId="77777777" w:rsidR="00412946" w:rsidRDefault="00AE312F" w:rsidP="0070574B">
      <w:pPr>
        <w:pStyle w:val="ListParagraph"/>
        <w:numPr>
          <w:ilvl w:val="0"/>
          <w:numId w:val="8"/>
        </w:numPr>
        <w:rPr>
          <w:rFonts w:ascii="Georgia" w:hAnsi="Georgia"/>
        </w:rPr>
      </w:pPr>
      <w:r w:rsidRPr="00AE6292">
        <w:rPr>
          <w:rFonts w:ascii="Georgia" w:hAnsi="Georgia"/>
          <w:b/>
          <w:bCs/>
        </w:rPr>
        <w:t>Handling Missing Values:</w:t>
      </w:r>
      <w:r w:rsidRPr="00057B7A">
        <w:rPr>
          <w:rFonts w:ascii="Georgia" w:hAnsi="Georgia"/>
        </w:rPr>
        <w:t xml:space="preserve"> In the process of retrieving financial data from different sources, missing values were encountered. These were managed by setting respective fields to 'None' when data was unavailable, ensuring consistency across the dataframes.</w:t>
      </w:r>
    </w:p>
    <w:p w14:paraId="2EA3CD25" w14:textId="77777777" w:rsidR="00F70C32" w:rsidRDefault="00AE312F" w:rsidP="0070574B">
      <w:pPr>
        <w:pStyle w:val="ListParagraph"/>
        <w:numPr>
          <w:ilvl w:val="0"/>
          <w:numId w:val="8"/>
        </w:numPr>
        <w:rPr>
          <w:rFonts w:ascii="Georgia" w:hAnsi="Georgia"/>
        </w:rPr>
      </w:pPr>
      <w:r w:rsidRPr="00AE6292">
        <w:rPr>
          <w:rFonts w:ascii="Georgia" w:hAnsi="Georgia"/>
          <w:b/>
          <w:bCs/>
        </w:rPr>
        <w:t>Adjusting Time Series Data:</w:t>
      </w:r>
      <w:r w:rsidRPr="00412946">
        <w:rPr>
          <w:rFonts w:ascii="Georgia" w:hAnsi="Georgia"/>
        </w:rPr>
        <w:t xml:space="preserve"> For stock market data retrieved via yfinance, adjustments were made to align data points with their corresponding years. This involved handling </w:t>
      </w:r>
      <w:r w:rsidR="00F70C32" w:rsidRPr="00412946">
        <w:rPr>
          <w:rFonts w:ascii="Georgia" w:hAnsi="Georgia"/>
        </w:rPr>
        <w:t>time zone</w:t>
      </w:r>
      <w:r w:rsidRPr="00412946">
        <w:rPr>
          <w:rFonts w:ascii="Georgia" w:hAnsi="Georgia"/>
        </w:rPr>
        <w:t xml:space="preserve"> differences and ensuring that data for each year correctly reflected the market status at that year's end.</w:t>
      </w:r>
    </w:p>
    <w:p w14:paraId="0D60EF70" w14:textId="77777777" w:rsidR="002364DD" w:rsidRDefault="00AE312F" w:rsidP="0070574B">
      <w:pPr>
        <w:pStyle w:val="ListParagraph"/>
        <w:numPr>
          <w:ilvl w:val="0"/>
          <w:numId w:val="8"/>
        </w:numPr>
        <w:rPr>
          <w:rFonts w:ascii="Georgia" w:hAnsi="Georgia"/>
        </w:rPr>
      </w:pPr>
      <w:r w:rsidRPr="00AE6292">
        <w:rPr>
          <w:rFonts w:ascii="Georgia" w:hAnsi="Georgia"/>
          <w:b/>
          <w:bCs/>
        </w:rPr>
        <w:t>Updating Financial Metrics:</w:t>
      </w:r>
      <w:r w:rsidRPr="00F70C32">
        <w:rPr>
          <w:rFonts w:ascii="Georgia" w:hAnsi="Georgia"/>
        </w:rPr>
        <w:t xml:space="preserve"> The company-specific dataframes were updated with actual financial data, including </w:t>
      </w:r>
      <w:r w:rsidR="001F2E64">
        <w:rPr>
          <w:rFonts w:ascii="Georgia" w:hAnsi="Georgia"/>
        </w:rPr>
        <w:t>‘</w:t>
      </w:r>
      <w:r w:rsidRPr="00F70C32">
        <w:rPr>
          <w:rFonts w:ascii="Georgia" w:hAnsi="Georgia"/>
        </w:rPr>
        <w:t>EPS</w:t>
      </w:r>
      <w:r w:rsidR="001F2E64">
        <w:rPr>
          <w:rFonts w:ascii="Georgia" w:hAnsi="Georgia"/>
        </w:rPr>
        <w:t xml:space="preserve"> (Earnings per Share)’,</w:t>
      </w:r>
      <w:r w:rsidRPr="00F70C32">
        <w:rPr>
          <w:rFonts w:ascii="Georgia" w:hAnsi="Georgia"/>
        </w:rPr>
        <w:t xml:space="preserve"> </w:t>
      </w:r>
      <w:r w:rsidR="001F2E64">
        <w:rPr>
          <w:rFonts w:ascii="Georgia" w:hAnsi="Georgia"/>
        </w:rPr>
        <w:t>‘R</w:t>
      </w:r>
      <w:r w:rsidRPr="00F70C32">
        <w:rPr>
          <w:rFonts w:ascii="Georgia" w:hAnsi="Georgia"/>
        </w:rPr>
        <w:t>evenue</w:t>
      </w:r>
      <w:r w:rsidR="001F2E64">
        <w:rPr>
          <w:rFonts w:ascii="Georgia" w:hAnsi="Georgia"/>
        </w:rPr>
        <w:t>s’</w:t>
      </w:r>
      <w:r w:rsidRPr="00F70C32">
        <w:rPr>
          <w:rFonts w:ascii="Georgia" w:hAnsi="Georgia"/>
        </w:rPr>
        <w:t>,</w:t>
      </w:r>
      <w:r w:rsidR="001F2E64">
        <w:rPr>
          <w:rFonts w:ascii="Georgia" w:hAnsi="Georgia"/>
        </w:rPr>
        <w:t xml:space="preserve"> and ‘NetIncomeLoss’</w:t>
      </w:r>
      <w:r w:rsidRPr="00F70C32">
        <w:rPr>
          <w:rFonts w:ascii="Georgia" w:hAnsi="Georgia"/>
        </w:rPr>
        <w:t>. This step involved systematically replacing the initial placeholder values with the real data obtained from the various sources.</w:t>
      </w:r>
    </w:p>
    <w:p w14:paraId="02847AF4" w14:textId="0EDDC4C7" w:rsidR="00AE312F" w:rsidRDefault="00AE312F" w:rsidP="0070574B">
      <w:pPr>
        <w:pStyle w:val="ListParagraph"/>
        <w:numPr>
          <w:ilvl w:val="0"/>
          <w:numId w:val="8"/>
        </w:numPr>
        <w:rPr>
          <w:rFonts w:ascii="Georgia" w:hAnsi="Georgia"/>
        </w:rPr>
      </w:pPr>
      <w:r w:rsidRPr="00AE6292">
        <w:rPr>
          <w:rFonts w:ascii="Georgia" w:hAnsi="Georgia"/>
          <w:b/>
          <w:bCs/>
        </w:rPr>
        <w:t>Calculation of Key Metrics:</w:t>
      </w:r>
      <w:r w:rsidRPr="002364DD">
        <w:rPr>
          <w:rFonts w:ascii="Georgia" w:hAnsi="Georgia"/>
        </w:rPr>
        <w:t xml:space="preserve"> We computed crucial financial ratios and growth metrics, such as P/E Ratio and Revenue Growth, directly within the dataframes. This involved writing custom functions to calculate these metrics based on the available financial data.</w:t>
      </w:r>
    </w:p>
    <w:p w14:paraId="6F068F93" w14:textId="3FD9867F" w:rsidR="00B05AB8" w:rsidRPr="006F095A" w:rsidRDefault="00AE312F" w:rsidP="0070574B">
      <w:pPr>
        <w:pStyle w:val="ListParagraph"/>
        <w:numPr>
          <w:ilvl w:val="0"/>
          <w:numId w:val="8"/>
        </w:numPr>
        <w:rPr>
          <w:rFonts w:ascii="Georgia" w:hAnsi="Georgia"/>
        </w:rPr>
      </w:pPr>
      <w:r w:rsidRPr="00AE6292">
        <w:rPr>
          <w:rFonts w:ascii="Georgia" w:hAnsi="Georgia"/>
          <w:b/>
          <w:bCs/>
        </w:rPr>
        <w:t>Consolidation for Analysis:</w:t>
      </w:r>
      <w:r w:rsidRPr="00DA1AFD">
        <w:rPr>
          <w:rFonts w:ascii="Georgia" w:hAnsi="Georgia"/>
        </w:rPr>
        <w:t xml:space="preserve"> Finally, the cleaned and updated company-specific dataframes were consolidated into a single, comprehensive dataframe. This unified dataframe served as the foundation for the subsequent data analysis, visualization, and modeling stages."</w:t>
      </w:r>
    </w:p>
    <w:p w14:paraId="03E7B948" w14:textId="61F184DD" w:rsidR="5FB367D0" w:rsidRDefault="5FB367D0" w:rsidP="5FB367D0">
      <w:pPr>
        <w:pStyle w:val="ListParagraph"/>
        <w:spacing w:before="240" w:after="240" w:line="360" w:lineRule="auto"/>
        <w:rPr>
          <w:rFonts w:ascii="Georgia" w:hAnsi="Georgia" w:cs="Times New Roman"/>
        </w:rPr>
      </w:pPr>
    </w:p>
    <w:p w14:paraId="46E093B3" w14:textId="369B1FD6" w:rsidR="006F095A" w:rsidRPr="006F095A" w:rsidRDefault="006F095A" w:rsidP="00B02C28">
      <w:pPr>
        <w:pStyle w:val="ListParagraph"/>
        <w:numPr>
          <w:ilvl w:val="0"/>
          <w:numId w:val="1"/>
        </w:numPr>
        <w:spacing w:before="240" w:after="240" w:line="360" w:lineRule="auto"/>
        <w:rPr>
          <w:rFonts w:ascii="Georgia" w:hAnsi="Georgia" w:cs="Times New Roman"/>
        </w:rPr>
      </w:pPr>
      <w:r w:rsidRPr="006F095A">
        <w:rPr>
          <w:rFonts w:ascii="Georgia" w:hAnsi="Georgia" w:cs="Times New Roman"/>
        </w:rPr>
        <w:t>Data Analysis</w:t>
      </w:r>
    </w:p>
    <w:p w14:paraId="337D2E91" w14:textId="2BED14E1" w:rsidR="0070574B" w:rsidRPr="00B24BB6" w:rsidRDefault="0070574B" w:rsidP="00B02C28">
      <w:pPr>
        <w:spacing w:before="240" w:after="240"/>
        <w:ind w:left="360"/>
        <w:rPr>
          <w:rFonts w:ascii="Georgia" w:hAnsi="Georgia"/>
          <w:i/>
          <w:iCs/>
        </w:rPr>
      </w:pPr>
      <w:r w:rsidRPr="00B24BB6">
        <w:rPr>
          <w:rFonts w:ascii="Georgia" w:hAnsi="Georgia"/>
          <w:i/>
          <w:iCs/>
        </w:rPr>
        <w:t>This section delves into the methodologies and outcomes of our analysis, focusing on predicting the investment potential of top US companies</w:t>
      </w:r>
      <w:r w:rsidR="00B24BB6">
        <w:rPr>
          <w:rFonts w:ascii="Georgia" w:hAnsi="Georgia"/>
          <w:i/>
          <w:iCs/>
        </w:rPr>
        <w:t xml:space="preserve">. Predicting the </w:t>
      </w:r>
      <w:r w:rsidR="00C628BF">
        <w:rPr>
          <w:rFonts w:ascii="Georgia" w:hAnsi="Georgia"/>
          <w:i/>
          <w:iCs/>
        </w:rPr>
        <w:t xml:space="preserve">investment potential of </w:t>
      </w:r>
      <w:r w:rsidRPr="00B24BB6">
        <w:rPr>
          <w:rFonts w:ascii="Georgia" w:hAnsi="Georgia"/>
          <w:i/>
          <w:iCs/>
        </w:rPr>
        <w:t>Microsoft for the year 2023</w:t>
      </w:r>
      <w:r w:rsidR="00C628BF">
        <w:rPr>
          <w:rFonts w:ascii="Georgia" w:hAnsi="Georgia"/>
          <w:i/>
          <w:iCs/>
        </w:rPr>
        <w:t xml:space="preserve"> was used as an example</w:t>
      </w:r>
      <w:r w:rsidRPr="00B24BB6">
        <w:rPr>
          <w:rFonts w:ascii="Georgia" w:hAnsi="Georgia"/>
          <w:i/>
          <w:iCs/>
        </w:rPr>
        <w:t>. Our approach combines historical data analysis with future projections to offer a robust method for assessing investment potential in the US stock market.</w:t>
      </w:r>
    </w:p>
    <w:p w14:paraId="30A9B919" w14:textId="7F8A4200" w:rsidR="00C628BF" w:rsidRPr="00B02C28" w:rsidRDefault="00350D5F" w:rsidP="00B02C28">
      <w:pPr>
        <w:pStyle w:val="ListParagraph"/>
        <w:numPr>
          <w:ilvl w:val="0"/>
          <w:numId w:val="9"/>
        </w:numPr>
        <w:spacing w:before="240" w:after="240"/>
        <w:rPr>
          <w:rFonts w:ascii="Georgia" w:hAnsi="Georgia"/>
        </w:rPr>
      </w:pPr>
      <w:r w:rsidRPr="00B02C28">
        <w:rPr>
          <w:rFonts w:ascii="Georgia" w:hAnsi="Georgia"/>
        </w:rPr>
        <w:t>Model Selection:</w:t>
      </w:r>
    </w:p>
    <w:p w14:paraId="6ED30FD7" w14:textId="5452BB46" w:rsidR="005E24BF" w:rsidRDefault="00350D5F" w:rsidP="005E24BF">
      <w:pPr>
        <w:pStyle w:val="ListParagraph"/>
        <w:numPr>
          <w:ilvl w:val="1"/>
          <w:numId w:val="9"/>
        </w:numPr>
        <w:spacing w:before="240" w:after="240"/>
        <w:rPr>
          <w:rFonts w:ascii="Georgia" w:hAnsi="Georgia"/>
        </w:rPr>
      </w:pPr>
      <w:r w:rsidRPr="00C628BF">
        <w:rPr>
          <w:rFonts w:ascii="Georgia" w:hAnsi="Georgia"/>
        </w:rPr>
        <w:t>Rationale for Model Choice</w:t>
      </w:r>
    </w:p>
    <w:p w14:paraId="7A2EC633" w14:textId="695E2D15" w:rsidR="00350D5F" w:rsidRPr="005E24BF" w:rsidRDefault="00350D5F" w:rsidP="005E24BF">
      <w:pPr>
        <w:pStyle w:val="ListParagraph"/>
        <w:numPr>
          <w:ilvl w:val="2"/>
          <w:numId w:val="9"/>
        </w:numPr>
        <w:spacing w:before="240" w:after="240"/>
        <w:rPr>
          <w:rFonts w:ascii="Georgia" w:hAnsi="Georgia"/>
        </w:rPr>
      </w:pPr>
      <w:r w:rsidRPr="005E24BF">
        <w:rPr>
          <w:rFonts w:ascii="Georgia" w:hAnsi="Georgia"/>
        </w:rPr>
        <w:t>The RandomForestClassifier was chosen due to its proficiency in handling complex datasets and its capability to classify the target variable – the 'Final Score' – into five distinct classes. These classes represent varying levels of investment recommendation, with 5 indicating a strong recommendation to invest and 1 suggesting a more cautious approach.</w:t>
      </w:r>
    </w:p>
    <w:p w14:paraId="6F7695B9" w14:textId="77777777" w:rsidR="00350D5F" w:rsidRPr="00127A3B" w:rsidRDefault="00350D5F" w:rsidP="00B02C28">
      <w:pPr>
        <w:pStyle w:val="ListParagraph"/>
        <w:numPr>
          <w:ilvl w:val="0"/>
          <w:numId w:val="9"/>
        </w:numPr>
        <w:spacing w:before="240" w:after="240"/>
        <w:rPr>
          <w:rFonts w:ascii="Georgia" w:hAnsi="Georgia"/>
        </w:rPr>
      </w:pPr>
      <w:r w:rsidRPr="00127A3B">
        <w:rPr>
          <w:rFonts w:ascii="Georgia" w:hAnsi="Georgia"/>
        </w:rPr>
        <w:t>Model Training and Evaluation:</w:t>
      </w:r>
    </w:p>
    <w:p w14:paraId="343E2014" w14:textId="77777777" w:rsidR="001C0EDB" w:rsidRDefault="00350D5F" w:rsidP="001C0EDB">
      <w:pPr>
        <w:pStyle w:val="ListParagraph"/>
        <w:numPr>
          <w:ilvl w:val="1"/>
          <w:numId w:val="9"/>
        </w:numPr>
        <w:spacing w:before="240" w:after="240"/>
        <w:rPr>
          <w:rFonts w:ascii="Georgia" w:hAnsi="Georgia"/>
        </w:rPr>
      </w:pPr>
      <w:r w:rsidRPr="00127A3B">
        <w:rPr>
          <w:rFonts w:ascii="Georgia" w:hAnsi="Georgia"/>
        </w:rPr>
        <w:t>Training Process</w:t>
      </w:r>
    </w:p>
    <w:p w14:paraId="265AF8C7" w14:textId="75FD39C6" w:rsidR="00E37CA8" w:rsidRDefault="00350D5F" w:rsidP="00E37CA8">
      <w:pPr>
        <w:pStyle w:val="ListParagraph"/>
        <w:numPr>
          <w:ilvl w:val="2"/>
          <w:numId w:val="9"/>
        </w:numPr>
        <w:spacing w:before="240" w:after="240"/>
        <w:rPr>
          <w:rFonts w:ascii="Georgia" w:hAnsi="Georgia"/>
        </w:rPr>
      </w:pPr>
      <w:r w:rsidRPr="001C0EDB">
        <w:rPr>
          <w:rFonts w:ascii="Georgia" w:hAnsi="Georgia"/>
        </w:rPr>
        <w:t xml:space="preserve">The RandomForestClassifier was trained on standardized data, encompassing a wide range of financial metrics and economic indicators for each company over the past 20 years. </w:t>
      </w:r>
    </w:p>
    <w:p w14:paraId="6C2F5076" w14:textId="77777777" w:rsidR="00E37CA8" w:rsidRPr="00E37CA8" w:rsidRDefault="00E37CA8" w:rsidP="00E37CA8">
      <w:pPr>
        <w:pStyle w:val="ListParagraph"/>
        <w:spacing w:before="240" w:after="240"/>
        <w:ind w:left="1800"/>
        <w:rPr>
          <w:rFonts w:ascii="Georgia" w:hAnsi="Georgia"/>
        </w:rPr>
      </w:pPr>
    </w:p>
    <w:p w14:paraId="244DFD55" w14:textId="77777777" w:rsidR="001C0EDB" w:rsidRDefault="00350D5F" w:rsidP="001C0EDB">
      <w:pPr>
        <w:pStyle w:val="ListParagraph"/>
        <w:numPr>
          <w:ilvl w:val="1"/>
          <w:numId w:val="9"/>
        </w:numPr>
        <w:spacing w:before="240" w:after="240"/>
        <w:rPr>
          <w:rFonts w:ascii="Georgia" w:hAnsi="Georgia"/>
        </w:rPr>
      </w:pPr>
      <w:r w:rsidRPr="00E22270">
        <w:rPr>
          <w:rFonts w:ascii="Georgia" w:hAnsi="Georgia"/>
        </w:rPr>
        <w:lastRenderedPageBreak/>
        <w:t>Evaluation Metrics</w:t>
      </w:r>
    </w:p>
    <w:p w14:paraId="3FCA3C45" w14:textId="3CF45FF8" w:rsidR="00350D5F" w:rsidRPr="001C0EDB" w:rsidRDefault="00350D5F" w:rsidP="001C0EDB">
      <w:pPr>
        <w:pStyle w:val="ListParagraph"/>
        <w:numPr>
          <w:ilvl w:val="2"/>
          <w:numId w:val="9"/>
        </w:numPr>
        <w:spacing w:before="240" w:after="240"/>
        <w:rPr>
          <w:rFonts w:ascii="Georgia" w:hAnsi="Georgia"/>
        </w:rPr>
      </w:pPr>
      <w:r w:rsidRPr="001C0EDB">
        <w:rPr>
          <w:rFonts w:ascii="Georgia" w:hAnsi="Georgia"/>
        </w:rPr>
        <w:t>The model's performance was evaluated based on accuracy, supported by a detailed classification report. These metrics provided insights into the model's effectiveness in correctly predicting the 'Final Score' for each company.</w:t>
      </w:r>
    </w:p>
    <w:p w14:paraId="3546C9DE" w14:textId="6A373F57" w:rsidR="005E24BF" w:rsidRDefault="00350D5F" w:rsidP="00B02C28">
      <w:pPr>
        <w:pStyle w:val="ListParagraph"/>
        <w:numPr>
          <w:ilvl w:val="0"/>
          <w:numId w:val="9"/>
        </w:numPr>
        <w:spacing w:before="240" w:after="240"/>
        <w:rPr>
          <w:rFonts w:ascii="Georgia" w:hAnsi="Georgia"/>
        </w:rPr>
      </w:pPr>
      <w:r w:rsidRPr="00B02C28">
        <w:rPr>
          <w:rFonts w:ascii="Georgia" w:hAnsi="Georgia"/>
        </w:rPr>
        <w:t>Future Performance Forecasting</w:t>
      </w:r>
      <w:r w:rsidR="002A2623">
        <w:rPr>
          <w:rFonts w:ascii="Georgia" w:hAnsi="Georgia"/>
        </w:rPr>
        <w:t>:</w:t>
      </w:r>
    </w:p>
    <w:p w14:paraId="074C6AD1" w14:textId="77777777" w:rsidR="001C0EDB" w:rsidRDefault="00350D5F" w:rsidP="001C0EDB">
      <w:pPr>
        <w:pStyle w:val="ListParagraph"/>
        <w:numPr>
          <w:ilvl w:val="1"/>
          <w:numId w:val="9"/>
        </w:numPr>
        <w:spacing w:before="240" w:after="240"/>
        <w:rPr>
          <w:rFonts w:ascii="Georgia" w:hAnsi="Georgia"/>
        </w:rPr>
      </w:pPr>
      <w:r w:rsidRPr="005E24BF">
        <w:rPr>
          <w:rFonts w:ascii="Georgia" w:hAnsi="Georgia"/>
        </w:rPr>
        <w:t>Utilization of ARIMA Model</w:t>
      </w:r>
    </w:p>
    <w:p w14:paraId="268D3C8F" w14:textId="77777777" w:rsidR="00ED295F" w:rsidRDefault="00350D5F" w:rsidP="00ED295F">
      <w:pPr>
        <w:pStyle w:val="ListParagraph"/>
        <w:numPr>
          <w:ilvl w:val="2"/>
          <w:numId w:val="9"/>
        </w:numPr>
        <w:spacing w:before="240" w:after="240"/>
        <w:rPr>
          <w:rFonts w:ascii="Georgia" w:hAnsi="Georgia"/>
        </w:rPr>
      </w:pPr>
      <w:r w:rsidRPr="001C0EDB">
        <w:rPr>
          <w:rFonts w:ascii="Georgia" w:hAnsi="Georgia"/>
        </w:rPr>
        <w:t>To forecast the future performance of Microsoft for the year 2023, we employed the ARIMA model. ARIMA is particularly effective in capturing historical trends and patterns, making it ideal for projecting financial and economic features of a company into the future.</w:t>
      </w:r>
    </w:p>
    <w:p w14:paraId="2DBF2066" w14:textId="77777777" w:rsidR="00ED295F" w:rsidRDefault="00350D5F" w:rsidP="0070574B">
      <w:pPr>
        <w:pStyle w:val="ListParagraph"/>
        <w:numPr>
          <w:ilvl w:val="0"/>
          <w:numId w:val="9"/>
        </w:numPr>
        <w:spacing w:before="240" w:after="240"/>
        <w:rPr>
          <w:rFonts w:ascii="Georgia" w:hAnsi="Georgia"/>
        </w:rPr>
      </w:pPr>
      <w:r w:rsidRPr="00ED295F">
        <w:rPr>
          <w:rFonts w:ascii="Georgia" w:hAnsi="Georgia"/>
        </w:rPr>
        <w:t>Predictive Analysis:</w:t>
      </w:r>
    </w:p>
    <w:p w14:paraId="78FEB3AA" w14:textId="77777777" w:rsidR="00ED295F" w:rsidRDefault="00350D5F" w:rsidP="00ED295F">
      <w:pPr>
        <w:pStyle w:val="ListParagraph"/>
        <w:numPr>
          <w:ilvl w:val="1"/>
          <w:numId w:val="9"/>
        </w:numPr>
        <w:spacing w:before="240" w:after="240"/>
        <w:rPr>
          <w:rFonts w:ascii="Georgia" w:hAnsi="Georgia"/>
        </w:rPr>
      </w:pPr>
      <w:r w:rsidRPr="00ED295F">
        <w:rPr>
          <w:rFonts w:ascii="Georgia" w:hAnsi="Georgia"/>
        </w:rPr>
        <w:t>Application of RandomForestClassifier</w:t>
      </w:r>
    </w:p>
    <w:p w14:paraId="1E133DB1" w14:textId="77777777" w:rsidR="00750625" w:rsidRDefault="00350D5F" w:rsidP="00750625">
      <w:pPr>
        <w:pStyle w:val="ListParagraph"/>
        <w:numPr>
          <w:ilvl w:val="2"/>
          <w:numId w:val="9"/>
        </w:numPr>
        <w:spacing w:before="240" w:after="240"/>
        <w:rPr>
          <w:rFonts w:ascii="Georgia" w:hAnsi="Georgia"/>
        </w:rPr>
      </w:pPr>
      <w:r w:rsidRPr="00ED295F">
        <w:rPr>
          <w:rFonts w:ascii="Georgia" w:hAnsi="Georgia"/>
        </w:rPr>
        <w:t>Leveraging the trained RandomForestClassifier, we predicted Microsoft's 'Final Score' for the year 2023. This prediction was based on the forecasted financial and economic data generated by the ARIMA model.</w:t>
      </w:r>
    </w:p>
    <w:p w14:paraId="67B6AC4A" w14:textId="77777777" w:rsidR="00750625" w:rsidRDefault="00350D5F" w:rsidP="00750625">
      <w:pPr>
        <w:pStyle w:val="ListParagraph"/>
        <w:numPr>
          <w:ilvl w:val="1"/>
          <w:numId w:val="9"/>
        </w:numPr>
        <w:spacing w:before="240" w:after="240"/>
        <w:rPr>
          <w:rFonts w:ascii="Georgia" w:hAnsi="Georgia"/>
        </w:rPr>
      </w:pPr>
      <w:r w:rsidRPr="00750625">
        <w:rPr>
          <w:rFonts w:ascii="Georgia" w:hAnsi="Georgia"/>
        </w:rPr>
        <w:t>Outcome of the Analysis</w:t>
      </w:r>
    </w:p>
    <w:p w14:paraId="55E8FEB6" w14:textId="77777777" w:rsidR="004B1DE3" w:rsidRDefault="00350D5F" w:rsidP="0070574B">
      <w:pPr>
        <w:pStyle w:val="ListParagraph"/>
        <w:numPr>
          <w:ilvl w:val="2"/>
          <w:numId w:val="9"/>
        </w:numPr>
        <w:spacing w:before="240" w:after="240"/>
        <w:rPr>
          <w:rFonts w:ascii="Georgia" w:hAnsi="Georgia"/>
        </w:rPr>
      </w:pPr>
      <w:r w:rsidRPr="00750625">
        <w:rPr>
          <w:rFonts w:ascii="Georgia" w:hAnsi="Georgia"/>
        </w:rPr>
        <w:t>The outcome of this predictive analysis provided an estimated investment potential for Microsoft in 2023. This estimation is grounded in both historical data analysis and projected future performance, offering a comprehensive view of the company's investment potential.</w:t>
      </w:r>
    </w:p>
    <w:p w14:paraId="2FC126D0" w14:textId="4D44F9FD" w:rsidR="004B1DE3" w:rsidRDefault="00350D5F" w:rsidP="0070574B">
      <w:pPr>
        <w:pStyle w:val="ListParagraph"/>
        <w:numPr>
          <w:ilvl w:val="0"/>
          <w:numId w:val="9"/>
        </w:numPr>
        <w:spacing w:before="240" w:after="240"/>
        <w:rPr>
          <w:rFonts w:ascii="Georgia" w:hAnsi="Georgia"/>
        </w:rPr>
      </w:pPr>
      <w:r w:rsidRPr="004B1DE3">
        <w:rPr>
          <w:rFonts w:ascii="Georgia" w:hAnsi="Georgia"/>
        </w:rPr>
        <w:t>Insights and Implications</w:t>
      </w:r>
      <w:r w:rsidR="002A2623">
        <w:rPr>
          <w:rFonts w:ascii="Georgia" w:hAnsi="Georgia"/>
        </w:rPr>
        <w:t>:</w:t>
      </w:r>
    </w:p>
    <w:p w14:paraId="64CA4C47" w14:textId="77777777" w:rsidR="004B1DE3" w:rsidRDefault="00350D5F" w:rsidP="004B1DE3">
      <w:pPr>
        <w:pStyle w:val="ListParagraph"/>
        <w:numPr>
          <w:ilvl w:val="1"/>
          <w:numId w:val="9"/>
        </w:numPr>
        <w:spacing w:before="240" w:after="240"/>
        <w:rPr>
          <w:rFonts w:ascii="Georgia" w:hAnsi="Georgia"/>
        </w:rPr>
      </w:pPr>
      <w:r w:rsidRPr="004B1DE3">
        <w:rPr>
          <w:rFonts w:ascii="Georgia" w:hAnsi="Georgia"/>
        </w:rPr>
        <w:t>Interpretation of Results</w:t>
      </w:r>
    </w:p>
    <w:p w14:paraId="6BBA7102" w14:textId="77777777" w:rsidR="00785277" w:rsidRDefault="00350D5F" w:rsidP="00785277">
      <w:pPr>
        <w:pStyle w:val="ListParagraph"/>
        <w:numPr>
          <w:ilvl w:val="2"/>
          <w:numId w:val="9"/>
        </w:numPr>
        <w:spacing w:before="240" w:after="240"/>
        <w:rPr>
          <w:rFonts w:ascii="Georgia" w:hAnsi="Georgia"/>
        </w:rPr>
      </w:pPr>
      <w:r w:rsidRPr="004B1DE3">
        <w:rPr>
          <w:rFonts w:ascii="Georgia" w:hAnsi="Georgia"/>
        </w:rPr>
        <w:t>The analysis yielded significant insights into the financial health and potential growth of Microsoft, reflecting both the company's historical performance and forecasted future trends.</w:t>
      </w:r>
    </w:p>
    <w:p w14:paraId="2172B7CC" w14:textId="400BC969" w:rsidR="00785277" w:rsidRDefault="00350D5F" w:rsidP="00785277">
      <w:pPr>
        <w:pStyle w:val="ListParagraph"/>
        <w:numPr>
          <w:ilvl w:val="1"/>
          <w:numId w:val="9"/>
        </w:numPr>
        <w:spacing w:before="240" w:after="240"/>
        <w:rPr>
          <w:rFonts w:ascii="Georgia" w:hAnsi="Georgia"/>
        </w:rPr>
      </w:pPr>
      <w:r w:rsidRPr="00785277">
        <w:rPr>
          <w:rFonts w:ascii="Georgia" w:hAnsi="Georgia"/>
        </w:rPr>
        <w:t>Investment Implications</w:t>
      </w:r>
    </w:p>
    <w:p w14:paraId="24F0A5FF" w14:textId="6EB72A03" w:rsidR="001E78B5" w:rsidRDefault="00350D5F" w:rsidP="001E78B5">
      <w:pPr>
        <w:pStyle w:val="ListParagraph"/>
        <w:numPr>
          <w:ilvl w:val="2"/>
          <w:numId w:val="9"/>
        </w:numPr>
        <w:spacing w:before="240" w:after="240"/>
        <w:rPr>
          <w:rFonts w:ascii="Georgia" w:hAnsi="Georgia"/>
        </w:rPr>
      </w:pPr>
      <w:r w:rsidRPr="00785277">
        <w:rPr>
          <w:rFonts w:ascii="Georgia" w:hAnsi="Georgia"/>
        </w:rPr>
        <w:t>These insights have substantial implications for investors, providing a data-driven basis for investment decisions. The tier classification system and the 'Final Score' serve as valuable tools in evaluating the attractiveness of an investment opportunity in the context of the broader market and economic conditions.</w:t>
      </w:r>
    </w:p>
    <w:p w14:paraId="66F98860" w14:textId="77777777" w:rsidR="00E37CA8" w:rsidRPr="00E37CA8" w:rsidRDefault="00E37CA8" w:rsidP="00E37CA8">
      <w:pPr>
        <w:spacing w:before="240" w:after="240"/>
        <w:rPr>
          <w:rFonts w:ascii="Georgia" w:hAnsi="Georgia"/>
        </w:rPr>
      </w:pPr>
    </w:p>
    <w:p w14:paraId="5123B3B5" w14:textId="1709832A" w:rsidR="00A7785C" w:rsidRDefault="0067351B" w:rsidP="00905201">
      <w:pPr>
        <w:pStyle w:val="ListParagraph"/>
        <w:numPr>
          <w:ilvl w:val="0"/>
          <w:numId w:val="1"/>
        </w:numPr>
        <w:spacing w:before="240" w:after="240" w:line="360" w:lineRule="auto"/>
        <w:rPr>
          <w:rFonts w:ascii="Georgia" w:hAnsi="Georgia" w:cs="Times New Roman"/>
        </w:rPr>
      </w:pPr>
      <w:r w:rsidRPr="00667E79">
        <w:rPr>
          <w:rFonts w:ascii="Georgia" w:hAnsi="Georgia" w:cs="Times New Roman"/>
        </w:rPr>
        <w:t>Data Visualization</w:t>
      </w:r>
    </w:p>
    <w:p w14:paraId="7718F763" w14:textId="5CD67BF2" w:rsidR="00C1634A" w:rsidRDefault="00C1634A" w:rsidP="00C1634A">
      <w:pPr>
        <w:rPr>
          <w:rFonts w:ascii="Georgia" w:hAnsi="Georgia"/>
          <w:i/>
          <w:iCs/>
        </w:rPr>
      </w:pPr>
      <w:r w:rsidRPr="00C1634A">
        <w:rPr>
          <w:rFonts w:ascii="Georgia" w:hAnsi="Georgia"/>
          <w:i/>
          <w:iCs/>
        </w:rPr>
        <w:t xml:space="preserve">This section showcases the data visualization techniques employed to interpret and present the complex data collected and analyzed in this report. Two primary visualizations were created: </w:t>
      </w:r>
      <w:r w:rsidR="002633DB" w:rsidRPr="002633DB">
        <w:rPr>
          <w:rFonts w:ascii="Georgia" w:hAnsi="Georgia"/>
          <w:i/>
          <w:iCs/>
        </w:rPr>
        <w:t>1)</w:t>
      </w:r>
      <w:r w:rsidRPr="00C1634A">
        <w:rPr>
          <w:rFonts w:ascii="Georgia" w:hAnsi="Georgia"/>
          <w:i/>
          <w:iCs/>
        </w:rPr>
        <w:t xml:space="preserve"> Correlation Matrix and </w:t>
      </w:r>
      <w:r w:rsidR="002633DB" w:rsidRPr="002633DB">
        <w:rPr>
          <w:rFonts w:ascii="Georgia" w:hAnsi="Georgia"/>
          <w:i/>
          <w:iCs/>
        </w:rPr>
        <w:t>2)</w:t>
      </w:r>
      <w:r w:rsidRPr="00C1634A">
        <w:rPr>
          <w:rFonts w:ascii="Georgia" w:hAnsi="Georgia"/>
          <w:i/>
          <w:iCs/>
        </w:rPr>
        <w:t xml:space="preserve"> Line Chart of Final Scores</w:t>
      </w:r>
      <w:r w:rsidR="00201586">
        <w:rPr>
          <w:rFonts w:ascii="Georgia" w:hAnsi="Georgia"/>
          <w:i/>
          <w:iCs/>
        </w:rPr>
        <w:t>.</w:t>
      </w:r>
    </w:p>
    <w:p w14:paraId="38F4A57A" w14:textId="447C7F59" w:rsidR="003F35B2" w:rsidRPr="00201586" w:rsidRDefault="003F35B2" w:rsidP="00C1634A">
      <w:pPr>
        <w:rPr>
          <w:rFonts w:ascii="Georgia" w:hAnsi="Georgia" w:cs="Times New Roman"/>
          <w:i/>
          <w:iCs/>
        </w:rPr>
      </w:pPr>
      <w:r w:rsidRPr="00201586">
        <w:rPr>
          <w:rFonts w:ascii="Georgia" w:hAnsi="Georgia"/>
          <w:i/>
          <w:iCs/>
        </w:rPr>
        <w:t>For stakeholders, these visualizations serve as tools for quickly assessing the investment potential and risks associated with these top companies. They distill complex datasets into understandable formats, enabling informed decision-making.</w:t>
      </w:r>
    </w:p>
    <w:p w14:paraId="3E8BD806" w14:textId="77777777" w:rsidR="002633DB" w:rsidRDefault="002633DB" w:rsidP="00C1634A">
      <w:pPr>
        <w:rPr>
          <w:rFonts w:ascii="Georgia" w:hAnsi="Georgia"/>
        </w:rPr>
      </w:pPr>
    </w:p>
    <w:p w14:paraId="3EEC5905" w14:textId="77777777" w:rsidR="00E37CA8" w:rsidRPr="00C1634A" w:rsidRDefault="00E37CA8" w:rsidP="00C1634A">
      <w:pPr>
        <w:rPr>
          <w:rFonts w:ascii="Georgia" w:hAnsi="Georgia"/>
        </w:rPr>
      </w:pPr>
    </w:p>
    <w:p w14:paraId="13D77BBE" w14:textId="6B9AE56D" w:rsidR="00C1634A" w:rsidRPr="002633DB" w:rsidRDefault="00C1634A" w:rsidP="002633DB">
      <w:pPr>
        <w:pStyle w:val="ListParagraph"/>
        <w:numPr>
          <w:ilvl w:val="0"/>
          <w:numId w:val="19"/>
        </w:numPr>
        <w:rPr>
          <w:rFonts w:ascii="Georgia" w:hAnsi="Georgia"/>
        </w:rPr>
      </w:pPr>
      <w:r w:rsidRPr="002633DB">
        <w:rPr>
          <w:rFonts w:ascii="Georgia" w:hAnsi="Georgia"/>
        </w:rPr>
        <w:lastRenderedPageBreak/>
        <w:t>Correlation Matrix of Financial and Economic Indicators:</w:t>
      </w:r>
    </w:p>
    <w:p w14:paraId="12F7ACBF" w14:textId="77777777" w:rsidR="009458D4" w:rsidRDefault="00C1634A" w:rsidP="00127BD6">
      <w:pPr>
        <w:pStyle w:val="ListParagraph"/>
        <w:numPr>
          <w:ilvl w:val="1"/>
          <w:numId w:val="19"/>
        </w:numPr>
        <w:rPr>
          <w:rFonts w:ascii="Georgia" w:hAnsi="Georgia"/>
        </w:rPr>
      </w:pPr>
      <w:r w:rsidRPr="00C633E0">
        <w:rPr>
          <w:rFonts w:ascii="Georgia" w:hAnsi="Georgia"/>
        </w:rPr>
        <w:t>Purpose and Design:</w:t>
      </w:r>
    </w:p>
    <w:p w14:paraId="221B29B4" w14:textId="77777777" w:rsidR="009458D4" w:rsidRDefault="00C1634A" w:rsidP="009458D4">
      <w:pPr>
        <w:pStyle w:val="ListParagraph"/>
        <w:numPr>
          <w:ilvl w:val="2"/>
          <w:numId w:val="19"/>
        </w:numPr>
        <w:rPr>
          <w:rFonts w:ascii="Georgia" w:hAnsi="Georgia"/>
        </w:rPr>
      </w:pPr>
      <w:r w:rsidRPr="00C633E0">
        <w:rPr>
          <w:rFonts w:ascii="Georgia" w:hAnsi="Georgia"/>
        </w:rPr>
        <w:t xml:space="preserve">The Correlation Matrix was designed to identify and illustrate the relationships between various financial and economic indicators. </w:t>
      </w:r>
      <w:r w:rsidR="009458D4">
        <w:rPr>
          <w:rFonts w:ascii="Georgia" w:hAnsi="Georgia"/>
        </w:rPr>
        <w:t>E</w:t>
      </w:r>
      <w:r w:rsidRPr="00C633E0">
        <w:rPr>
          <w:rFonts w:ascii="Georgia" w:hAnsi="Georgia"/>
        </w:rPr>
        <w:t>ach cell in the matrix provides the correlation coefficient between two specific indicators, ranging from -1 to 1.</w:t>
      </w:r>
    </w:p>
    <w:p w14:paraId="02439998" w14:textId="3A63CF79" w:rsidR="009458D4" w:rsidRPr="009458D4" w:rsidRDefault="00C1634A" w:rsidP="009458D4">
      <w:pPr>
        <w:pStyle w:val="ListParagraph"/>
        <w:numPr>
          <w:ilvl w:val="1"/>
          <w:numId w:val="19"/>
        </w:numPr>
        <w:rPr>
          <w:rFonts w:ascii="Georgia" w:hAnsi="Georgia"/>
        </w:rPr>
      </w:pPr>
      <w:r w:rsidRPr="009458D4">
        <w:rPr>
          <w:rFonts w:ascii="Georgia" w:hAnsi="Georgia"/>
        </w:rPr>
        <w:t>Interpretation of Results:</w:t>
      </w:r>
    </w:p>
    <w:p w14:paraId="244BA66F" w14:textId="77777777" w:rsidR="009458D4" w:rsidRDefault="00C1634A" w:rsidP="00C1634A">
      <w:pPr>
        <w:pStyle w:val="ListParagraph"/>
        <w:numPr>
          <w:ilvl w:val="2"/>
          <w:numId w:val="19"/>
        </w:numPr>
        <w:rPr>
          <w:rFonts w:ascii="Georgia" w:hAnsi="Georgia"/>
        </w:rPr>
      </w:pPr>
      <w:r w:rsidRPr="009458D4">
        <w:rPr>
          <w:rFonts w:ascii="Georgia" w:hAnsi="Georgia"/>
        </w:rPr>
        <w:t xml:space="preserve">Values close to 1 indicate a strong positive correlation, suggesting that as one indicator increases, the other tends to increase as well. Conversely, values near -1 indicate a negative correlation. </w:t>
      </w:r>
    </w:p>
    <w:p w14:paraId="350E4077" w14:textId="77777777" w:rsidR="004A53C5" w:rsidRDefault="00417271" w:rsidP="004A53C5">
      <w:pPr>
        <w:pStyle w:val="ListParagraph"/>
        <w:ind w:left="1800"/>
        <w:rPr>
          <w:rFonts w:ascii="Georgia" w:hAnsi="Georgia"/>
        </w:rPr>
      </w:pPr>
      <w:r w:rsidRPr="00417271">
        <w:rPr>
          <w:rFonts w:ascii="Georgia" w:hAnsi="Georgia"/>
          <w:i/>
          <w:iCs/>
        </w:rPr>
        <w:t>Example:</w:t>
      </w:r>
      <w:r>
        <w:rPr>
          <w:rFonts w:ascii="Georgia" w:hAnsi="Georgia"/>
        </w:rPr>
        <w:t xml:space="preserve"> </w:t>
      </w:r>
      <w:r w:rsidR="004A53C5" w:rsidRPr="004A53C5">
        <w:rPr>
          <w:rFonts w:ascii="Georgia" w:hAnsi="Georgia"/>
        </w:rPr>
        <w:t>The 'Aggregate Score', a composite metric derived from the analyzed indicators, shows a strong positive correlation with the 'Final Score' (0.96). This strong relationship underscores the 'Aggregate Score's effectiveness in summarizing overall investment potential.</w:t>
      </w:r>
    </w:p>
    <w:p w14:paraId="66FE49AA" w14:textId="77777777" w:rsidR="001E78B5" w:rsidRDefault="001E78B5" w:rsidP="004A53C5">
      <w:pPr>
        <w:pStyle w:val="ListParagraph"/>
        <w:ind w:left="1800"/>
        <w:rPr>
          <w:rFonts w:ascii="Georgia" w:hAnsi="Georgia"/>
        </w:rPr>
      </w:pPr>
    </w:p>
    <w:p w14:paraId="2980A6E5" w14:textId="6FE9C38A" w:rsidR="00C068C9" w:rsidRDefault="00761E37" w:rsidP="001E78B5">
      <w:pPr>
        <w:pStyle w:val="ListParagraph"/>
        <w:ind w:left="1080"/>
        <w:jc w:val="center"/>
        <w:rPr>
          <w:rFonts w:ascii="Georgia" w:hAnsi="Georgia"/>
        </w:rPr>
      </w:pPr>
      <w:r>
        <w:rPr>
          <w:noProof/>
        </w:rPr>
        <w:drawing>
          <wp:inline distT="0" distB="0" distL="0" distR="0" wp14:anchorId="75FF8A2A" wp14:editId="42952615">
            <wp:extent cx="4388807" cy="2948152"/>
            <wp:effectExtent l="0" t="0" r="5715" b="0"/>
            <wp:docPr id="2" name="Picture 2" descr="A graph of the same numb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the same numb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6213" cy="3033736"/>
                    </a:xfrm>
                    <a:prstGeom prst="rect">
                      <a:avLst/>
                    </a:prstGeom>
                  </pic:spPr>
                </pic:pic>
              </a:graphicData>
            </a:graphic>
          </wp:inline>
        </w:drawing>
      </w:r>
    </w:p>
    <w:p w14:paraId="3E9805C6" w14:textId="77777777" w:rsidR="00E37CA8" w:rsidRDefault="00E37CA8" w:rsidP="001E78B5">
      <w:pPr>
        <w:pStyle w:val="ListParagraph"/>
        <w:ind w:left="1080"/>
        <w:rPr>
          <w:rFonts w:ascii="Georgia" w:hAnsi="Georgia"/>
        </w:rPr>
      </w:pPr>
    </w:p>
    <w:p w14:paraId="11E9138B" w14:textId="77777777" w:rsidR="00C068C9" w:rsidRPr="00C068C9" w:rsidRDefault="00C068C9" w:rsidP="00761E37">
      <w:pPr>
        <w:ind w:left="1080"/>
        <w:rPr>
          <w:rFonts w:ascii="Georgia" w:hAnsi="Georgia"/>
          <w:i/>
          <w:iCs/>
        </w:rPr>
      </w:pPr>
      <w:r w:rsidRPr="00C068C9">
        <w:rPr>
          <w:rFonts w:ascii="Georgia" w:hAnsi="Georgia"/>
          <w:i/>
          <w:iCs/>
        </w:rPr>
        <w:t>Key Observations:</w:t>
      </w:r>
    </w:p>
    <w:p w14:paraId="6C99080A" w14:textId="77777777" w:rsidR="00C068C9" w:rsidRDefault="00C068C9" w:rsidP="00761E37">
      <w:pPr>
        <w:pStyle w:val="ListParagraph"/>
        <w:numPr>
          <w:ilvl w:val="0"/>
          <w:numId w:val="21"/>
        </w:numPr>
        <w:ind w:left="1440"/>
        <w:rPr>
          <w:rFonts w:ascii="Georgia" w:hAnsi="Georgia"/>
        </w:rPr>
      </w:pPr>
      <w:r w:rsidRPr="00C068C9">
        <w:rPr>
          <w:rFonts w:ascii="Georgia" w:hAnsi="Georgia"/>
        </w:rPr>
        <w:t>Stock Price Correlation: There is a notable positive correlation between 'Stock Price' and 'Market Cap' (0.65), indicating that as the market capitalization of a company increases, the stock price tends to rise.</w:t>
      </w:r>
    </w:p>
    <w:p w14:paraId="22CE82CB" w14:textId="77777777" w:rsidR="00C068C9" w:rsidRDefault="00C068C9" w:rsidP="00761E37">
      <w:pPr>
        <w:pStyle w:val="ListParagraph"/>
        <w:numPr>
          <w:ilvl w:val="0"/>
          <w:numId w:val="21"/>
        </w:numPr>
        <w:ind w:left="1440"/>
        <w:rPr>
          <w:rFonts w:ascii="Georgia" w:hAnsi="Georgia"/>
        </w:rPr>
      </w:pPr>
      <w:r w:rsidRPr="00C068C9">
        <w:rPr>
          <w:rFonts w:ascii="Georgia" w:hAnsi="Georgia"/>
        </w:rPr>
        <w:t>Revenue and Market Cap: 'Revenue' shows a moderate positive correlation with 'Market Cap' (0.34), suggesting that higher revenue is often associated with a larger market capitalization.</w:t>
      </w:r>
    </w:p>
    <w:p w14:paraId="7D65AFAE" w14:textId="77777777" w:rsidR="002449A6" w:rsidRDefault="00C068C9" w:rsidP="00761E37">
      <w:pPr>
        <w:pStyle w:val="ListParagraph"/>
        <w:numPr>
          <w:ilvl w:val="0"/>
          <w:numId w:val="21"/>
        </w:numPr>
        <w:ind w:left="1440"/>
        <w:rPr>
          <w:rFonts w:ascii="Georgia" w:hAnsi="Georgia"/>
        </w:rPr>
      </w:pPr>
      <w:r w:rsidRPr="00C068C9">
        <w:rPr>
          <w:rFonts w:ascii="Georgia" w:hAnsi="Georgia"/>
        </w:rPr>
        <w:t>Economic Indicators:</w:t>
      </w:r>
      <w:r>
        <w:rPr>
          <w:rFonts w:ascii="Georgia" w:hAnsi="Georgia"/>
        </w:rPr>
        <w:t xml:space="preserve"> </w:t>
      </w:r>
    </w:p>
    <w:p w14:paraId="5F1E2BC0" w14:textId="77777777" w:rsidR="002449A6" w:rsidRDefault="00C068C9" w:rsidP="00761E37">
      <w:pPr>
        <w:pStyle w:val="ListParagraph"/>
        <w:numPr>
          <w:ilvl w:val="1"/>
          <w:numId w:val="21"/>
        </w:numPr>
        <w:ind w:left="1800"/>
        <w:rPr>
          <w:rFonts w:ascii="Georgia" w:hAnsi="Georgia"/>
        </w:rPr>
      </w:pPr>
      <w:r>
        <w:rPr>
          <w:rFonts w:ascii="Georgia" w:hAnsi="Georgia"/>
        </w:rPr>
        <w:t>‘</w:t>
      </w:r>
      <w:r w:rsidRPr="00C068C9">
        <w:rPr>
          <w:rFonts w:ascii="Georgia" w:hAnsi="Georgia"/>
        </w:rPr>
        <w:t>GDP Growth' and 'Inflation Rate' show a moderate positive correlation with 'Market Cap' and 'Stock Price', indicating that economic growth and inflation may influence market values.</w:t>
      </w:r>
    </w:p>
    <w:p w14:paraId="014B2541" w14:textId="2160333C" w:rsidR="00C068C9" w:rsidRPr="00E37CA8" w:rsidRDefault="00C068C9" w:rsidP="00E37CA8">
      <w:pPr>
        <w:pStyle w:val="ListParagraph"/>
        <w:numPr>
          <w:ilvl w:val="1"/>
          <w:numId w:val="21"/>
        </w:numPr>
        <w:ind w:left="1800"/>
        <w:rPr>
          <w:rFonts w:ascii="Georgia" w:hAnsi="Georgia"/>
        </w:rPr>
      </w:pPr>
      <w:r w:rsidRPr="00C068C9">
        <w:rPr>
          <w:rFonts w:ascii="Georgia" w:hAnsi="Georgia"/>
        </w:rPr>
        <w:t>'Unemployment Rate' exhibits a negative correlation with 'Stock Price' (-0.31), which could imply that higher unemployment rates might negatively affect stock prices.</w:t>
      </w:r>
    </w:p>
    <w:p w14:paraId="1A534A79" w14:textId="77777777" w:rsidR="004A53C5" w:rsidRDefault="00C1634A" w:rsidP="00C1634A">
      <w:pPr>
        <w:pStyle w:val="ListParagraph"/>
        <w:numPr>
          <w:ilvl w:val="0"/>
          <w:numId w:val="19"/>
        </w:numPr>
        <w:rPr>
          <w:rFonts w:ascii="Georgia" w:hAnsi="Georgia"/>
        </w:rPr>
      </w:pPr>
      <w:r w:rsidRPr="004A53C5">
        <w:rPr>
          <w:rFonts w:ascii="Georgia" w:hAnsi="Georgia"/>
        </w:rPr>
        <w:lastRenderedPageBreak/>
        <w:t>Line Chart of Final Scores from 2003 to 2022:</w:t>
      </w:r>
    </w:p>
    <w:p w14:paraId="62872FE0" w14:textId="77777777" w:rsidR="004A53C5" w:rsidRDefault="00C1634A" w:rsidP="004A53C5">
      <w:pPr>
        <w:pStyle w:val="ListParagraph"/>
        <w:numPr>
          <w:ilvl w:val="1"/>
          <w:numId w:val="19"/>
        </w:numPr>
        <w:rPr>
          <w:rFonts w:ascii="Georgia" w:hAnsi="Georgia"/>
        </w:rPr>
      </w:pPr>
      <w:r w:rsidRPr="004A53C5">
        <w:rPr>
          <w:rFonts w:ascii="Georgia" w:hAnsi="Georgia"/>
        </w:rPr>
        <w:t xml:space="preserve">Purpose and Design: </w:t>
      </w:r>
    </w:p>
    <w:p w14:paraId="0A6FE121" w14:textId="77777777" w:rsidR="004A53C5" w:rsidRDefault="00C1634A" w:rsidP="00C1634A">
      <w:pPr>
        <w:pStyle w:val="ListParagraph"/>
        <w:numPr>
          <w:ilvl w:val="2"/>
          <w:numId w:val="19"/>
        </w:numPr>
        <w:rPr>
          <w:rFonts w:ascii="Georgia" w:hAnsi="Georgia"/>
        </w:rPr>
      </w:pPr>
      <w:r w:rsidRPr="004A53C5">
        <w:rPr>
          <w:rFonts w:ascii="Georgia" w:hAnsi="Georgia"/>
        </w:rPr>
        <w:t>The Line Chart visualizes the 'Final Score' of the top 20 companies over the 20-year period. Each company is represented by a line, with the x-axis denoting the year and the y-axis indicating the 'Final Score'. This chart provides a clear visual representation of how each company's score has evolved over time.</w:t>
      </w:r>
    </w:p>
    <w:p w14:paraId="490F796B" w14:textId="77777777" w:rsidR="00354334" w:rsidRDefault="00C1634A" w:rsidP="004A53C5">
      <w:pPr>
        <w:pStyle w:val="ListParagraph"/>
        <w:numPr>
          <w:ilvl w:val="1"/>
          <w:numId w:val="19"/>
        </w:numPr>
        <w:rPr>
          <w:rFonts w:ascii="Georgia" w:hAnsi="Georgia"/>
        </w:rPr>
      </w:pPr>
      <w:r w:rsidRPr="004A53C5">
        <w:rPr>
          <w:rFonts w:ascii="Georgia" w:hAnsi="Georgia"/>
        </w:rPr>
        <w:t xml:space="preserve">Interpretation of Results: </w:t>
      </w:r>
    </w:p>
    <w:p w14:paraId="452505F1" w14:textId="71B1E246" w:rsidR="00C1634A" w:rsidRDefault="00C1634A" w:rsidP="00354334">
      <w:pPr>
        <w:pStyle w:val="ListParagraph"/>
        <w:numPr>
          <w:ilvl w:val="2"/>
          <w:numId w:val="19"/>
        </w:numPr>
        <w:rPr>
          <w:rFonts w:ascii="Georgia" w:hAnsi="Georgia"/>
        </w:rPr>
      </w:pPr>
      <w:r w:rsidRPr="004A53C5">
        <w:rPr>
          <w:rFonts w:ascii="Georgia" w:hAnsi="Georgia"/>
        </w:rPr>
        <w:t>By examining the trajectories of the lines, stakeholders can discern trends and patterns in company performance. For example, a consistently high 'Final Score' over several years may indicate a strong and stable investment opportunity, while fluctuating scores may suggest volatility or a change in company fortunes.</w:t>
      </w:r>
    </w:p>
    <w:p w14:paraId="4E51364F" w14:textId="77777777" w:rsidR="00BC5D79" w:rsidRPr="00BC5D79" w:rsidRDefault="00BC5D79" w:rsidP="00BC5D79">
      <w:pPr>
        <w:rPr>
          <w:rFonts w:ascii="Georgia" w:hAnsi="Georgia"/>
        </w:rPr>
      </w:pPr>
    </w:p>
    <w:p w14:paraId="4C7E273D" w14:textId="0E2FB66A" w:rsidR="00761E37" w:rsidRDefault="00383703" w:rsidP="00BC5D79">
      <w:pPr>
        <w:ind w:left="720"/>
        <w:jc w:val="center"/>
        <w:rPr>
          <w:rFonts w:ascii="Georgia" w:hAnsi="Georgia"/>
        </w:rPr>
      </w:pPr>
      <w:r>
        <w:rPr>
          <w:rFonts w:ascii="Georgia" w:hAnsi="Georgia"/>
          <w:noProof/>
        </w:rPr>
        <w:drawing>
          <wp:inline distT="0" distB="0" distL="0" distR="0" wp14:anchorId="5775B51B" wp14:editId="48AD7CAF">
            <wp:extent cx="4096612" cy="1390485"/>
            <wp:effectExtent l="0" t="0" r="0" b="0"/>
            <wp:docPr id="707623576" name="Picture 707623576"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23576" name="Picture 2" descr="A graph with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8784" cy="1435347"/>
                    </a:xfrm>
                    <a:prstGeom prst="rect">
                      <a:avLst/>
                    </a:prstGeom>
                  </pic:spPr>
                </pic:pic>
              </a:graphicData>
            </a:graphic>
          </wp:inline>
        </w:drawing>
      </w:r>
    </w:p>
    <w:p w14:paraId="411B87E1" w14:textId="77777777" w:rsidR="00BC5D79" w:rsidRDefault="00BC5D79" w:rsidP="00BC5D79">
      <w:pPr>
        <w:ind w:left="720"/>
        <w:jc w:val="center"/>
        <w:rPr>
          <w:rFonts w:ascii="Georgia" w:hAnsi="Georgia"/>
        </w:rPr>
      </w:pPr>
    </w:p>
    <w:p w14:paraId="2822E03D" w14:textId="77777777" w:rsidR="00383703" w:rsidRDefault="00BC5D79" w:rsidP="00383703">
      <w:pPr>
        <w:ind w:left="1080"/>
        <w:rPr>
          <w:rFonts w:ascii="Georgia" w:hAnsi="Georgia"/>
          <w:i/>
          <w:iCs/>
        </w:rPr>
      </w:pPr>
      <w:r w:rsidRPr="00C068C9">
        <w:rPr>
          <w:rFonts w:ascii="Georgia" w:hAnsi="Georgia"/>
          <w:i/>
          <w:iCs/>
        </w:rPr>
        <w:t>Key Observations:</w:t>
      </w:r>
    </w:p>
    <w:p w14:paraId="702F7644" w14:textId="77777777" w:rsidR="003D3029" w:rsidRDefault="00383703" w:rsidP="003D3029">
      <w:pPr>
        <w:pStyle w:val="ListParagraph"/>
        <w:numPr>
          <w:ilvl w:val="0"/>
          <w:numId w:val="26"/>
        </w:numPr>
        <w:rPr>
          <w:rFonts w:ascii="Georgia" w:hAnsi="Georgia"/>
        </w:rPr>
      </w:pPr>
      <w:r w:rsidRPr="00383703">
        <w:rPr>
          <w:rFonts w:ascii="Georgia" w:hAnsi="Georgia"/>
        </w:rPr>
        <w:t>Companies in the technology sector, such as Google, Amazon, Apple, NVIDIA, Meta, and Tesla, show strong performance and an increasing trend in 'Final Score', signifying the sector's growth and its appeal to investors.</w:t>
      </w:r>
    </w:p>
    <w:p w14:paraId="3866235B" w14:textId="77777777" w:rsidR="003D3029" w:rsidRDefault="00383703" w:rsidP="003D3029">
      <w:pPr>
        <w:pStyle w:val="ListParagraph"/>
        <w:numPr>
          <w:ilvl w:val="0"/>
          <w:numId w:val="26"/>
        </w:numPr>
        <w:rPr>
          <w:rFonts w:ascii="Georgia" w:hAnsi="Georgia"/>
        </w:rPr>
      </w:pPr>
      <w:r w:rsidRPr="003D3029">
        <w:rPr>
          <w:rFonts w:ascii="Georgia" w:hAnsi="Georgia"/>
        </w:rPr>
        <w:t>The post-2008 period demonstrates recovery and improvement for most companies, suggesting resilience and adaptability in the face of economic challenges.</w:t>
      </w:r>
    </w:p>
    <w:p w14:paraId="1254E5A5" w14:textId="77777777" w:rsidR="003D3029" w:rsidRDefault="003D3029" w:rsidP="003D3029">
      <w:pPr>
        <w:pStyle w:val="ListParagraph"/>
        <w:numPr>
          <w:ilvl w:val="0"/>
          <w:numId w:val="26"/>
        </w:numPr>
        <w:rPr>
          <w:rFonts w:ascii="Georgia" w:hAnsi="Georgia"/>
        </w:rPr>
      </w:pPr>
      <w:r w:rsidRPr="003D3029">
        <w:rPr>
          <w:rFonts w:ascii="Georgia" w:hAnsi="Georgia"/>
        </w:rPr>
        <w:t>High-performing companies like Microsoft, Apple, and Google could be considered reliable anchors for long-term investment strategies.</w:t>
      </w:r>
    </w:p>
    <w:p w14:paraId="4CAD02F2" w14:textId="61A52809" w:rsidR="00383703" w:rsidRDefault="003D3029" w:rsidP="003D3029">
      <w:pPr>
        <w:pStyle w:val="ListParagraph"/>
        <w:numPr>
          <w:ilvl w:val="0"/>
          <w:numId w:val="26"/>
        </w:numPr>
        <w:rPr>
          <w:rFonts w:ascii="Georgia" w:hAnsi="Georgia"/>
        </w:rPr>
      </w:pPr>
      <w:r w:rsidRPr="003D3029">
        <w:rPr>
          <w:rFonts w:ascii="Georgia" w:hAnsi="Georgia"/>
        </w:rPr>
        <w:t>The rise of Tesla's score in recent years could indicate a shifting landscape with new opportunities in emerging markets like electric vehicles.</w:t>
      </w:r>
    </w:p>
    <w:p w14:paraId="207BA0E3" w14:textId="77777777" w:rsidR="00E13F6F" w:rsidRPr="00E13F6F" w:rsidRDefault="00E13F6F" w:rsidP="00E13F6F">
      <w:pPr>
        <w:rPr>
          <w:rFonts w:ascii="Georgia" w:hAnsi="Georgia"/>
        </w:rPr>
      </w:pPr>
    </w:p>
    <w:p w14:paraId="2A6FA13D" w14:textId="43946031" w:rsidR="00A7785C" w:rsidRPr="000E4017" w:rsidRDefault="00DE2EF6" w:rsidP="00905201">
      <w:pPr>
        <w:pStyle w:val="ListParagraph"/>
        <w:numPr>
          <w:ilvl w:val="0"/>
          <w:numId w:val="1"/>
        </w:numPr>
        <w:spacing w:before="240" w:after="240" w:line="360" w:lineRule="auto"/>
        <w:rPr>
          <w:rFonts w:ascii="Georgia" w:hAnsi="Georgia" w:cs="Times New Roman"/>
        </w:rPr>
      </w:pPr>
      <w:r>
        <w:rPr>
          <w:rFonts w:ascii="Georgia" w:hAnsi="Georgia" w:cs="Times New Roman"/>
        </w:rPr>
        <w:t>Future Work</w:t>
      </w:r>
    </w:p>
    <w:p w14:paraId="7EF1E420" w14:textId="5654B02C" w:rsidR="00A7785C" w:rsidRPr="00DE2EF6" w:rsidRDefault="00DE2EF6" w:rsidP="00DE2EF6">
      <w:pPr>
        <w:rPr>
          <w:rFonts w:ascii="Georgia" w:hAnsi="Georgia"/>
        </w:rPr>
      </w:pPr>
      <w:r w:rsidRPr="00DE2EF6">
        <w:rPr>
          <w:rFonts w:ascii="Georgia" w:hAnsi="Georgia"/>
        </w:rPr>
        <w:t>Given more time, we would like to concentrate on analyzing and improving the model to achieve the highest possible accuracy.</w:t>
      </w:r>
    </w:p>
    <w:sectPr w:rsidR="00A7785C" w:rsidRPr="00DE2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CD9"/>
    <w:multiLevelType w:val="hybridMultilevel"/>
    <w:tmpl w:val="C86679F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20AF3"/>
    <w:multiLevelType w:val="multilevel"/>
    <w:tmpl w:val="788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C55E9"/>
    <w:multiLevelType w:val="hybridMultilevel"/>
    <w:tmpl w:val="83061C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03AE1"/>
    <w:multiLevelType w:val="multilevel"/>
    <w:tmpl w:val="F64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A55AD"/>
    <w:multiLevelType w:val="hybridMultilevel"/>
    <w:tmpl w:val="3D703C8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FC8AA"/>
    <w:multiLevelType w:val="hybridMultilevel"/>
    <w:tmpl w:val="FFFFFFFF"/>
    <w:lvl w:ilvl="0" w:tplc="D8D84F3E">
      <w:start w:val="1"/>
      <w:numFmt w:val="bullet"/>
      <w:lvlText w:val=""/>
      <w:lvlJc w:val="left"/>
      <w:pPr>
        <w:ind w:left="720" w:hanging="360"/>
      </w:pPr>
      <w:rPr>
        <w:rFonts w:ascii="Symbol" w:hAnsi="Symbol" w:hint="default"/>
      </w:rPr>
    </w:lvl>
    <w:lvl w:ilvl="1" w:tplc="84C2A782">
      <w:start w:val="1"/>
      <w:numFmt w:val="bullet"/>
      <w:lvlText w:val=""/>
      <w:lvlJc w:val="left"/>
      <w:pPr>
        <w:ind w:left="1440" w:hanging="360"/>
      </w:pPr>
      <w:rPr>
        <w:rFonts w:ascii="Symbol" w:hAnsi="Symbol" w:hint="default"/>
      </w:rPr>
    </w:lvl>
    <w:lvl w:ilvl="2" w:tplc="CF163826">
      <w:start w:val="1"/>
      <w:numFmt w:val="bullet"/>
      <w:lvlText w:val=""/>
      <w:lvlJc w:val="left"/>
      <w:pPr>
        <w:ind w:left="2160" w:hanging="360"/>
      </w:pPr>
      <w:rPr>
        <w:rFonts w:ascii="Wingdings" w:hAnsi="Wingdings" w:hint="default"/>
      </w:rPr>
    </w:lvl>
    <w:lvl w:ilvl="3" w:tplc="8E1C6A38">
      <w:start w:val="1"/>
      <w:numFmt w:val="bullet"/>
      <w:lvlText w:val=""/>
      <w:lvlJc w:val="left"/>
      <w:pPr>
        <w:ind w:left="2880" w:hanging="360"/>
      </w:pPr>
      <w:rPr>
        <w:rFonts w:ascii="Symbol" w:hAnsi="Symbol" w:hint="default"/>
      </w:rPr>
    </w:lvl>
    <w:lvl w:ilvl="4" w:tplc="7A245120">
      <w:start w:val="1"/>
      <w:numFmt w:val="bullet"/>
      <w:lvlText w:val="o"/>
      <w:lvlJc w:val="left"/>
      <w:pPr>
        <w:ind w:left="3600" w:hanging="360"/>
      </w:pPr>
      <w:rPr>
        <w:rFonts w:ascii="Courier New" w:hAnsi="Courier New" w:hint="default"/>
      </w:rPr>
    </w:lvl>
    <w:lvl w:ilvl="5" w:tplc="954AA49E">
      <w:start w:val="1"/>
      <w:numFmt w:val="bullet"/>
      <w:lvlText w:val=""/>
      <w:lvlJc w:val="left"/>
      <w:pPr>
        <w:ind w:left="4320" w:hanging="360"/>
      </w:pPr>
      <w:rPr>
        <w:rFonts w:ascii="Wingdings" w:hAnsi="Wingdings" w:hint="default"/>
      </w:rPr>
    </w:lvl>
    <w:lvl w:ilvl="6" w:tplc="F3D83FB6">
      <w:start w:val="1"/>
      <w:numFmt w:val="bullet"/>
      <w:lvlText w:val=""/>
      <w:lvlJc w:val="left"/>
      <w:pPr>
        <w:ind w:left="5040" w:hanging="360"/>
      </w:pPr>
      <w:rPr>
        <w:rFonts w:ascii="Symbol" w:hAnsi="Symbol" w:hint="default"/>
      </w:rPr>
    </w:lvl>
    <w:lvl w:ilvl="7" w:tplc="A5B0EE3A">
      <w:start w:val="1"/>
      <w:numFmt w:val="bullet"/>
      <w:lvlText w:val="o"/>
      <w:lvlJc w:val="left"/>
      <w:pPr>
        <w:ind w:left="5760" w:hanging="360"/>
      </w:pPr>
      <w:rPr>
        <w:rFonts w:ascii="Courier New" w:hAnsi="Courier New" w:hint="default"/>
      </w:rPr>
    </w:lvl>
    <w:lvl w:ilvl="8" w:tplc="E850D446">
      <w:start w:val="1"/>
      <w:numFmt w:val="bullet"/>
      <w:lvlText w:val=""/>
      <w:lvlJc w:val="left"/>
      <w:pPr>
        <w:ind w:left="6480" w:hanging="360"/>
      </w:pPr>
      <w:rPr>
        <w:rFonts w:ascii="Wingdings" w:hAnsi="Wingdings" w:hint="default"/>
      </w:rPr>
    </w:lvl>
  </w:abstractNum>
  <w:abstractNum w:abstractNumId="6" w15:restartNumberingAfterBreak="0">
    <w:nsid w:val="1B0984DB"/>
    <w:multiLevelType w:val="hybridMultilevel"/>
    <w:tmpl w:val="FFFFFFFF"/>
    <w:lvl w:ilvl="0" w:tplc="F112D412">
      <w:start w:val="1"/>
      <w:numFmt w:val="bullet"/>
      <w:lvlText w:val=""/>
      <w:lvlJc w:val="left"/>
      <w:pPr>
        <w:ind w:left="720" w:hanging="360"/>
      </w:pPr>
      <w:rPr>
        <w:rFonts w:ascii="Symbol" w:hAnsi="Symbol" w:hint="default"/>
      </w:rPr>
    </w:lvl>
    <w:lvl w:ilvl="1" w:tplc="4434D4A6">
      <w:start w:val="1"/>
      <w:numFmt w:val="bullet"/>
      <w:lvlText w:val="o"/>
      <w:lvlJc w:val="left"/>
      <w:pPr>
        <w:ind w:left="1440" w:hanging="360"/>
      </w:pPr>
      <w:rPr>
        <w:rFonts w:ascii="Courier New" w:hAnsi="Courier New" w:hint="default"/>
      </w:rPr>
    </w:lvl>
    <w:lvl w:ilvl="2" w:tplc="62EA2422">
      <w:start w:val="1"/>
      <w:numFmt w:val="bullet"/>
      <w:lvlText w:val=""/>
      <w:lvlJc w:val="left"/>
      <w:pPr>
        <w:ind w:left="2160" w:hanging="360"/>
      </w:pPr>
      <w:rPr>
        <w:rFonts w:ascii="Wingdings" w:hAnsi="Wingdings" w:hint="default"/>
      </w:rPr>
    </w:lvl>
    <w:lvl w:ilvl="3" w:tplc="A6EC38D0">
      <w:start w:val="1"/>
      <w:numFmt w:val="bullet"/>
      <w:lvlText w:val=""/>
      <w:lvlJc w:val="left"/>
      <w:pPr>
        <w:ind w:left="2880" w:hanging="360"/>
      </w:pPr>
      <w:rPr>
        <w:rFonts w:ascii="Symbol" w:hAnsi="Symbol" w:hint="default"/>
      </w:rPr>
    </w:lvl>
    <w:lvl w:ilvl="4" w:tplc="E29295C4">
      <w:start w:val="1"/>
      <w:numFmt w:val="bullet"/>
      <w:lvlText w:val="o"/>
      <w:lvlJc w:val="left"/>
      <w:pPr>
        <w:ind w:left="3600" w:hanging="360"/>
      </w:pPr>
      <w:rPr>
        <w:rFonts w:ascii="Courier New" w:hAnsi="Courier New" w:hint="default"/>
      </w:rPr>
    </w:lvl>
    <w:lvl w:ilvl="5" w:tplc="19180606">
      <w:start w:val="1"/>
      <w:numFmt w:val="bullet"/>
      <w:lvlText w:val=""/>
      <w:lvlJc w:val="left"/>
      <w:pPr>
        <w:ind w:left="4320" w:hanging="360"/>
      </w:pPr>
      <w:rPr>
        <w:rFonts w:ascii="Wingdings" w:hAnsi="Wingdings" w:hint="default"/>
      </w:rPr>
    </w:lvl>
    <w:lvl w:ilvl="6" w:tplc="7AD0EC52">
      <w:start w:val="1"/>
      <w:numFmt w:val="bullet"/>
      <w:lvlText w:val=""/>
      <w:lvlJc w:val="left"/>
      <w:pPr>
        <w:ind w:left="5040" w:hanging="360"/>
      </w:pPr>
      <w:rPr>
        <w:rFonts w:ascii="Symbol" w:hAnsi="Symbol" w:hint="default"/>
      </w:rPr>
    </w:lvl>
    <w:lvl w:ilvl="7" w:tplc="985C8A56">
      <w:start w:val="1"/>
      <w:numFmt w:val="bullet"/>
      <w:lvlText w:val="o"/>
      <w:lvlJc w:val="left"/>
      <w:pPr>
        <w:ind w:left="5760" w:hanging="360"/>
      </w:pPr>
      <w:rPr>
        <w:rFonts w:ascii="Courier New" w:hAnsi="Courier New" w:hint="default"/>
      </w:rPr>
    </w:lvl>
    <w:lvl w:ilvl="8" w:tplc="87AA2216">
      <w:start w:val="1"/>
      <w:numFmt w:val="bullet"/>
      <w:lvlText w:val=""/>
      <w:lvlJc w:val="left"/>
      <w:pPr>
        <w:ind w:left="6480" w:hanging="360"/>
      </w:pPr>
      <w:rPr>
        <w:rFonts w:ascii="Wingdings" w:hAnsi="Wingdings" w:hint="default"/>
      </w:rPr>
    </w:lvl>
  </w:abstractNum>
  <w:abstractNum w:abstractNumId="7" w15:restartNumberingAfterBreak="0">
    <w:nsid w:val="1F5F2891"/>
    <w:multiLevelType w:val="multilevel"/>
    <w:tmpl w:val="DC5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D4BA0"/>
    <w:multiLevelType w:val="multilevel"/>
    <w:tmpl w:val="211CA17A"/>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bullet"/>
      <w:lvlText w:val=""/>
      <w:lvlJc w:val="left"/>
      <w:pPr>
        <w:ind w:left="1800" w:hanging="360"/>
      </w:pPr>
      <w:rPr>
        <w:rFonts w:ascii="Wingdings" w:hAnsi="Wingdings" w:cs="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3CC0204"/>
    <w:multiLevelType w:val="multilevel"/>
    <w:tmpl w:val="E4D6A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E3A85"/>
    <w:multiLevelType w:val="hybridMultilevel"/>
    <w:tmpl w:val="FFFFFFFF"/>
    <w:lvl w:ilvl="0" w:tplc="A3CE9FF2">
      <w:start w:val="1"/>
      <w:numFmt w:val="bullet"/>
      <w:lvlText w:val=""/>
      <w:lvlJc w:val="left"/>
      <w:pPr>
        <w:ind w:left="720" w:hanging="360"/>
      </w:pPr>
      <w:rPr>
        <w:rFonts w:ascii="Symbol" w:hAnsi="Symbol" w:hint="default"/>
      </w:rPr>
    </w:lvl>
    <w:lvl w:ilvl="1" w:tplc="B67A0FB6">
      <w:start w:val="1"/>
      <w:numFmt w:val="bullet"/>
      <w:lvlText w:val="o"/>
      <w:lvlJc w:val="left"/>
      <w:pPr>
        <w:ind w:left="1440" w:hanging="360"/>
      </w:pPr>
      <w:rPr>
        <w:rFonts w:ascii="Courier New" w:hAnsi="Courier New" w:hint="default"/>
      </w:rPr>
    </w:lvl>
    <w:lvl w:ilvl="2" w:tplc="300EF064">
      <w:start w:val="1"/>
      <w:numFmt w:val="bullet"/>
      <w:lvlText w:val=""/>
      <w:lvlJc w:val="left"/>
      <w:pPr>
        <w:ind w:left="2160" w:hanging="360"/>
      </w:pPr>
      <w:rPr>
        <w:rFonts w:ascii="Wingdings" w:hAnsi="Wingdings" w:hint="default"/>
      </w:rPr>
    </w:lvl>
    <w:lvl w:ilvl="3" w:tplc="B67E8E58">
      <w:start w:val="1"/>
      <w:numFmt w:val="bullet"/>
      <w:lvlText w:val=""/>
      <w:lvlJc w:val="left"/>
      <w:pPr>
        <w:ind w:left="2880" w:hanging="360"/>
      </w:pPr>
      <w:rPr>
        <w:rFonts w:ascii="Symbol" w:hAnsi="Symbol" w:hint="default"/>
      </w:rPr>
    </w:lvl>
    <w:lvl w:ilvl="4" w:tplc="5EE2715C">
      <w:start w:val="1"/>
      <w:numFmt w:val="bullet"/>
      <w:lvlText w:val="o"/>
      <w:lvlJc w:val="left"/>
      <w:pPr>
        <w:ind w:left="3600" w:hanging="360"/>
      </w:pPr>
      <w:rPr>
        <w:rFonts w:ascii="Courier New" w:hAnsi="Courier New" w:hint="default"/>
      </w:rPr>
    </w:lvl>
    <w:lvl w:ilvl="5" w:tplc="618C8E6E">
      <w:start w:val="1"/>
      <w:numFmt w:val="bullet"/>
      <w:lvlText w:val=""/>
      <w:lvlJc w:val="left"/>
      <w:pPr>
        <w:ind w:left="4320" w:hanging="360"/>
      </w:pPr>
      <w:rPr>
        <w:rFonts w:ascii="Wingdings" w:hAnsi="Wingdings" w:hint="default"/>
      </w:rPr>
    </w:lvl>
    <w:lvl w:ilvl="6" w:tplc="81A0602E">
      <w:start w:val="1"/>
      <w:numFmt w:val="bullet"/>
      <w:lvlText w:val=""/>
      <w:lvlJc w:val="left"/>
      <w:pPr>
        <w:ind w:left="5040" w:hanging="360"/>
      </w:pPr>
      <w:rPr>
        <w:rFonts w:ascii="Symbol" w:hAnsi="Symbol" w:hint="default"/>
      </w:rPr>
    </w:lvl>
    <w:lvl w:ilvl="7" w:tplc="59CE988C">
      <w:start w:val="1"/>
      <w:numFmt w:val="bullet"/>
      <w:lvlText w:val="o"/>
      <w:lvlJc w:val="left"/>
      <w:pPr>
        <w:ind w:left="5760" w:hanging="360"/>
      </w:pPr>
      <w:rPr>
        <w:rFonts w:ascii="Courier New" w:hAnsi="Courier New" w:hint="default"/>
      </w:rPr>
    </w:lvl>
    <w:lvl w:ilvl="8" w:tplc="E0CECB88">
      <w:start w:val="1"/>
      <w:numFmt w:val="bullet"/>
      <w:lvlText w:val=""/>
      <w:lvlJc w:val="left"/>
      <w:pPr>
        <w:ind w:left="6480" w:hanging="360"/>
      </w:pPr>
      <w:rPr>
        <w:rFonts w:ascii="Wingdings" w:hAnsi="Wingdings" w:hint="default"/>
      </w:rPr>
    </w:lvl>
  </w:abstractNum>
  <w:abstractNum w:abstractNumId="11" w15:restartNumberingAfterBreak="0">
    <w:nsid w:val="29F97A30"/>
    <w:multiLevelType w:val="multilevel"/>
    <w:tmpl w:val="A38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471B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C3522F7"/>
    <w:multiLevelType w:val="hybridMultilevel"/>
    <w:tmpl w:val="4B58F5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FE24F3"/>
    <w:multiLevelType w:val="multilevel"/>
    <w:tmpl w:val="86C0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F383C"/>
    <w:multiLevelType w:val="hybridMultilevel"/>
    <w:tmpl w:val="4CE8D5AC"/>
    <w:lvl w:ilvl="0" w:tplc="5F989E4A">
      <w:start w:val="1"/>
      <w:numFmt w:val="decimal"/>
      <w:lvlText w:val="%1."/>
      <w:lvlJc w:val="left"/>
      <w:pPr>
        <w:ind w:left="720" w:hanging="360"/>
      </w:pPr>
      <w:rPr>
        <w:rFonts w:hint="default"/>
      </w:r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0B771"/>
    <w:multiLevelType w:val="hybridMultilevel"/>
    <w:tmpl w:val="FFFFFFFF"/>
    <w:lvl w:ilvl="0" w:tplc="7624A1F0">
      <w:start w:val="1"/>
      <w:numFmt w:val="bullet"/>
      <w:lvlText w:val=""/>
      <w:lvlJc w:val="left"/>
      <w:pPr>
        <w:ind w:left="720" w:hanging="360"/>
      </w:pPr>
      <w:rPr>
        <w:rFonts w:ascii="Symbol" w:hAnsi="Symbol" w:hint="default"/>
      </w:rPr>
    </w:lvl>
    <w:lvl w:ilvl="1" w:tplc="09624DB0">
      <w:start w:val="1"/>
      <w:numFmt w:val="bullet"/>
      <w:lvlText w:val="o"/>
      <w:lvlJc w:val="left"/>
      <w:pPr>
        <w:ind w:left="1440" w:hanging="360"/>
      </w:pPr>
      <w:rPr>
        <w:rFonts w:ascii="Courier New" w:hAnsi="Courier New" w:hint="default"/>
      </w:rPr>
    </w:lvl>
    <w:lvl w:ilvl="2" w:tplc="E62AA0CC">
      <w:start w:val="1"/>
      <w:numFmt w:val="bullet"/>
      <w:lvlText w:val=""/>
      <w:lvlJc w:val="left"/>
      <w:pPr>
        <w:ind w:left="2160" w:hanging="360"/>
      </w:pPr>
      <w:rPr>
        <w:rFonts w:ascii="Wingdings" w:hAnsi="Wingdings" w:hint="default"/>
      </w:rPr>
    </w:lvl>
    <w:lvl w:ilvl="3" w:tplc="2E82AC98">
      <w:start w:val="1"/>
      <w:numFmt w:val="bullet"/>
      <w:lvlText w:val=""/>
      <w:lvlJc w:val="left"/>
      <w:pPr>
        <w:ind w:left="2880" w:hanging="360"/>
      </w:pPr>
      <w:rPr>
        <w:rFonts w:ascii="Symbol" w:hAnsi="Symbol" w:hint="default"/>
      </w:rPr>
    </w:lvl>
    <w:lvl w:ilvl="4" w:tplc="C9C64732">
      <w:start w:val="1"/>
      <w:numFmt w:val="bullet"/>
      <w:lvlText w:val="o"/>
      <w:lvlJc w:val="left"/>
      <w:pPr>
        <w:ind w:left="3600" w:hanging="360"/>
      </w:pPr>
      <w:rPr>
        <w:rFonts w:ascii="Courier New" w:hAnsi="Courier New" w:hint="default"/>
      </w:rPr>
    </w:lvl>
    <w:lvl w:ilvl="5" w:tplc="9DEE5E4C">
      <w:start w:val="1"/>
      <w:numFmt w:val="bullet"/>
      <w:lvlText w:val=""/>
      <w:lvlJc w:val="left"/>
      <w:pPr>
        <w:ind w:left="4320" w:hanging="360"/>
      </w:pPr>
      <w:rPr>
        <w:rFonts w:ascii="Wingdings" w:hAnsi="Wingdings" w:hint="default"/>
      </w:rPr>
    </w:lvl>
    <w:lvl w:ilvl="6" w:tplc="E2A0C74C">
      <w:start w:val="1"/>
      <w:numFmt w:val="bullet"/>
      <w:lvlText w:val=""/>
      <w:lvlJc w:val="left"/>
      <w:pPr>
        <w:ind w:left="5040" w:hanging="360"/>
      </w:pPr>
      <w:rPr>
        <w:rFonts w:ascii="Symbol" w:hAnsi="Symbol" w:hint="default"/>
      </w:rPr>
    </w:lvl>
    <w:lvl w:ilvl="7" w:tplc="3746E20A">
      <w:start w:val="1"/>
      <w:numFmt w:val="bullet"/>
      <w:lvlText w:val="o"/>
      <w:lvlJc w:val="left"/>
      <w:pPr>
        <w:ind w:left="5760" w:hanging="360"/>
      </w:pPr>
      <w:rPr>
        <w:rFonts w:ascii="Courier New" w:hAnsi="Courier New" w:hint="default"/>
      </w:rPr>
    </w:lvl>
    <w:lvl w:ilvl="8" w:tplc="4D36678E">
      <w:start w:val="1"/>
      <w:numFmt w:val="bullet"/>
      <w:lvlText w:val=""/>
      <w:lvlJc w:val="left"/>
      <w:pPr>
        <w:ind w:left="6480" w:hanging="360"/>
      </w:pPr>
      <w:rPr>
        <w:rFonts w:ascii="Wingdings" w:hAnsi="Wingdings" w:hint="default"/>
      </w:rPr>
    </w:lvl>
  </w:abstractNum>
  <w:abstractNum w:abstractNumId="17" w15:restartNumberingAfterBreak="0">
    <w:nsid w:val="591C4726"/>
    <w:multiLevelType w:val="hybridMultilevel"/>
    <w:tmpl w:val="FFFFFFFF"/>
    <w:lvl w:ilvl="0" w:tplc="EF82E8EC">
      <w:start w:val="1"/>
      <w:numFmt w:val="bullet"/>
      <w:lvlText w:val=""/>
      <w:lvlJc w:val="left"/>
      <w:pPr>
        <w:ind w:left="720" w:hanging="360"/>
      </w:pPr>
      <w:rPr>
        <w:rFonts w:ascii="Symbol" w:hAnsi="Symbol" w:hint="default"/>
      </w:rPr>
    </w:lvl>
    <w:lvl w:ilvl="1" w:tplc="47E8002C">
      <w:start w:val="1"/>
      <w:numFmt w:val="bullet"/>
      <w:lvlText w:val="o"/>
      <w:lvlJc w:val="left"/>
      <w:pPr>
        <w:ind w:left="1440" w:hanging="360"/>
      </w:pPr>
      <w:rPr>
        <w:rFonts w:ascii="Courier New" w:hAnsi="Courier New" w:hint="default"/>
      </w:rPr>
    </w:lvl>
    <w:lvl w:ilvl="2" w:tplc="FBE8C04C">
      <w:start w:val="1"/>
      <w:numFmt w:val="bullet"/>
      <w:lvlText w:val=""/>
      <w:lvlJc w:val="left"/>
      <w:pPr>
        <w:ind w:left="2160" w:hanging="360"/>
      </w:pPr>
      <w:rPr>
        <w:rFonts w:ascii="Wingdings" w:hAnsi="Wingdings" w:hint="default"/>
      </w:rPr>
    </w:lvl>
    <w:lvl w:ilvl="3" w:tplc="C39A92CC">
      <w:start w:val="1"/>
      <w:numFmt w:val="bullet"/>
      <w:lvlText w:val=""/>
      <w:lvlJc w:val="left"/>
      <w:pPr>
        <w:ind w:left="2880" w:hanging="360"/>
      </w:pPr>
      <w:rPr>
        <w:rFonts w:ascii="Symbol" w:hAnsi="Symbol" w:hint="default"/>
      </w:rPr>
    </w:lvl>
    <w:lvl w:ilvl="4" w:tplc="184A11FE">
      <w:start w:val="1"/>
      <w:numFmt w:val="bullet"/>
      <w:lvlText w:val="o"/>
      <w:lvlJc w:val="left"/>
      <w:pPr>
        <w:ind w:left="3600" w:hanging="360"/>
      </w:pPr>
      <w:rPr>
        <w:rFonts w:ascii="Courier New" w:hAnsi="Courier New" w:hint="default"/>
      </w:rPr>
    </w:lvl>
    <w:lvl w:ilvl="5" w:tplc="B7D05C7A">
      <w:start w:val="1"/>
      <w:numFmt w:val="bullet"/>
      <w:lvlText w:val=""/>
      <w:lvlJc w:val="left"/>
      <w:pPr>
        <w:ind w:left="4320" w:hanging="360"/>
      </w:pPr>
      <w:rPr>
        <w:rFonts w:ascii="Wingdings" w:hAnsi="Wingdings" w:hint="default"/>
      </w:rPr>
    </w:lvl>
    <w:lvl w:ilvl="6" w:tplc="123602A2">
      <w:start w:val="1"/>
      <w:numFmt w:val="bullet"/>
      <w:lvlText w:val=""/>
      <w:lvlJc w:val="left"/>
      <w:pPr>
        <w:ind w:left="5040" w:hanging="360"/>
      </w:pPr>
      <w:rPr>
        <w:rFonts w:ascii="Symbol" w:hAnsi="Symbol" w:hint="default"/>
      </w:rPr>
    </w:lvl>
    <w:lvl w:ilvl="7" w:tplc="55E486F0">
      <w:start w:val="1"/>
      <w:numFmt w:val="bullet"/>
      <w:lvlText w:val="o"/>
      <w:lvlJc w:val="left"/>
      <w:pPr>
        <w:ind w:left="5760" w:hanging="360"/>
      </w:pPr>
      <w:rPr>
        <w:rFonts w:ascii="Courier New" w:hAnsi="Courier New" w:hint="default"/>
      </w:rPr>
    </w:lvl>
    <w:lvl w:ilvl="8" w:tplc="31224C2C">
      <w:start w:val="1"/>
      <w:numFmt w:val="bullet"/>
      <w:lvlText w:val=""/>
      <w:lvlJc w:val="left"/>
      <w:pPr>
        <w:ind w:left="6480" w:hanging="360"/>
      </w:pPr>
      <w:rPr>
        <w:rFonts w:ascii="Wingdings" w:hAnsi="Wingdings" w:hint="default"/>
      </w:rPr>
    </w:lvl>
  </w:abstractNum>
  <w:abstractNum w:abstractNumId="18" w15:restartNumberingAfterBreak="0">
    <w:nsid w:val="5A361E28"/>
    <w:multiLevelType w:val="multilevel"/>
    <w:tmpl w:val="211CA17A"/>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bullet"/>
      <w:lvlText w:val=""/>
      <w:lvlJc w:val="left"/>
      <w:pPr>
        <w:ind w:left="2160" w:hanging="360"/>
      </w:pPr>
      <w:rPr>
        <w:rFonts w:ascii="Wingdings" w:hAnsi="Wingdings" w:cs="Wingding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15:restartNumberingAfterBreak="0">
    <w:nsid w:val="67212734"/>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C386E70"/>
    <w:multiLevelType w:val="multilevel"/>
    <w:tmpl w:val="211CA17A"/>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bullet"/>
      <w:lvlText w:val=""/>
      <w:lvlJc w:val="left"/>
      <w:pPr>
        <w:ind w:left="2160" w:hanging="360"/>
      </w:pPr>
      <w:rPr>
        <w:rFonts w:ascii="Wingdings" w:hAnsi="Wingdings" w:cs="Wingding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15:restartNumberingAfterBreak="0">
    <w:nsid w:val="6EC67691"/>
    <w:multiLevelType w:val="multilevel"/>
    <w:tmpl w:val="211CA17A"/>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bullet"/>
      <w:lvlText w:val=""/>
      <w:lvlJc w:val="left"/>
      <w:pPr>
        <w:ind w:left="1800" w:hanging="360"/>
      </w:pPr>
      <w:rPr>
        <w:rFonts w:ascii="Wingdings" w:hAnsi="Wingdings" w:cs="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70F772CD"/>
    <w:multiLevelType w:val="hybridMultilevel"/>
    <w:tmpl w:val="DE7492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9E47BB"/>
    <w:multiLevelType w:val="hybridMultilevel"/>
    <w:tmpl w:val="1CA0AC6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54603E"/>
    <w:multiLevelType w:val="hybridMultilevel"/>
    <w:tmpl w:val="D95E8D36"/>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7E3160"/>
    <w:multiLevelType w:val="multilevel"/>
    <w:tmpl w:val="211CA17A"/>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bullet"/>
      <w:lvlText w:val=""/>
      <w:lvlJc w:val="left"/>
      <w:pPr>
        <w:ind w:left="1800" w:hanging="360"/>
      </w:pPr>
      <w:rPr>
        <w:rFonts w:ascii="Wingdings" w:hAnsi="Wingdings" w:cs="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7D87761F"/>
    <w:multiLevelType w:val="multilevel"/>
    <w:tmpl w:val="907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155634">
    <w:abstractNumId w:val="15"/>
  </w:num>
  <w:num w:numId="2" w16cid:durableId="435174370">
    <w:abstractNumId w:val="2"/>
  </w:num>
  <w:num w:numId="3" w16cid:durableId="408816928">
    <w:abstractNumId w:val="13"/>
  </w:num>
  <w:num w:numId="4" w16cid:durableId="784234069">
    <w:abstractNumId w:val="17"/>
  </w:num>
  <w:num w:numId="5" w16cid:durableId="2007587045">
    <w:abstractNumId w:val="10"/>
  </w:num>
  <w:num w:numId="6" w16cid:durableId="1263300777">
    <w:abstractNumId w:val="6"/>
  </w:num>
  <w:num w:numId="7" w16cid:durableId="1051534914">
    <w:abstractNumId w:val="22"/>
  </w:num>
  <w:num w:numId="8" w16cid:durableId="678389039">
    <w:abstractNumId w:val="0"/>
  </w:num>
  <w:num w:numId="9" w16cid:durableId="1994287355">
    <w:abstractNumId w:val="8"/>
  </w:num>
  <w:num w:numId="10" w16cid:durableId="38164590">
    <w:abstractNumId w:val="16"/>
  </w:num>
  <w:num w:numId="11" w16cid:durableId="62603691">
    <w:abstractNumId w:val="24"/>
  </w:num>
  <w:num w:numId="12" w16cid:durableId="1801655761">
    <w:abstractNumId w:val="19"/>
  </w:num>
  <w:num w:numId="13" w16cid:durableId="982999869">
    <w:abstractNumId w:val="12"/>
  </w:num>
  <w:num w:numId="14" w16cid:durableId="1334183135">
    <w:abstractNumId w:val="5"/>
  </w:num>
  <w:num w:numId="15" w16cid:durableId="652026666">
    <w:abstractNumId w:val="1"/>
  </w:num>
  <w:num w:numId="16" w16cid:durableId="696928060">
    <w:abstractNumId w:val="14"/>
  </w:num>
  <w:num w:numId="17" w16cid:durableId="1959331710">
    <w:abstractNumId w:val="3"/>
  </w:num>
  <w:num w:numId="18" w16cid:durableId="2083290963">
    <w:abstractNumId w:val="11"/>
  </w:num>
  <w:num w:numId="19" w16cid:durableId="260341494">
    <w:abstractNumId w:val="21"/>
  </w:num>
  <w:num w:numId="20" w16cid:durableId="1459254259">
    <w:abstractNumId w:val="9"/>
  </w:num>
  <w:num w:numId="21" w16cid:durableId="644510744">
    <w:abstractNumId w:val="25"/>
  </w:num>
  <w:num w:numId="22" w16cid:durableId="1541743845">
    <w:abstractNumId w:val="4"/>
  </w:num>
  <w:num w:numId="23" w16cid:durableId="535388922">
    <w:abstractNumId w:val="18"/>
  </w:num>
  <w:num w:numId="24" w16cid:durableId="1317302004">
    <w:abstractNumId w:val="7"/>
  </w:num>
  <w:num w:numId="25" w16cid:durableId="1006246245">
    <w:abstractNumId w:val="23"/>
  </w:num>
  <w:num w:numId="26" w16cid:durableId="1274367116">
    <w:abstractNumId w:val="20"/>
  </w:num>
  <w:num w:numId="27" w16cid:durableId="1033919196">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5C"/>
    <w:rsid w:val="00001B77"/>
    <w:rsid w:val="00016240"/>
    <w:rsid w:val="00021CA9"/>
    <w:rsid w:val="00046281"/>
    <w:rsid w:val="00057B7A"/>
    <w:rsid w:val="00066EC0"/>
    <w:rsid w:val="0006763C"/>
    <w:rsid w:val="00072A70"/>
    <w:rsid w:val="00080DDE"/>
    <w:rsid w:val="00091C28"/>
    <w:rsid w:val="00092B81"/>
    <w:rsid w:val="000935BA"/>
    <w:rsid w:val="000C18DB"/>
    <w:rsid w:val="000C2ACD"/>
    <w:rsid w:val="000E4017"/>
    <w:rsid w:val="000F39DB"/>
    <w:rsid w:val="00115FFD"/>
    <w:rsid w:val="00127A3B"/>
    <w:rsid w:val="00127BD6"/>
    <w:rsid w:val="001446AB"/>
    <w:rsid w:val="001548A9"/>
    <w:rsid w:val="00163DD7"/>
    <w:rsid w:val="0017622D"/>
    <w:rsid w:val="00186F5C"/>
    <w:rsid w:val="001A4422"/>
    <w:rsid w:val="001A7110"/>
    <w:rsid w:val="001A7748"/>
    <w:rsid w:val="001C0EDB"/>
    <w:rsid w:val="001D15C8"/>
    <w:rsid w:val="001E499F"/>
    <w:rsid w:val="001E78B5"/>
    <w:rsid w:val="001F2E64"/>
    <w:rsid w:val="00201586"/>
    <w:rsid w:val="00201E9A"/>
    <w:rsid w:val="002061FF"/>
    <w:rsid w:val="002234C1"/>
    <w:rsid w:val="002270B0"/>
    <w:rsid w:val="002331AD"/>
    <w:rsid w:val="002364DD"/>
    <w:rsid w:val="002449A6"/>
    <w:rsid w:val="00254E9A"/>
    <w:rsid w:val="002633DB"/>
    <w:rsid w:val="00272003"/>
    <w:rsid w:val="0028279A"/>
    <w:rsid w:val="00282F86"/>
    <w:rsid w:val="00283358"/>
    <w:rsid w:val="00285873"/>
    <w:rsid w:val="00291482"/>
    <w:rsid w:val="00291AD4"/>
    <w:rsid w:val="002A2623"/>
    <w:rsid w:val="002A2B4F"/>
    <w:rsid w:val="002A3BA5"/>
    <w:rsid w:val="002A6FDE"/>
    <w:rsid w:val="002B6C6F"/>
    <w:rsid w:val="002B78D2"/>
    <w:rsid w:val="002C111A"/>
    <w:rsid w:val="002C1984"/>
    <w:rsid w:val="002C71ED"/>
    <w:rsid w:val="002E68B2"/>
    <w:rsid w:val="002F582D"/>
    <w:rsid w:val="00305DC6"/>
    <w:rsid w:val="00305DE3"/>
    <w:rsid w:val="00314D7B"/>
    <w:rsid w:val="00326B82"/>
    <w:rsid w:val="00345B69"/>
    <w:rsid w:val="00346408"/>
    <w:rsid w:val="00350B8A"/>
    <w:rsid w:val="00350D5F"/>
    <w:rsid w:val="00354334"/>
    <w:rsid w:val="00361F79"/>
    <w:rsid w:val="00363C3D"/>
    <w:rsid w:val="00383703"/>
    <w:rsid w:val="00387D22"/>
    <w:rsid w:val="0039119D"/>
    <w:rsid w:val="003B6554"/>
    <w:rsid w:val="003D1BAF"/>
    <w:rsid w:val="003D2EA0"/>
    <w:rsid w:val="003D3029"/>
    <w:rsid w:val="003D5699"/>
    <w:rsid w:val="003F35B2"/>
    <w:rsid w:val="003F4DF2"/>
    <w:rsid w:val="003F54CE"/>
    <w:rsid w:val="004023DD"/>
    <w:rsid w:val="00412946"/>
    <w:rsid w:val="00417271"/>
    <w:rsid w:val="00432A2F"/>
    <w:rsid w:val="004407A8"/>
    <w:rsid w:val="004722FF"/>
    <w:rsid w:val="0047E11E"/>
    <w:rsid w:val="004843E8"/>
    <w:rsid w:val="00486C2A"/>
    <w:rsid w:val="004A53C5"/>
    <w:rsid w:val="004B1DE3"/>
    <w:rsid w:val="004E45F5"/>
    <w:rsid w:val="004E5C2F"/>
    <w:rsid w:val="004F1D90"/>
    <w:rsid w:val="004F3D75"/>
    <w:rsid w:val="004F7C4B"/>
    <w:rsid w:val="0050022E"/>
    <w:rsid w:val="00501303"/>
    <w:rsid w:val="005229D8"/>
    <w:rsid w:val="0053194B"/>
    <w:rsid w:val="005345EC"/>
    <w:rsid w:val="005532CA"/>
    <w:rsid w:val="00561428"/>
    <w:rsid w:val="00561D41"/>
    <w:rsid w:val="00564E06"/>
    <w:rsid w:val="00575376"/>
    <w:rsid w:val="00575E90"/>
    <w:rsid w:val="00577DB2"/>
    <w:rsid w:val="00584B5A"/>
    <w:rsid w:val="00592250"/>
    <w:rsid w:val="005B3979"/>
    <w:rsid w:val="005B69C5"/>
    <w:rsid w:val="005C15A2"/>
    <w:rsid w:val="005C53F7"/>
    <w:rsid w:val="005E24BF"/>
    <w:rsid w:val="005F285D"/>
    <w:rsid w:val="005F30C6"/>
    <w:rsid w:val="005F772A"/>
    <w:rsid w:val="00615096"/>
    <w:rsid w:val="0061580A"/>
    <w:rsid w:val="006268B1"/>
    <w:rsid w:val="0063183A"/>
    <w:rsid w:val="00634D55"/>
    <w:rsid w:val="00645D4C"/>
    <w:rsid w:val="00647721"/>
    <w:rsid w:val="00667E79"/>
    <w:rsid w:val="0067351B"/>
    <w:rsid w:val="006905E2"/>
    <w:rsid w:val="006921C4"/>
    <w:rsid w:val="006931E0"/>
    <w:rsid w:val="006A0A3F"/>
    <w:rsid w:val="006A66F1"/>
    <w:rsid w:val="006A67EB"/>
    <w:rsid w:val="006B1E39"/>
    <w:rsid w:val="006B273C"/>
    <w:rsid w:val="006C6A35"/>
    <w:rsid w:val="006E34CA"/>
    <w:rsid w:val="006E755C"/>
    <w:rsid w:val="006F06BD"/>
    <w:rsid w:val="006F095A"/>
    <w:rsid w:val="006F61B0"/>
    <w:rsid w:val="0070574B"/>
    <w:rsid w:val="00742E3C"/>
    <w:rsid w:val="00750625"/>
    <w:rsid w:val="00761E37"/>
    <w:rsid w:val="0076247D"/>
    <w:rsid w:val="0077046B"/>
    <w:rsid w:val="00774F62"/>
    <w:rsid w:val="00785277"/>
    <w:rsid w:val="007953C3"/>
    <w:rsid w:val="007A7BBF"/>
    <w:rsid w:val="007B1840"/>
    <w:rsid w:val="007B5FC5"/>
    <w:rsid w:val="007C6A00"/>
    <w:rsid w:val="007D0451"/>
    <w:rsid w:val="007D3466"/>
    <w:rsid w:val="007D4B83"/>
    <w:rsid w:val="007F24E8"/>
    <w:rsid w:val="008012F0"/>
    <w:rsid w:val="008111CA"/>
    <w:rsid w:val="0081314C"/>
    <w:rsid w:val="00820CC5"/>
    <w:rsid w:val="00843A4D"/>
    <w:rsid w:val="0086433C"/>
    <w:rsid w:val="00877123"/>
    <w:rsid w:val="00885C2A"/>
    <w:rsid w:val="0089247A"/>
    <w:rsid w:val="008964D4"/>
    <w:rsid w:val="0089714F"/>
    <w:rsid w:val="00897D26"/>
    <w:rsid w:val="008A7703"/>
    <w:rsid w:val="008C7B9E"/>
    <w:rsid w:val="008D0E4B"/>
    <w:rsid w:val="008D6024"/>
    <w:rsid w:val="008F4F25"/>
    <w:rsid w:val="00905201"/>
    <w:rsid w:val="00910D3D"/>
    <w:rsid w:val="009148D7"/>
    <w:rsid w:val="0091754C"/>
    <w:rsid w:val="00917D2D"/>
    <w:rsid w:val="00922A73"/>
    <w:rsid w:val="00934095"/>
    <w:rsid w:val="009458D4"/>
    <w:rsid w:val="00961A0B"/>
    <w:rsid w:val="00966302"/>
    <w:rsid w:val="0097260E"/>
    <w:rsid w:val="00972B1A"/>
    <w:rsid w:val="00976E71"/>
    <w:rsid w:val="009A4984"/>
    <w:rsid w:val="009B0FC1"/>
    <w:rsid w:val="00A1222E"/>
    <w:rsid w:val="00A1583C"/>
    <w:rsid w:val="00A26F35"/>
    <w:rsid w:val="00A30007"/>
    <w:rsid w:val="00A36135"/>
    <w:rsid w:val="00A40184"/>
    <w:rsid w:val="00A4322D"/>
    <w:rsid w:val="00A67943"/>
    <w:rsid w:val="00A74F6D"/>
    <w:rsid w:val="00A7785C"/>
    <w:rsid w:val="00AA0FBA"/>
    <w:rsid w:val="00AA4E06"/>
    <w:rsid w:val="00AB7386"/>
    <w:rsid w:val="00AD0C05"/>
    <w:rsid w:val="00AD2854"/>
    <w:rsid w:val="00AE01DB"/>
    <w:rsid w:val="00AE312F"/>
    <w:rsid w:val="00AE3A5C"/>
    <w:rsid w:val="00AE6292"/>
    <w:rsid w:val="00AF05FF"/>
    <w:rsid w:val="00AF7601"/>
    <w:rsid w:val="00B01A0D"/>
    <w:rsid w:val="00B02C28"/>
    <w:rsid w:val="00B05AB8"/>
    <w:rsid w:val="00B10579"/>
    <w:rsid w:val="00B123E3"/>
    <w:rsid w:val="00B14065"/>
    <w:rsid w:val="00B24BB6"/>
    <w:rsid w:val="00B3075C"/>
    <w:rsid w:val="00B44FF2"/>
    <w:rsid w:val="00B5309C"/>
    <w:rsid w:val="00B655BA"/>
    <w:rsid w:val="00B75BC4"/>
    <w:rsid w:val="00B808FE"/>
    <w:rsid w:val="00B8197A"/>
    <w:rsid w:val="00B87167"/>
    <w:rsid w:val="00BC334B"/>
    <w:rsid w:val="00BC5D79"/>
    <w:rsid w:val="00BF5E9A"/>
    <w:rsid w:val="00BF7FE7"/>
    <w:rsid w:val="00C0230F"/>
    <w:rsid w:val="00C02F5D"/>
    <w:rsid w:val="00C068C9"/>
    <w:rsid w:val="00C1634A"/>
    <w:rsid w:val="00C21FEE"/>
    <w:rsid w:val="00C23C8F"/>
    <w:rsid w:val="00C2595C"/>
    <w:rsid w:val="00C32E6F"/>
    <w:rsid w:val="00C41985"/>
    <w:rsid w:val="00C45DDD"/>
    <w:rsid w:val="00C55928"/>
    <w:rsid w:val="00C57607"/>
    <w:rsid w:val="00C60304"/>
    <w:rsid w:val="00C60382"/>
    <w:rsid w:val="00C628BF"/>
    <w:rsid w:val="00C633E0"/>
    <w:rsid w:val="00C81C9A"/>
    <w:rsid w:val="00C87335"/>
    <w:rsid w:val="00C93AEE"/>
    <w:rsid w:val="00C96C80"/>
    <w:rsid w:val="00CA16E2"/>
    <w:rsid w:val="00CB1BEF"/>
    <w:rsid w:val="00CC2401"/>
    <w:rsid w:val="00CD7E12"/>
    <w:rsid w:val="00D02AE1"/>
    <w:rsid w:val="00D0391F"/>
    <w:rsid w:val="00D220A4"/>
    <w:rsid w:val="00D31A8A"/>
    <w:rsid w:val="00D51603"/>
    <w:rsid w:val="00D57321"/>
    <w:rsid w:val="00D81F6A"/>
    <w:rsid w:val="00D837AF"/>
    <w:rsid w:val="00DA1AFD"/>
    <w:rsid w:val="00DA3099"/>
    <w:rsid w:val="00DA7E01"/>
    <w:rsid w:val="00DB005A"/>
    <w:rsid w:val="00DB0204"/>
    <w:rsid w:val="00DB287C"/>
    <w:rsid w:val="00DB2989"/>
    <w:rsid w:val="00DD16B6"/>
    <w:rsid w:val="00DE2EF6"/>
    <w:rsid w:val="00E0343C"/>
    <w:rsid w:val="00E13F6F"/>
    <w:rsid w:val="00E22270"/>
    <w:rsid w:val="00E22448"/>
    <w:rsid w:val="00E3356F"/>
    <w:rsid w:val="00E34ED8"/>
    <w:rsid w:val="00E37CA8"/>
    <w:rsid w:val="00E432D8"/>
    <w:rsid w:val="00E44BE4"/>
    <w:rsid w:val="00E5190B"/>
    <w:rsid w:val="00E55D28"/>
    <w:rsid w:val="00E6676D"/>
    <w:rsid w:val="00E93510"/>
    <w:rsid w:val="00E936F0"/>
    <w:rsid w:val="00EA23BE"/>
    <w:rsid w:val="00EA640B"/>
    <w:rsid w:val="00ED295F"/>
    <w:rsid w:val="00ED2B43"/>
    <w:rsid w:val="00EF2E11"/>
    <w:rsid w:val="00EF5B1C"/>
    <w:rsid w:val="00F310E6"/>
    <w:rsid w:val="00F47CD6"/>
    <w:rsid w:val="00F70C32"/>
    <w:rsid w:val="00F84CDD"/>
    <w:rsid w:val="00F856AF"/>
    <w:rsid w:val="00F90EEA"/>
    <w:rsid w:val="00F97239"/>
    <w:rsid w:val="00FB2933"/>
    <w:rsid w:val="00FB7119"/>
    <w:rsid w:val="00FC0220"/>
    <w:rsid w:val="00FC0F55"/>
    <w:rsid w:val="00FC119F"/>
    <w:rsid w:val="00FC443E"/>
    <w:rsid w:val="00FD7648"/>
    <w:rsid w:val="00FE1C1C"/>
    <w:rsid w:val="00FF2EEB"/>
    <w:rsid w:val="0135FCF2"/>
    <w:rsid w:val="019F1E05"/>
    <w:rsid w:val="01A55715"/>
    <w:rsid w:val="029A3D65"/>
    <w:rsid w:val="037D6791"/>
    <w:rsid w:val="03A49804"/>
    <w:rsid w:val="03FDD452"/>
    <w:rsid w:val="0401AB4F"/>
    <w:rsid w:val="04341EB0"/>
    <w:rsid w:val="05E5BEDF"/>
    <w:rsid w:val="05FA9023"/>
    <w:rsid w:val="06B96909"/>
    <w:rsid w:val="06F95C37"/>
    <w:rsid w:val="07471492"/>
    <w:rsid w:val="075A533A"/>
    <w:rsid w:val="086936C8"/>
    <w:rsid w:val="099896CB"/>
    <w:rsid w:val="0AA7B7C2"/>
    <w:rsid w:val="0C7FD2D6"/>
    <w:rsid w:val="0E24273A"/>
    <w:rsid w:val="0EC9A4F2"/>
    <w:rsid w:val="0F917D5D"/>
    <w:rsid w:val="1095CCD4"/>
    <w:rsid w:val="10EAC512"/>
    <w:rsid w:val="10EBCBC9"/>
    <w:rsid w:val="11307DE7"/>
    <w:rsid w:val="11AEDE5C"/>
    <w:rsid w:val="12052B98"/>
    <w:rsid w:val="12329954"/>
    <w:rsid w:val="12549FC3"/>
    <w:rsid w:val="12CA0363"/>
    <w:rsid w:val="13115832"/>
    <w:rsid w:val="13314492"/>
    <w:rsid w:val="13997415"/>
    <w:rsid w:val="14CB4823"/>
    <w:rsid w:val="16B23691"/>
    <w:rsid w:val="17BE4C05"/>
    <w:rsid w:val="1B9B4341"/>
    <w:rsid w:val="1C5B7CED"/>
    <w:rsid w:val="1CCDFD43"/>
    <w:rsid w:val="1CDC7593"/>
    <w:rsid w:val="1CF1853B"/>
    <w:rsid w:val="1D11D0D5"/>
    <w:rsid w:val="1E107F48"/>
    <w:rsid w:val="1E5B5FEC"/>
    <w:rsid w:val="1E9EEA82"/>
    <w:rsid w:val="1F0D9087"/>
    <w:rsid w:val="1FBF83B9"/>
    <w:rsid w:val="20766F19"/>
    <w:rsid w:val="20D653D2"/>
    <w:rsid w:val="22487FB5"/>
    <w:rsid w:val="225200D2"/>
    <w:rsid w:val="23177630"/>
    <w:rsid w:val="23E1CAF8"/>
    <w:rsid w:val="2483B243"/>
    <w:rsid w:val="25405F1F"/>
    <w:rsid w:val="2548B14C"/>
    <w:rsid w:val="25A27A7A"/>
    <w:rsid w:val="27B3CB21"/>
    <w:rsid w:val="27B46299"/>
    <w:rsid w:val="290C9239"/>
    <w:rsid w:val="29877AE7"/>
    <w:rsid w:val="2B81A702"/>
    <w:rsid w:val="2B96DDE8"/>
    <w:rsid w:val="2C6A4011"/>
    <w:rsid w:val="2CEAACD2"/>
    <w:rsid w:val="2CF6D2D5"/>
    <w:rsid w:val="2E5DAD96"/>
    <w:rsid w:val="2E63A2DE"/>
    <w:rsid w:val="2E6444EE"/>
    <w:rsid w:val="2EA9304A"/>
    <w:rsid w:val="2F7B705E"/>
    <w:rsid w:val="3077B60C"/>
    <w:rsid w:val="309BC9E9"/>
    <w:rsid w:val="30F5ED26"/>
    <w:rsid w:val="31802305"/>
    <w:rsid w:val="330CE39E"/>
    <w:rsid w:val="340D3CEE"/>
    <w:rsid w:val="34EC7BFE"/>
    <w:rsid w:val="351ED655"/>
    <w:rsid w:val="35A6B5CA"/>
    <w:rsid w:val="35C582FD"/>
    <w:rsid w:val="361AEA7A"/>
    <w:rsid w:val="36978EF8"/>
    <w:rsid w:val="3722A033"/>
    <w:rsid w:val="37494F59"/>
    <w:rsid w:val="3897CC06"/>
    <w:rsid w:val="391F2510"/>
    <w:rsid w:val="39423754"/>
    <w:rsid w:val="39446CFB"/>
    <w:rsid w:val="39684F02"/>
    <w:rsid w:val="39770B95"/>
    <w:rsid w:val="39A7F3B4"/>
    <w:rsid w:val="3BF64EBF"/>
    <w:rsid w:val="3C6D3B5E"/>
    <w:rsid w:val="3DF33D61"/>
    <w:rsid w:val="3E2D853E"/>
    <w:rsid w:val="3F572288"/>
    <w:rsid w:val="410760C3"/>
    <w:rsid w:val="431199C0"/>
    <w:rsid w:val="4328F022"/>
    <w:rsid w:val="4356BF79"/>
    <w:rsid w:val="436F7AA8"/>
    <w:rsid w:val="43C88520"/>
    <w:rsid w:val="440058F2"/>
    <w:rsid w:val="44DA67A3"/>
    <w:rsid w:val="457A9702"/>
    <w:rsid w:val="45AA15BE"/>
    <w:rsid w:val="4618D869"/>
    <w:rsid w:val="4697A6FB"/>
    <w:rsid w:val="46D44922"/>
    <w:rsid w:val="475CE36D"/>
    <w:rsid w:val="486FF4E0"/>
    <w:rsid w:val="49193BD6"/>
    <w:rsid w:val="4A1A97A0"/>
    <w:rsid w:val="4A9FA280"/>
    <w:rsid w:val="4B8F2BFB"/>
    <w:rsid w:val="4CACBAAA"/>
    <w:rsid w:val="4CF520C8"/>
    <w:rsid w:val="4DDC957F"/>
    <w:rsid w:val="4F94288B"/>
    <w:rsid w:val="4F99EF45"/>
    <w:rsid w:val="514CB7B6"/>
    <w:rsid w:val="52857198"/>
    <w:rsid w:val="546311BA"/>
    <w:rsid w:val="5481C8C2"/>
    <w:rsid w:val="55BD7701"/>
    <w:rsid w:val="55F65285"/>
    <w:rsid w:val="565EF9A5"/>
    <w:rsid w:val="5800079F"/>
    <w:rsid w:val="588687E9"/>
    <w:rsid w:val="58AB50DF"/>
    <w:rsid w:val="58D4FFF5"/>
    <w:rsid w:val="59179904"/>
    <w:rsid w:val="599AFB1D"/>
    <w:rsid w:val="59B24521"/>
    <w:rsid w:val="5A3BE54E"/>
    <w:rsid w:val="5ACFDE13"/>
    <w:rsid w:val="5B50EEFF"/>
    <w:rsid w:val="5BEEDA3B"/>
    <w:rsid w:val="5C944D5B"/>
    <w:rsid w:val="5CFA09BB"/>
    <w:rsid w:val="5E6619F5"/>
    <w:rsid w:val="5EDE02D1"/>
    <w:rsid w:val="5F48275D"/>
    <w:rsid w:val="5FB367D0"/>
    <w:rsid w:val="5FDD70F5"/>
    <w:rsid w:val="604022CD"/>
    <w:rsid w:val="62BC9FB2"/>
    <w:rsid w:val="632DC9DA"/>
    <w:rsid w:val="6380A1A1"/>
    <w:rsid w:val="645194D7"/>
    <w:rsid w:val="64D7B977"/>
    <w:rsid w:val="659ED7FC"/>
    <w:rsid w:val="667B0629"/>
    <w:rsid w:val="674636E8"/>
    <w:rsid w:val="6763B563"/>
    <w:rsid w:val="67C9345A"/>
    <w:rsid w:val="68532238"/>
    <w:rsid w:val="69A899E9"/>
    <w:rsid w:val="6A523BE9"/>
    <w:rsid w:val="6A94A227"/>
    <w:rsid w:val="6ADB5F7E"/>
    <w:rsid w:val="6BBB1980"/>
    <w:rsid w:val="6CBFE574"/>
    <w:rsid w:val="6D3961C9"/>
    <w:rsid w:val="6DA4CA75"/>
    <w:rsid w:val="6DEBC43A"/>
    <w:rsid w:val="6E57EB9C"/>
    <w:rsid w:val="6E767C61"/>
    <w:rsid w:val="6EA47602"/>
    <w:rsid w:val="6EC691A1"/>
    <w:rsid w:val="7011B54A"/>
    <w:rsid w:val="70287FC7"/>
    <w:rsid w:val="715DDE6D"/>
    <w:rsid w:val="7167870A"/>
    <w:rsid w:val="71C65E84"/>
    <w:rsid w:val="7344F556"/>
    <w:rsid w:val="735F5640"/>
    <w:rsid w:val="73B0C2A9"/>
    <w:rsid w:val="74F30745"/>
    <w:rsid w:val="75ABAD7A"/>
    <w:rsid w:val="76B12616"/>
    <w:rsid w:val="76B3B5CC"/>
    <w:rsid w:val="76BB3DB0"/>
    <w:rsid w:val="77D06F9A"/>
    <w:rsid w:val="780C8877"/>
    <w:rsid w:val="7898C8A2"/>
    <w:rsid w:val="7A29563D"/>
    <w:rsid w:val="7A48DE62"/>
    <w:rsid w:val="7B7222DA"/>
    <w:rsid w:val="7B99F55D"/>
    <w:rsid w:val="7BABDD42"/>
    <w:rsid w:val="7BC26AEB"/>
    <w:rsid w:val="7DEF0EFE"/>
    <w:rsid w:val="7E6D1347"/>
    <w:rsid w:val="7EB70DF7"/>
    <w:rsid w:val="7ECBD4A3"/>
    <w:rsid w:val="7F26EB27"/>
    <w:rsid w:val="7F3B609C"/>
    <w:rsid w:val="7F494D07"/>
    <w:rsid w:val="7F7AFAB6"/>
    <w:rsid w:val="7FC393A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CAC2"/>
  <w15:chartTrackingRefBased/>
  <w15:docId w15:val="{31F51E35-92FD-974B-BDC8-366E8530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5C"/>
    <w:pPr>
      <w:ind w:left="720"/>
      <w:contextualSpacing/>
    </w:pPr>
  </w:style>
  <w:style w:type="paragraph" w:styleId="NormalWeb">
    <w:name w:val="Normal (Web)"/>
    <w:basedOn w:val="Normal"/>
    <w:uiPriority w:val="99"/>
    <w:semiHidden/>
    <w:unhideWhenUsed/>
    <w:rsid w:val="00E935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3510"/>
    <w:rPr>
      <w:b/>
      <w:bCs/>
    </w:rPr>
  </w:style>
  <w:style w:type="character" w:styleId="HTMLCode">
    <w:name w:val="HTML Code"/>
    <w:basedOn w:val="DefaultParagraphFont"/>
    <w:uiPriority w:val="99"/>
    <w:semiHidden/>
    <w:unhideWhenUsed/>
    <w:rsid w:val="00667E79"/>
    <w:rPr>
      <w:rFonts w:ascii="Courier New" w:eastAsia="Times New Roman" w:hAnsi="Courier New" w:cs="Courier New"/>
      <w:sz w:val="20"/>
      <w:szCs w:val="20"/>
    </w:rPr>
  </w:style>
  <w:style w:type="character" w:styleId="Hyperlink">
    <w:name w:val="Hyperlink"/>
    <w:basedOn w:val="DefaultParagraphFont"/>
    <w:uiPriority w:val="99"/>
    <w:unhideWhenUsed/>
    <w:rsid w:val="00C62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8717">
      <w:bodyDiv w:val="1"/>
      <w:marLeft w:val="0"/>
      <w:marRight w:val="0"/>
      <w:marTop w:val="0"/>
      <w:marBottom w:val="0"/>
      <w:divBdr>
        <w:top w:val="none" w:sz="0" w:space="0" w:color="auto"/>
        <w:left w:val="none" w:sz="0" w:space="0" w:color="auto"/>
        <w:bottom w:val="none" w:sz="0" w:space="0" w:color="auto"/>
        <w:right w:val="none" w:sz="0" w:space="0" w:color="auto"/>
      </w:divBdr>
    </w:div>
    <w:div w:id="742683699">
      <w:bodyDiv w:val="1"/>
      <w:marLeft w:val="0"/>
      <w:marRight w:val="0"/>
      <w:marTop w:val="0"/>
      <w:marBottom w:val="0"/>
      <w:divBdr>
        <w:top w:val="none" w:sz="0" w:space="0" w:color="auto"/>
        <w:left w:val="none" w:sz="0" w:space="0" w:color="auto"/>
        <w:bottom w:val="none" w:sz="0" w:space="0" w:color="auto"/>
        <w:right w:val="none" w:sz="0" w:space="0" w:color="auto"/>
      </w:divBdr>
    </w:div>
    <w:div w:id="794174773">
      <w:bodyDiv w:val="1"/>
      <w:marLeft w:val="0"/>
      <w:marRight w:val="0"/>
      <w:marTop w:val="0"/>
      <w:marBottom w:val="0"/>
      <w:divBdr>
        <w:top w:val="none" w:sz="0" w:space="0" w:color="auto"/>
        <w:left w:val="none" w:sz="0" w:space="0" w:color="auto"/>
        <w:bottom w:val="none" w:sz="0" w:space="0" w:color="auto"/>
        <w:right w:val="none" w:sz="0" w:space="0" w:color="auto"/>
      </w:divBdr>
    </w:div>
    <w:div w:id="990670876">
      <w:bodyDiv w:val="1"/>
      <w:marLeft w:val="0"/>
      <w:marRight w:val="0"/>
      <w:marTop w:val="0"/>
      <w:marBottom w:val="0"/>
      <w:divBdr>
        <w:top w:val="none" w:sz="0" w:space="0" w:color="auto"/>
        <w:left w:val="none" w:sz="0" w:space="0" w:color="auto"/>
        <w:bottom w:val="none" w:sz="0" w:space="0" w:color="auto"/>
        <w:right w:val="none" w:sz="0" w:space="0" w:color="auto"/>
      </w:divBdr>
    </w:div>
    <w:div w:id="1072502562">
      <w:bodyDiv w:val="1"/>
      <w:marLeft w:val="0"/>
      <w:marRight w:val="0"/>
      <w:marTop w:val="0"/>
      <w:marBottom w:val="0"/>
      <w:divBdr>
        <w:top w:val="none" w:sz="0" w:space="0" w:color="auto"/>
        <w:left w:val="none" w:sz="0" w:space="0" w:color="auto"/>
        <w:bottom w:val="none" w:sz="0" w:space="0" w:color="auto"/>
        <w:right w:val="none" w:sz="0" w:space="0" w:color="auto"/>
      </w:divBdr>
    </w:div>
    <w:div w:id="1435973389">
      <w:bodyDiv w:val="1"/>
      <w:marLeft w:val="0"/>
      <w:marRight w:val="0"/>
      <w:marTop w:val="0"/>
      <w:marBottom w:val="0"/>
      <w:divBdr>
        <w:top w:val="none" w:sz="0" w:space="0" w:color="auto"/>
        <w:left w:val="none" w:sz="0" w:space="0" w:color="auto"/>
        <w:bottom w:val="none" w:sz="0" w:space="0" w:color="auto"/>
        <w:right w:val="none" w:sz="0" w:space="0" w:color="auto"/>
      </w:divBdr>
    </w:div>
    <w:div w:id="1483960522">
      <w:bodyDiv w:val="1"/>
      <w:marLeft w:val="0"/>
      <w:marRight w:val="0"/>
      <w:marTop w:val="0"/>
      <w:marBottom w:val="0"/>
      <w:divBdr>
        <w:top w:val="none" w:sz="0" w:space="0" w:color="auto"/>
        <w:left w:val="none" w:sz="0" w:space="0" w:color="auto"/>
        <w:bottom w:val="none" w:sz="0" w:space="0" w:color="auto"/>
        <w:right w:val="none" w:sz="0" w:space="0" w:color="auto"/>
      </w:divBdr>
    </w:div>
    <w:div w:id="1643192312">
      <w:bodyDiv w:val="1"/>
      <w:marLeft w:val="0"/>
      <w:marRight w:val="0"/>
      <w:marTop w:val="0"/>
      <w:marBottom w:val="0"/>
      <w:divBdr>
        <w:top w:val="none" w:sz="0" w:space="0" w:color="auto"/>
        <w:left w:val="none" w:sz="0" w:space="0" w:color="auto"/>
        <w:bottom w:val="none" w:sz="0" w:space="0" w:color="auto"/>
        <w:right w:val="none" w:sz="0" w:space="0" w:color="auto"/>
      </w:divBdr>
    </w:div>
    <w:div w:id="2071922917">
      <w:bodyDiv w:val="1"/>
      <w:marLeft w:val="0"/>
      <w:marRight w:val="0"/>
      <w:marTop w:val="0"/>
      <w:marBottom w:val="0"/>
      <w:divBdr>
        <w:top w:val="none" w:sz="0" w:space="0" w:color="auto"/>
        <w:left w:val="none" w:sz="0" w:space="0" w:color="auto"/>
        <w:bottom w:val="none" w:sz="0" w:space="0" w:color="auto"/>
        <w:right w:val="none" w:sz="0" w:space="0" w:color="auto"/>
      </w:divBdr>
    </w:div>
    <w:div w:id="20777004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1E69-334E-2845-A909-41B1E9F5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Links>
    <vt:vector size="18" baseType="variant">
      <vt:variant>
        <vt:i4>3407923</vt:i4>
      </vt:variant>
      <vt:variant>
        <vt:i4>6</vt:i4>
      </vt:variant>
      <vt:variant>
        <vt:i4>0</vt:i4>
      </vt:variant>
      <vt:variant>
        <vt:i4>5</vt:i4>
      </vt:variant>
      <vt:variant>
        <vt:lpwstr>https://finance.yahoo.com/</vt:lpwstr>
      </vt:variant>
      <vt:variant>
        <vt:lpwstr/>
      </vt:variant>
      <vt:variant>
        <vt:i4>524309</vt:i4>
      </vt:variant>
      <vt:variant>
        <vt:i4>3</vt:i4>
      </vt:variant>
      <vt:variant>
        <vt:i4>0</vt:i4>
      </vt:variant>
      <vt:variant>
        <vt:i4>5</vt:i4>
      </vt:variant>
      <vt:variant>
        <vt:lpwstr>https://fred.stlouisfed.org/</vt:lpwstr>
      </vt:variant>
      <vt:variant>
        <vt:lpwstr/>
      </vt:variant>
      <vt:variant>
        <vt:i4>7143478</vt:i4>
      </vt:variant>
      <vt:variant>
        <vt:i4>0</vt:i4>
      </vt:variant>
      <vt:variant>
        <vt:i4>0</vt:i4>
      </vt:variant>
      <vt:variant>
        <vt:i4>5</vt:i4>
      </vt:variant>
      <vt:variant>
        <vt:lpwstr>https://www.sec.gov/edgar.shtml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bedirianpardy@gmail.com</dc:creator>
  <cp:keywords/>
  <dc:description/>
  <cp:lastModifiedBy>Chris Bou-Saab</cp:lastModifiedBy>
  <cp:revision>5</cp:revision>
  <dcterms:created xsi:type="dcterms:W3CDTF">2023-12-05T07:58:00Z</dcterms:created>
  <dcterms:modified xsi:type="dcterms:W3CDTF">2023-12-05T09:18:00Z</dcterms:modified>
</cp:coreProperties>
</file>