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  <w:i w:val="0"/>
        </w:rPr>
        <w:t>DRAFT — FOR ATTORNEY REVIEW — NOT FILED</w:t>
      </w:r>
    </w:p>
    <w:p>
      <w:pPr>
        <w:spacing w:line="240" w:lineRule="auto"/>
        <w:jc w:val="center"/>
      </w:pPr>
      <w:r>
        <w:rPr>
          <w:b/>
          <w:i w:val="0"/>
        </w:rPr>
        <w:t>IN THE UNITED STATES DISTRICT COURT</w:t>
      </w:r>
    </w:p>
    <w:p>
      <w:pPr>
        <w:spacing w:line="240" w:lineRule="auto"/>
        <w:jc w:val="center"/>
      </w:pPr>
      <w:r>
        <w:rPr>
          <w:b/>
          <w:i w:val="0"/>
        </w:rPr>
        <w:t>FOR THE NORTHERN DISTRICT OF GEORGIA</w:t>
      </w:r>
    </w:p>
    <w:p>
      <w:pPr>
        <w:spacing w:line="240" w:lineRule="auto"/>
        <w:jc w:val="center"/>
      </w:pPr>
      <w:r>
        <w:rPr>
          <w:b/>
          <w:i w:val="0"/>
        </w:rPr>
        <w:t>GAINESVILLE DIVISION</w:t>
      </w:r>
    </w:p>
    <w:p>
      <w:pPr>
        <w:spacing w:line="240" w:lineRule="auto"/>
      </w:pPr>
      <w:r>
        <w:rPr>
          <w:b w:val="0"/>
          <w:i w:val="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line="240" w:lineRule="auto" w:after="0"/>
            </w:pPr>
            <w:r>
              <w:t>CHRISTOPHER CARRELHA, et al.,</w:t>
              <w:br/>
              <w:br/>
              <w:t xml:space="preserve">     Plaintiffs,</w:t>
              <w:br/>
              <w:br/>
              <w:t xml:space="preserve">     v.</w:t>
              <w:br/>
              <w:br/>
              <w:t>MEB LOAN TRUST VIII, et al.,</w:t>
              <w:br/>
              <w:br/>
              <w:t xml:space="preserve">     Defendants.</w:t>
            </w:r>
          </w:p>
        </w:tc>
        <w:tc>
          <w:tcPr>
            <w:tcW w:type="dxa" w:w="4680"/>
          </w:tcPr>
          <w:p>
            <w:pPr>
              <w:spacing w:line="240" w:lineRule="auto" w:after="0"/>
            </w:pPr>
            <w:r>
              <w:br/>
              <w:t>CIVIL ACTION FILE</w:t>
              <w:br/>
              <w:t>NO. 2:26-cv-00110-RWS-AWH</w:t>
              <w:br/>
              <w:br/>
              <w:t>Judge Richard W. Story</w:t>
              <w:br/>
              <w:t>Magistrate Judge Anna W. Howard</w:t>
            </w:r>
          </w:p>
        </w:tc>
      </w:tr>
    </w:tbl>
    <w:p>
      <w:pPr>
        <w:spacing w:line="240" w:lineRule="auto"/>
      </w:pPr>
      <w:r>
        <w:rPr>
          <w:b w:val="0"/>
          <w:i w:val="0"/>
        </w:rPr>
      </w:r>
    </w:p>
    <w:p>
      <w:pPr>
        <w:spacing w:line="240" w:lineRule="auto"/>
        <w:jc w:val="center"/>
      </w:pPr>
      <w:r>
        <w:rPr>
          <w:b/>
          <w:i w:val="0"/>
        </w:rPr>
        <w:t>FINAL QUALITY GATE — TWO INDEPENDENT AUDITS</w:t>
      </w:r>
    </w:p>
    <w:p>
      <w:pPr>
        <w:spacing w:line="240" w:lineRule="auto"/>
      </w:pPr>
      <w:r>
        <w:rPr>
          <w:b w:val="0"/>
          <w:i w:val="0"/>
        </w:rPr>
      </w:r>
    </w:p>
    <w:p>
      <w:pPr>
        <w:spacing w:line="240" w:lineRule="auto"/>
      </w:pPr>
      <w:r>
        <w:rPr>
          <w:b/>
          <w:i w:val="0"/>
        </w:rPr>
        <w:t>AUDIT A — SOURCE, CITATION, FACTUAL, ACCOUNTING AND PROCEDURAL ACCURACY</w:t>
      </w:r>
    </w:p>
    <w:p>
      <w:pPr>
        <w:ind w:firstLine="0"/>
      </w:pPr>
      <w:r>
        <w:rPr>
          <w:b w:val="0"/>
          <w:i w:val="0"/>
        </w:rPr>
        <w:t>Run by `audit_accuracy.py`, which is deliberately independent of the validators. The validators ask whether each register is internally well formed. This asks whether the **prose and the registers still agree**, which is where a matter pack drifts once the registers stop changing. It recomputes rather than re-reads.</w:t>
      </w:r>
    </w:p>
    <w:p>
      <w:pPr>
        <w:spacing w:line="240" w:lineRule="auto"/>
      </w:pPr>
      <w:r>
        <w:rPr>
          <w:b/>
          <w:i/>
        </w:rPr>
        <w:t>What it found, and what happened next</w:t>
      </w:r>
    </w:p>
    <w:p>
      <w:pPr>
        <w:ind w:firstLine="0"/>
      </w:pPr>
      <w:r>
        <w:rPr>
          <w:b w:val="0"/>
          <w:i w:val="0"/>
        </w:rPr>
        <w:t>**Three broken transaction pairings.** TXN-010 pointed at TXN-008 and TXN-009 without either pointing back; TXN-023 held the $855 that entered suspense and never pointed at the row recording it leaving. A relationship recorded from one end only is one a reader traces in the wrong direction and abandons. The data was repaired and `validate_registers.py` now enforces mutuality, which it never had.</w:t>
      </w:r>
    </w:p>
    <w:p>
      <w:pPr>
        <w:ind w:firstLine="0"/>
      </w:pPr>
      <w:r>
        <w:rPr>
          <w:b w:val="0"/>
          <w:i w:val="0"/>
        </w:rPr>
        <w:t>**A fourth gap the new rule immediately caught.** TXN-050 — the May 17, 2025 tender of $1,899.56 that was never reversed — had no counterpart and no explanation, because there genuinely is no counterpart. That absence is the most significant thing in the ledger, and it was being carried as a blank. The rule was corrected to demand either a named counterpart **or** the word NONE with a stated basis, and the row now records its own absence affirmatively.</w:t>
      </w:r>
    </w:p>
    <w:p>
      <w:pPr>
        <w:ind w:firstLine="0"/>
      </w:pPr>
      <w:r>
        <w:rPr>
          <w:b w:val="0"/>
          <w:i w:val="0"/>
        </w:rPr>
        <w:t>**A discrepancy that turned out to be the audit's.** The first version of this audit recomputed the fee total as $9,003.42 against the register's $8,408.74 — same row count, $594.68 apart. Tracing it showed the audit was wrong twice: it used its own regex rather than DISP-006's explicitly stated set definition, and it summed **absolute** values, so two fee waivers totalling $832.52 were added to the charges instead of subtracted from them.</w:t>
      </w:r>
    </w:p>
    <w:p>
      <w:pPr>
        <w:ind w:firstLine="0"/>
      </w:pPr>
      <w:r>
        <w:rPr>
          <w:b w:val="0"/>
          <w:i w:val="0"/>
        </w:rPr>
        <w:t>Corrected to sum signed amounts by the ledger's own classification codes, it now **independently confirms** DISP-006: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b/>
                <w:sz w:val="18"/>
              </w:rPr>
              <w:t>Classification</w:t>
            </w:r>
          </w:p>
        </w:tc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b/>
                <w:sz w:val="18"/>
              </w:rPr>
              <w:t>Signed total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sz w:val="18"/>
              </w:rPr>
              <w:t>fee-disbursed</w:t>
            </w:r>
          </w:p>
        </w:tc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sz w:val="18"/>
              </w:rPr>
              <w:t>−$6,968.74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sz w:val="18"/>
              </w:rPr>
              <w:t>fee-assessed</w:t>
            </w:r>
          </w:p>
        </w:tc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sz w:val="18"/>
              </w:rPr>
              <w:t>−$1,750.90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sz w:val="18"/>
              </w:rPr>
              <w:t>fee-waived</w:t>
            </w:r>
          </w:p>
        </w:tc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sz w:val="18"/>
              </w:rPr>
              <w:t>+$832.52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sz w:val="18"/>
              </w:rPr>
              <w:t>Net effect on the account</w:t>
            </w:r>
          </w:p>
        </w:tc>
        <w:tc>
          <w:tcPr>
            <w:tcW w:type="dxa" w:w="4680"/>
          </w:tcPr>
          <w:p>
            <w:pPr>
              <w:spacing w:line="240" w:lineRule="auto" w:after="0"/>
            </w:pPr>
            <w:r/>
            <w:r>
              <w:rPr>
                <w:sz w:val="18"/>
              </w:rPr>
              <w:t>−$7,887.12</w:t>
            </w:r>
          </w:p>
        </w:tc>
      </w:tr>
    </w:tbl>
    <w:p>
      <w:pPr>
        <w:spacing w:line="240" w:lineRule="auto"/>
      </w:pPr>
      <w:r>
        <w:rPr>
          <w:b w:val="0"/>
          <w:i w:val="0"/>
        </w:rPr>
      </w:r>
    </w:p>
    <w:p>
      <w:pPr>
        <w:ind w:firstLine="0"/>
      </w:pPr>
      <w:r>
        <w:rPr>
          <w:b w:val="0"/>
          <w:i w:val="0"/>
        </w:rPr>
        <w:t>DISP-006 states $1,440.00 in SLS-era assessments plus $6,968.74 in Shellpoint-era disbursements. The disbursement figure reproduces exactly. The assessment figure reproduces exactly once the three late charges ($103.39 + $103.39 + $104.12 = $310.90) are removed, which is what DISP-006's stated assumptions exclude: $1,750.90 − $310.90 = $1,440.00. Both halves of $8,408.74 are now confirmed by a computation that did not exist when the figure was written.</w:t>
      </w:r>
    </w:p>
    <w:p>
      <w:pPr>
        <w:ind w:firstLine="0"/>
      </w:pPr>
      <w:r>
        <w:rPr>
          <w:b w:val="0"/>
          <w:i w:val="0"/>
        </w:rPr>
        <w:t>The net figure of −$7,887.12 is a different and equally true number, on a different definition. Both belong in the record; neither should be quoted without its definition.</w:t>
      </w:r>
    </w:p>
    <w:p>
      <w:pPr>
        <w:ind w:firstLine="0"/>
      </w:pPr>
      <w:r>
        <w:rPr>
          <w:b w:val="0"/>
          <w:i w:val="0"/>
        </w:rPr>
        <w:t>**Two work products asserting a court's finding without naming the order.** Corrected in WP-001 and WP-002; both now cite Doc. 34 or Doc. 35 inline.</w:t>
      </w:r>
    </w:p>
    <w:p>
      <w:pPr>
        <w:spacing w:line="240" w:lineRule="auto"/>
      </w:pPr>
      <w:r>
        <w:rPr>
          <w:b/>
          <w:i/>
        </w:rPr>
        <w:t>Audit A result</w:t>
      </w:r>
    </w:p>
    <w:p>
      <w:pPr>
        <w:ind w:firstLine="0"/>
      </w:pPr>
      <w:r>
        <w:rPr>
          <w:b w:val="0"/>
          <w:i w:val="0"/>
        </w:rPr>
        <w:t>PASS. Zero errors, zero warnings, after four data repairs, two validator corrections and two corrections to the audit itself.</w:t>
      </w:r>
    </w:p>
    <w:p>
      <w:pPr>
        <w:ind w:firstLine="0"/>
      </w:pPr>
      <w:r>
        <w:rPr>
          <w:b w:val="0"/>
          <w:i w:val="0"/>
        </w:rPr>
        <w:t>Standing measurements: nineteen sources cited across twenty-one documents, six carrying a reduced access ceiling that every citing document inherits; twenty-three citation records, seven asserting good law, none above medium; seventy-two transactions with thirteen mutual pairings and one movement affirmatively recorded as having no counterpart; four deadlines marked not computable, with no prose anywhere supplying a date for any of them.</w:t>
      </w:r>
    </w:p>
    <w:p>
      <w:pPr>
        <w:spacing w:line="240" w:lineRule="auto"/>
      </w:pPr>
      <w:r>
        <w:rPr>
          <w:b/>
          <w:i w:val="0"/>
        </w:rPr>
        <w:t>AUDIT B — DEFENCE COUNSEL AND A SCEPTICAL MAGISTRATE</w:t>
      </w:r>
    </w:p>
    <w:p>
      <w:pPr>
        <w:ind w:firstLine="0"/>
      </w:pPr>
      <w:r>
        <w:rPr>
          <w:b w:val="0"/>
          <w:i w:val="0"/>
        </w:rPr>
        <w:t>Read adversarially, from two seats, against the work product as it now stands.</w:t>
      </w:r>
    </w:p>
    <w:p>
      <w:pPr>
        <w:spacing w:line="240" w:lineRule="auto"/>
      </w:pPr>
      <w:r>
        <w:rPr>
          <w:b/>
          <w:i/>
        </w:rPr>
        <w:t>Seat one — defence counsel</w:t>
      </w:r>
    </w:p>
    <w:p>
      <w:pPr>
        <w:ind w:firstLine="0"/>
      </w:pPr>
      <w:r>
        <w:rPr>
          <w:b w:val="0"/>
          <w:i w:val="0"/>
        </w:rPr>
        <w:t>**"Your own file says two different things about who owns this loan, and you have read neither instrument."** This is the strongest attack available and it lands. The ownership conflict rests on a MERS lookup and a servicer letter. No note, no allonge, no security deed, no assignment instrument, no trust agreement, no loan schedule has been read. `[UNRESOLVED]` is the honest label and it is the label the register carries — but a jury instruction cannot be built on it, and neither can a claim.</w:t>
      </w:r>
    </w:p>
    <w:p>
      <w:pPr>
        <w:ind w:firstLine="0"/>
      </w:pPr>
      <w:r>
        <w:rPr>
          <w:b w:val="0"/>
          <w:i w:val="0"/>
        </w:rPr>
        <w:t>*Holds?* Yes. The answer is discovery, not argument. Nothing in the work product overstates this, which is the only reason it is survivable.</w:t>
      </w:r>
    </w:p>
    <w:p>
      <w:pPr>
        <w:ind w:firstLine="0"/>
      </w:pPr>
      <w:r>
        <w:rPr>
          <w:b w:val="0"/>
          <w:i w:val="0"/>
        </w:rPr>
        <w:t>**"Ames forecloses your assignment theory, and your own materials cite it for the opposite."** Verified and correct. *Ames* holds borrowers lack standing to challenge an assignment of their security deed. The materials in the client's repository cite it as reserving a void-assignment attack. It does not.</w:t>
      </w:r>
    </w:p>
    <w:p>
      <w:pPr>
        <w:ind w:firstLine="0"/>
      </w:pPr>
      <w:r>
        <w:rPr>
          <w:b w:val="0"/>
          <w:i w:val="0"/>
        </w:rPr>
        <w:t>*Holds?* Yes, completely, as to the assignment theory. The corrective action is already taken: the citation is withdrawn in WP-003 on the filer's own initiative, which is the only posture in which this costs credibility once rather than twice.</w:t>
      </w:r>
    </w:p>
    <w:p>
      <w:pPr>
        <w:ind w:firstLine="0"/>
      </w:pPr>
      <w:r>
        <w:rPr>
          <w:b w:val="0"/>
          <w:i w:val="0"/>
        </w:rPr>
        <w:t>**"You cited Racette for a holding it does not contain."** Verified. Zero occurrences of "assignment" in the opinion.</w:t>
      </w:r>
    </w:p>
    <w:p>
      <w:pPr>
        <w:ind w:firstLine="0"/>
      </w:pPr>
      <w:r>
        <w:rPr>
          <w:b w:val="0"/>
          <w:i w:val="0"/>
        </w:rPr>
        <w:t>*Holds?* Yes — and it is the more dangerous of the two, because a real case cited for a fictional holding is the fact pattern behind Rule 11 citation inquiries. Withdrawn in WP-003. The recovery is that *Racette* is live authority for a defective-advertisement claim, which is a different and better use of it.</w:t>
      </w:r>
    </w:p>
    <w:p>
      <w:pPr>
        <w:ind w:firstLine="0"/>
      </w:pPr>
      <w:r>
        <w:rPr>
          <w:b w:val="0"/>
          <w:i w:val="0"/>
        </w:rPr>
        <w:t>**"Your fee complaint is an accounting exercise, not a claim."** Partly right. The amounts are the servicer's own and they foot; what is disputed is whether they were authorised, which is a contract and regulation question. The register already classifies DISP-006 as a characterisation dispute rather than an arithmetic one, which is correct and is also the concession.</w:t>
      </w:r>
    </w:p>
    <w:p>
      <w:pPr>
        <w:ind w:firstLine="0"/>
      </w:pPr>
      <w:r>
        <w:rPr>
          <w:b w:val="0"/>
          <w:i w:val="0"/>
        </w:rPr>
        <w:t>*Holds?* Partly. It defeats an overcharge framing and does not defeat a fee-authority framing. GAP-017 — the note and deed provisions authorising each fee type — is what converts one into the other.</w:t>
      </w:r>
    </w:p>
    <w:p>
      <w:pPr>
        <w:ind w:firstLine="0"/>
      </w:pPr>
      <w:r>
        <w:rPr>
          <w:b w:val="0"/>
          <w:i w:val="0"/>
        </w:rPr>
        <w:t>**"Your limitations problem is unexamined."** 15 U.S.C. § 1692k(d) has not been read. The FDCPA count rests on it.</w:t>
      </w:r>
    </w:p>
    <w:p>
      <w:pPr>
        <w:ind w:firstLine="0"/>
      </w:pPr>
      <w:r>
        <w:rPr>
          <w:b w:val="0"/>
          <w:i w:val="0"/>
        </w:rPr>
        <w:t>*Holds?* Yes, and this is the cheapest unfixed exposure in the matter.</w:t>
      </w:r>
    </w:p>
    <w:p>
      <w:pPr>
        <w:ind w:firstLine="0"/>
      </w:pPr>
      <w:r>
        <w:rPr>
          <w:b w:val="0"/>
          <w:i w:val="0"/>
        </w:rPr>
        <w:t>**"Your client's own strategy documents contain a trust from a different case."** Fannie Mae REMIC Trust 2024-91 is a *Caudell* entity. If it reached a filed pleading it is a self-inflicted wound requiring no work from the other side.</w:t>
      </w:r>
    </w:p>
    <w:p>
      <w:pPr>
        <w:ind w:firstLine="0"/>
      </w:pPr>
      <w:r>
        <w:rPr>
          <w:b w:val="0"/>
          <w:i w:val="0"/>
        </w:rPr>
        <w:t>*Holds?* Unknown, and unknowable without the docket. That is itself the finding.</w:t>
      </w:r>
    </w:p>
    <w:p>
      <w:pPr>
        <w:spacing w:line="240" w:lineRule="auto"/>
      </w:pPr>
      <w:r>
        <w:rPr>
          <w:b/>
          <w:i/>
        </w:rPr>
        <w:t>Seat two — a sceptical magistrate</w:t>
      </w:r>
    </w:p>
    <w:p>
      <w:pPr>
        <w:ind w:firstLine="0"/>
      </w:pPr>
      <w:r>
        <w:rPr>
          <w:b w:val="0"/>
          <w:i w:val="0"/>
        </w:rPr>
        <w:t>**"You were given specific instructions in July. Did you follow them?"** The system cannot answer. That is the correct answer for the system to give, and it is also the reason nothing here is ready to file. Against *Vibe Micro* at 1309, this is the question that decides the matter.</w:t>
      </w:r>
    </w:p>
    <w:p>
      <w:pPr>
        <w:ind w:firstLine="0"/>
      </w:pPr>
      <w:r>
        <w:rPr>
          <w:b w:val="0"/>
          <w:i w:val="0"/>
        </w:rPr>
        <w:t>**"You are asking me to infer wrongdoing from a balance that did not move."** The work product does not do this. The unreversed tender is labelled `[INFERENCE]` and paired with the express statement that it is consistent with non-application but does not establish it. That discipline is what keeps the strongest fact usable.</w:t>
      </w:r>
    </w:p>
    <w:p>
      <w:pPr>
        <w:ind w:firstLine="0"/>
      </w:pPr>
      <w:r>
        <w:rPr>
          <w:b w:val="0"/>
          <w:i w:val="0"/>
        </w:rPr>
        <w:t>**"Why are twenty-two attorney decisions unanswered?"** Because no human has worked the file. Seventeen of them are marked blocking. A matter in which seventeen blocking questions are open is not a matter ready for a dispositive filing.</w:t>
      </w:r>
    </w:p>
    <w:p>
      <w:pPr>
        <w:ind w:firstLine="0"/>
      </w:pPr>
      <w:r>
        <w:rPr>
          <w:b w:val="0"/>
          <w:i w:val="0"/>
        </w:rPr>
        <w:t>**"Your deadline register says the repleading deadline passed a month ago and you do not know what happened."** Correct, and stated on the face of every document. No date has been invented to fill the hole, which is the one thing that would make it worse.</w:t>
      </w:r>
    </w:p>
    <w:p>
      <w:pPr>
        <w:spacing w:line="240" w:lineRule="auto"/>
      </w:pPr>
      <w:r>
        <w:rPr>
          <w:b/>
          <w:i/>
        </w:rPr>
        <w:t>What Audit B could not test</w:t>
      </w:r>
    </w:p>
    <w:p>
      <w:pPr>
        <w:ind w:firstLine="0"/>
      </w:pPr>
      <w:r>
        <w:rPr>
          <w:b w:val="0"/>
          <w:i w:val="0"/>
        </w:rPr>
        <w:t>Whether the substantive Georgia elements are correctly stated, because they remain unresearched (OLQ-7). Whether *Haynes* forecloses the § 44-14-162(b) theory, because it has not been read. Whether any of this survives contact with the actual motion to dismiss, because that motion has not been located.</w:t>
      </w:r>
    </w:p>
    <w:p>
      <w:pPr>
        <w:spacing w:line="240" w:lineRule="auto"/>
      </w:pPr>
      <w:r>
        <w:rPr>
          <w:b/>
          <w:i/>
        </w:rPr>
        <w:t>Audit B result</w:t>
      </w:r>
    </w:p>
    <w:p>
      <w:pPr>
        <w:ind w:firstLine="0"/>
      </w:pPr>
      <w:r>
        <w:rPr>
          <w:b w:val="0"/>
          <w:i w:val="0"/>
        </w:rPr>
        <w:t>The work product does not overstate the record anywhere the audit could reach. Its weakest points are weak because the evidence is missing, not because the analysis is wrong — with one exception, now cured: two citations that came into the matter from the client's own repository and would have failed on contact with an opponent.</w:t>
      </w:r>
    </w:p>
    <w:p>
      <w:pPr>
        <w:spacing w:line="240" w:lineRule="auto"/>
      </w:pPr>
      <w:r>
        <w:rPr>
          <w:b/>
          <w:i w:val="0"/>
        </w:rPr>
        <w:t>DEFECTS CORRECTED DURING THIS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b/>
                <w:sz w:val="18"/>
              </w:rPr>
              <w:t>Defect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b/>
                <w:sz w:val="18"/>
              </w:rPr>
              <w:t>Correction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sz w:val="18"/>
              </w:rPr>
              <w:t>Three non-mutual transaction pairings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sz w:val="18"/>
              </w:rPr>
              <w:t>Data repaired; mutuality now enforced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sz w:val="18"/>
              </w:rPr>
              <w:t>TXN-050's missing counterpart carried as a blank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sz w:val="18"/>
              </w:rPr>
              <w:t>Recorded as NONE with a stated basis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sz w:val="18"/>
              </w:rPr>
              <w:t>Fee total recomputed wrongly by this audit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sz w:val="18"/>
              </w:rPr>
              <w:t>Audit corrected to signed sums by classification; register independently confirmed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sz w:val="18"/>
              </w:rPr>
              <w:t>Two court-found assertions with no order named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sz w:val="18"/>
              </w:rPr>
              <w:t>Both now cite Doc. 34 or Doc. 35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sz w:val="18"/>
              </w:rPr>
              <w:t>*Ames* cited for a reservation it does not contain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sz w:val="18"/>
              </w:rPr>
              <w:t>Withdrawn; CON-012 and CV-018 opened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sz w:val="18"/>
              </w:rPr>
              <w:t>*Racette* cited for a holding it does not contain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sz w:val="18"/>
              </w:rPr>
              <w:t>Withdrawn; CON-013 and CV-019 opened; correct use identified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sz w:val="18"/>
              </w:rPr>
              <w:t>A trust from a different case in the strategy materials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sz w:val="18"/>
              </w:rPr>
              <w:t>CON-009 opened; excluded expressly in WP-003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sz w:val="18"/>
              </w:rPr>
              <w:t>Contradictory case number and firm history in the repository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/>
            <w:r>
              <w:rPr>
                <w:sz w:val="18"/>
              </w:rPr>
              <w:t>CON-010 and CON-011 opened</w:t>
            </w:r>
          </w:p>
        </w:tc>
      </w:tr>
    </w:tbl>
    <w:p>
      <w:pPr>
        <w:spacing w:line="240" w:lineRule="auto"/>
      </w:pPr>
      <w:r>
        <w:rPr>
          <w:b w:val="0"/>
          <w:i w:val="0"/>
        </w:rPr>
      </w:r>
    </w:p>
    <w:p>
      <w:pPr>
        <w:spacing w:line="240" w:lineRule="auto"/>
      </w:pPr>
      <w:r>
        <w:rPr>
          <w:b/>
          <w:i w:val="0"/>
        </w:rPr>
        <w:t>VALIDATIONS RE-RUN AFTER CORRECTION</w:t>
      </w:r>
    </w:p>
    <w:p>
      <w:pPr>
        <w:ind w:firstLine="0"/>
      </w:pPr>
      <w:r>
        <w:rPr>
          <w:b w:val="0"/>
          <w:i w:val="0"/>
        </w:rPr>
        <w:t>All registers; cross-references (422 identifiers defined, 614 references checked, 22 decisions raised and 22 logged); the matter-pack structure with hash-check confirming every original source byte-identical; the access map and credential scan; citation verification with cross-check against the work product; the approval gate; every handoff document; all eleven skills in both source and installed form; and document QC on every produced document.</w:t>
      </w:r>
    </w:p>
    <w:p>
      <w:pPr>
        <w:spacing w:line="240" w:lineRule="auto"/>
      </w:pPr>
      <w:r>
        <w:rPr>
          <w:b w:val="0"/>
          <w:i w:val="0"/>
        </w:rPr>
      </w:r>
    </w:p>
    <w:p>
      <w:pPr>
        <w:spacing w:line="240" w:lineRule="auto"/>
      </w:pPr>
      <w:r>
        <w:rPr>
          <w:b w:val="0"/>
          <w:i w:val="0"/>
        </w:rPr>
        <w:t>Prepared for attorney review,</w:t>
      </w:r>
    </w:p>
    <w:p>
      <w:pPr>
        <w:spacing w:line="240" w:lineRule="auto"/>
      </w:pPr>
      <w:r>
        <w:rPr>
          <w:b w:val="0"/>
          <w:i w:val="0"/>
        </w:rPr>
      </w:r>
    </w:p>
    <w:p>
      <w:pPr>
        <w:spacing w:line="240" w:lineRule="auto"/>
      </w:pPr>
      <w:r>
        <w:rPr>
          <w:b w:val="0"/>
          <w:i w:val="0"/>
        </w:rPr>
        <w:t>This 21st day of September, 2026.</w:t>
      </w:r>
    </w:p>
    <w:p>
      <w:pPr>
        <w:spacing w:line="240" w:lineRule="auto"/>
      </w:pPr>
      <w:r>
        <w:rPr>
          <w:b w:val="0"/>
          <w:i w:val="0"/>
        </w:rPr>
      </w:r>
    </w:p>
    <w:p>
      <w:pPr>
        <w:spacing w:line="240" w:lineRule="auto"/>
      </w:pPr>
      <w:r>
        <w:rPr>
          <w:b w:val="0"/>
          <w:i w:val="0"/>
        </w:rPr>
        <w:t>________________________________________</w:t>
      </w:r>
    </w:p>
    <w:p>
      <w:pPr>
        <w:spacing w:line="240" w:lineRule="auto"/>
      </w:pPr>
      <w:r>
        <w:rPr>
          <w:b w:val="0"/>
          <w:i w:val="0"/>
        </w:rPr>
        <w:t>Litigation OS — Final Quality Gate</w:t>
      </w:r>
    </w:p>
    <w:p>
      <w:pPr>
        <w:spacing w:line="240" w:lineRule="auto"/>
      </w:pPr>
      <w:r>
        <w:rPr>
          <w:b w:val="0"/>
          <w:i w:val="0"/>
        </w:rPr>
        <w:t>Matter CARRELHA-2026</w:t>
      </w:r>
    </w:p>
    <w:p>
      <w:pPr>
        <w:spacing w:line="240" w:lineRule="auto"/>
      </w:pPr>
      <w:r>
        <w:rPr>
          <w:b w:val="0"/>
          <w:i w:val="0"/>
        </w:rPr>
        <w:t>Not for filing. Not served. Not sent.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Times New Roman" w:hAnsi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