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A219C"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SUBMISSION TYPE</w:t>
      </w:r>
    </w:p>
    <w:p w14:paraId="40E83291"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Poster</w:t>
      </w:r>
    </w:p>
    <w:p w14:paraId="26E8B6CD" w14:textId="77777777" w:rsidR="00747A1D" w:rsidRPr="00341310" w:rsidRDefault="00747A1D">
      <w:pPr>
        <w:spacing w:line="240" w:lineRule="auto"/>
        <w:rPr>
          <w:rFonts w:ascii="Times New Roman" w:eastAsia="Times New Roman" w:hAnsi="Times New Roman" w:cs="Times New Roman"/>
          <w:sz w:val="24"/>
          <w:szCs w:val="24"/>
        </w:rPr>
      </w:pPr>
    </w:p>
    <w:p w14:paraId="48B98CF2"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TITLE</w:t>
      </w:r>
    </w:p>
    <w:p w14:paraId="1160FBC8" w14:textId="77777777" w:rsidR="00747A1D" w:rsidRPr="00341310" w:rsidRDefault="00000000">
      <w:pPr>
        <w:spacing w:line="240" w:lineRule="auto"/>
        <w:rPr>
          <w:rFonts w:ascii="Times New Roman" w:eastAsia="Times New Roman" w:hAnsi="Times New Roman" w:cs="Times New Roman"/>
          <w:sz w:val="24"/>
          <w:szCs w:val="24"/>
        </w:rPr>
      </w:pPr>
      <w:commentRangeStart w:id="0"/>
      <w:r w:rsidRPr="00341310">
        <w:rPr>
          <w:rFonts w:ascii="Times New Roman" w:eastAsia="Times New Roman" w:hAnsi="Times New Roman" w:cs="Times New Roman"/>
          <w:sz w:val="24"/>
          <w:szCs w:val="24"/>
        </w:rPr>
        <w:t>Toward a More Useful Utility Analysis: A Literature Review and Web App</w:t>
      </w:r>
      <w:commentRangeEnd w:id="0"/>
      <w:r w:rsidR="00595011">
        <w:rPr>
          <w:rStyle w:val="CommentReference"/>
        </w:rPr>
        <w:commentReference w:id="0"/>
      </w:r>
    </w:p>
    <w:p w14:paraId="50A7CF4B" w14:textId="77777777" w:rsidR="00747A1D" w:rsidRPr="00341310" w:rsidRDefault="00747A1D">
      <w:pPr>
        <w:spacing w:line="240" w:lineRule="auto"/>
        <w:rPr>
          <w:rFonts w:ascii="Times New Roman" w:eastAsia="Times New Roman" w:hAnsi="Times New Roman" w:cs="Times New Roman"/>
          <w:sz w:val="24"/>
          <w:szCs w:val="24"/>
        </w:rPr>
      </w:pPr>
    </w:p>
    <w:p w14:paraId="50C84D75"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ABSTRACT</w:t>
      </w:r>
    </w:p>
    <w:p w14:paraId="2F5059D9"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Scholars continue to discuss the merits and drawbacks of utility analysis (UA) as a tool for influencing management decisions. In our paper, we introduce the UA+ web app, illustrate its usefulness with published use cases, and share plans for testing the UA+ app in field settings.  </w:t>
      </w:r>
    </w:p>
    <w:p w14:paraId="3893933A" w14:textId="77777777" w:rsidR="00747A1D" w:rsidRPr="00341310" w:rsidRDefault="00747A1D">
      <w:pPr>
        <w:spacing w:line="240" w:lineRule="auto"/>
        <w:rPr>
          <w:rFonts w:ascii="Times New Roman" w:eastAsia="Times New Roman" w:hAnsi="Times New Roman" w:cs="Times New Roman"/>
          <w:sz w:val="24"/>
          <w:szCs w:val="24"/>
        </w:rPr>
      </w:pPr>
    </w:p>
    <w:p w14:paraId="1083F728"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SOCIAL MEDIA STATEMENT</w:t>
      </w:r>
    </w:p>
    <w:p w14:paraId="31AD8044"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Introducing the UA+ web app </w:t>
      </w:r>
      <w:hyperlink r:id="rId10">
        <w:r w:rsidR="00747A1D" w:rsidRPr="00341310">
          <w:rPr>
            <w:rFonts w:ascii="Times New Roman" w:eastAsia="Times New Roman" w:hAnsi="Times New Roman" w:cs="Times New Roman"/>
            <w:sz w:val="24"/>
            <w:szCs w:val="24"/>
          </w:rPr>
          <w:t>https://uaplus.shinyapps.io/UAPlus</w:t>
        </w:r>
      </w:hyperlink>
      <w:r w:rsidRPr="00341310">
        <w:rPr>
          <w:rFonts w:ascii="Times New Roman" w:eastAsia="Times New Roman" w:hAnsi="Times New Roman" w:cs="Times New Roman"/>
          <w:sz w:val="24"/>
          <w:szCs w:val="24"/>
        </w:rPr>
        <w:t xml:space="preserve"> – a tool to help IO psychologists communicate the impact of our interventions.  </w:t>
      </w:r>
    </w:p>
    <w:p w14:paraId="681E7629" w14:textId="77777777" w:rsidR="00747A1D" w:rsidRPr="00341310" w:rsidRDefault="00747A1D">
      <w:pPr>
        <w:spacing w:line="240" w:lineRule="auto"/>
        <w:rPr>
          <w:rFonts w:ascii="Times New Roman" w:eastAsia="Times New Roman" w:hAnsi="Times New Roman" w:cs="Times New Roman"/>
          <w:sz w:val="24"/>
          <w:szCs w:val="24"/>
        </w:rPr>
      </w:pPr>
    </w:p>
    <w:p w14:paraId="73A7EB57" w14:textId="77777777" w:rsidR="00747A1D" w:rsidRPr="00341310" w:rsidRDefault="00000000">
      <w:pPr>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WORD COUNT</w:t>
      </w:r>
    </w:p>
    <w:p w14:paraId="0BFC70C1" w14:textId="3ACA579B" w:rsidR="00747A1D" w:rsidRPr="00341310" w:rsidRDefault="001D4D2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2994</w:t>
      </w:r>
      <w:r w:rsidRPr="00341310">
        <w:rPr>
          <w:rFonts w:ascii="Times New Roman" w:hAnsi="Times New Roman" w:cs="Times New Roman"/>
          <w:sz w:val="24"/>
          <w:szCs w:val="24"/>
        </w:rPr>
        <w:br w:type="page"/>
      </w:r>
    </w:p>
    <w:p w14:paraId="6E7E513C"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lastRenderedPageBreak/>
        <w:t>Toward a More Useful Utility Analysis: A Literature Review and WebApp</w:t>
      </w:r>
    </w:p>
    <w:p w14:paraId="7EFF62AE"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Scholars routinely bemoan the fact that management decisions are suboptimal (Fisher et al., 2021; </w:t>
      </w:r>
      <w:commentRangeStart w:id="1"/>
      <w:r w:rsidRPr="00341310">
        <w:rPr>
          <w:rFonts w:ascii="Times New Roman" w:eastAsia="Times New Roman" w:hAnsi="Times New Roman" w:cs="Times New Roman"/>
          <w:sz w:val="24"/>
          <w:szCs w:val="24"/>
        </w:rPr>
        <w:t>Highhouse, 2008</w:t>
      </w:r>
      <w:commentRangeEnd w:id="1"/>
      <w:r w:rsidR="00595011">
        <w:rPr>
          <w:rStyle w:val="CommentReference"/>
        </w:rPr>
        <w:commentReference w:id="1"/>
      </w:r>
      <w:r w:rsidRPr="00341310">
        <w:rPr>
          <w:rFonts w:ascii="Times New Roman" w:eastAsia="Times New Roman" w:hAnsi="Times New Roman" w:cs="Times New Roman"/>
          <w:sz w:val="24"/>
          <w:szCs w:val="24"/>
        </w:rPr>
        <w:t xml:space="preserve">; Rynes et al., 2002). Causes have been posited such as the poor training of managers (Highhouse, 2008; Rynes, 2012; Rynes et al., 2018), the widening science-practice gap (Rynes, 2012; Pfeffer &amp; Fong, 2002), and fetish for theory in research that emphasizes complexity at the expense of validity and utility in our published research (Götz &amp; O’Boyle, 2023). </w:t>
      </w:r>
      <w:commentRangeStart w:id="2"/>
      <w:r w:rsidRPr="00341310">
        <w:rPr>
          <w:rFonts w:ascii="Times New Roman" w:eastAsia="Times New Roman" w:hAnsi="Times New Roman" w:cs="Times New Roman"/>
          <w:sz w:val="24"/>
          <w:szCs w:val="24"/>
        </w:rPr>
        <w:t>To address these concerns, educators in human resource management and industrial-organizational psychology have been encouraged to improve their training of both practitioners and scholarly researchers using methods that emphasize validity and utility of theory-based interventions (Sturman, 2000, 2001; Russell, 2022).</w:t>
      </w:r>
      <w:commentRangeEnd w:id="2"/>
      <w:r w:rsidR="006B7104">
        <w:rPr>
          <w:rStyle w:val="CommentReference"/>
        </w:rPr>
        <w:commentReference w:id="2"/>
      </w:r>
    </w:p>
    <w:p w14:paraId="26799F07" w14:textId="03DBB477" w:rsidR="00747A1D" w:rsidRPr="001D4D22" w:rsidRDefault="00000000" w:rsidP="001D4D22">
      <w:pPr>
        <w:spacing w:line="480" w:lineRule="auto"/>
        <w:ind w:firstLine="720"/>
        <w:rPr>
          <w:rFonts w:ascii="Times New Roman" w:eastAsia="Times New Roman" w:hAnsi="Times New Roman" w:cs="Times New Roman"/>
          <w:sz w:val="24"/>
          <w:szCs w:val="24"/>
          <w:lang w:val="en-US"/>
        </w:rPr>
      </w:pPr>
      <w:r w:rsidRPr="00341310">
        <w:rPr>
          <w:rFonts w:ascii="Times New Roman" w:eastAsia="Times New Roman" w:hAnsi="Times New Roman" w:cs="Times New Roman"/>
          <w:sz w:val="24"/>
          <w:szCs w:val="24"/>
        </w:rPr>
        <w:t>Utility analysis (UA) is one method of describing such evidence in statistical, economic, and heuristic terms (i.e., quantity, quality, and cost; Cascio et al., 2019). Recent examples of scholars using utility analysis to communicate the value of theory-based interventions include Avolio et al. (2010) who discuss the merits of a transformational leadership intervention; Schmidt (2012) who highlights the economic impact of goal setting; and Op</w:t>
      </w:r>
      <w:r w:rsidR="00341310">
        <w:rPr>
          <w:rFonts w:ascii="Times New Roman" w:eastAsia="Times New Roman" w:hAnsi="Times New Roman" w:cs="Times New Roman"/>
          <w:sz w:val="24"/>
          <w:szCs w:val="24"/>
        </w:rPr>
        <w:t>re</w:t>
      </w:r>
      <w:r w:rsidRPr="00341310">
        <w:rPr>
          <w:rFonts w:ascii="Times New Roman" w:eastAsia="Times New Roman" w:hAnsi="Times New Roman" w:cs="Times New Roman"/>
          <w:sz w:val="24"/>
          <w:szCs w:val="24"/>
        </w:rPr>
        <w:t xml:space="preserve">a et al. (2019) who highlight the value of a brief job crafting intervention. Consider a situation where several hundred workers must be hired into a firm. UA can be used to identify the highest quality of workers that can be reasonably delivered to the organization for a given cost (De Corte, 2011). An example is Sturman (2000) who used UA to demonstrate that an enhanced employee program described by a validity coefficient of .4 and applied to over 1400 applicants to hire 470 workers hired over several years is (after accounting for a series of adjustments) expected to yield a median return ~$1.7M experienced over the lifetime use of the program. </w:t>
      </w:r>
      <w:r w:rsidR="001D4D22" w:rsidRPr="001D4D22">
        <w:rPr>
          <w:rFonts w:ascii="Times New Roman" w:eastAsia="Times New Roman" w:hAnsi="Times New Roman" w:cs="Times New Roman"/>
          <w:sz w:val="24"/>
          <w:szCs w:val="24"/>
          <w:lang w:val="en-US"/>
        </w:rPr>
        <w:t>Although large, this value represents only a few thousand dollars per hire per year</w:t>
      </w:r>
      <w:r w:rsidRPr="00341310">
        <w:rPr>
          <w:rFonts w:ascii="Times New Roman" w:eastAsia="Times New Roman" w:hAnsi="Times New Roman" w:cs="Times New Roman"/>
          <w:sz w:val="24"/>
          <w:szCs w:val="24"/>
        </w:rPr>
        <w:t xml:space="preserve">. Such economic value represents </w:t>
      </w:r>
      <w:r w:rsidRPr="00341310">
        <w:rPr>
          <w:rFonts w:ascii="Times New Roman" w:eastAsia="Times New Roman" w:hAnsi="Times New Roman" w:cs="Times New Roman"/>
          <w:sz w:val="24"/>
          <w:szCs w:val="24"/>
        </w:rPr>
        <w:lastRenderedPageBreak/>
        <w:t>potential revenue enhancements or cost savings attributed to, in this case, hiring higher-performing workers (Schmidt, 2012).</w:t>
      </w:r>
    </w:p>
    <w:p w14:paraId="22D6A616" w14:textId="4E4EAC36" w:rsidR="00747A1D" w:rsidRPr="00341310" w:rsidRDefault="00000000" w:rsidP="001D4D22">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Although UA is widely viewed as a complicated tool to both teach and use, complicated tools in finance (e.g., the Black-Scholes equation) also enjoy wide-spread use (Sturman, 2000). Russell (2022) notes that he often builds web apps for IO psychology teams to use UA to aid management decision making. What seems to be needed are tools that help decision-makers (both IOs and non-IOs alike) make use of UA insights to </w:t>
      </w:r>
      <w:r w:rsidR="00341310" w:rsidRPr="00341310">
        <w:rPr>
          <w:rFonts w:ascii="Times New Roman" w:eastAsia="Times New Roman" w:hAnsi="Times New Roman" w:cs="Times New Roman"/>
          <w:sz w:val="24"/>
          <w:szCs w:val="24"/>
        </w:rPr>
        <w:t>optimize investments more effectively</w:t>
      </w:r>
      <w:r w:rsidRPr="00341310">
        <w:rPr>
          <w:rFonts w:ascii="Times New Roman" w:eastAsia="Times New Roman" w:hAnsi="Times New Roman" w:cs="Times New Roman"/>
          <w:sz w:val="24"/>
          <w:szCs w:val="24"/>
        </w:rPr>
        <w:t xml:space="preserve"> in people. </w:t>
      </w:r>
    </w:p>
    <w:p w14:paraId="1FAE6BF7" w14:textId="77777777" w:rsidR="00747A1D" w:rsidRPr="00341310" w:rsidRDefault="00000000">
      <w:pPr>
        <w:spacing w:line="480" w:lineRule="auto"/>
        <w:ind w:firstLine="720"/>
        <w:rPr>
          <w:rFonts w:ascii="Times New Roman" w:eastAsia="Times New Roman" w:hAnsi="Times New Roman" w:cs="Times New Roman"/>
          <w:sz w:val="24"/>
          <w:szCs w:val="24"/>
        </w:rPr>
        <w:sectPr w:rsidR="00747A1D" w:rsidRPr="00341310">
          <w:headerReference w:type="default" r:id="rId11"/>
          <w:pgSz w:w="12240" w:h="15840"/>
          <w:pgMar w:top="1440" w:right="1440" w:bottom="1440" w:left="1440" w:header="720" w:footer="720" w:gutter="0"/>
          <w:pgNumType w:start="1"/>
          <w:cols w:space="720"/>
        </w:sectPr>
      </w:pPr>
      <w:r w:rsidRPr="00341310">
        <w:rPr>
          <w:rFonts w:ascii="Times New Roman" w:eastAsia="Times New Roman" w:hAnsi="Times New Roman" w:cs="Times New Roman"/>
          <w:sz w:val="24"/>
          <w:szCs w:val="24"/>
        </w:rPr>
        <w:t xml:space="preserve">With our manuscript, we make two contributions to the literature. First, we synthesize the literature on communicating validity and utility information to managers. Second, we build off  both Cascio et al.’s (2019) (who designed a web app made available in their </w:t>
      </w:r>
      <w:r w:rsidRPr="00341310">
        <w:rPr>
          <w:rFonts w:ascii="Times New Roman" w:eastAsia="Times New Roman" w:hAnsi="Times New Roman" w:cs="Times New Roman"/>
          <w:i/>
          <w:sz w:val="24"/>
          <w:szCs w:val="24"/>
        </w:rPr>
        <w:t>Investing in People</w:t>
      </w:r>
      <w:r w:rsidRPr="00341310">
        <w:rPr>
          <w:rFonts w:ascii="Times New Roman" w:eastAsia="Times New Roman" w:hAnsi="Times New Roman" w:cs="Times New Roman"/>
          <w:sz w:val="24"/>
          <w:szCs w:val="24"/>
        </w:rPr>
        <w:t xml:space="preserve"> textbook) and Russell (2022) (who designs web apps for UA in practice) by introducing the UA+ web app, a tool designed to leverage insights from literature to help IOs and business leaders communicate the validity and utility of theory-derived interventions. In the sections to follow, we summarize the literature informing the design of our app, explain the capabilities that the UA+ application offers over what is currently available, offer a tutorial grounded in the literature, and conclude by discussing future directions for functions built into the app. We hope the IO psychology community finds our app useful while identifying ways to enhance it and that scholars use it to teach students in applying UA to managerial decisions.</w:t>
      </w:r>
    </w:p>
    <w:p w14:paraId="0170B1A2" w14:textId="77777777" w:rsidR="00747A1D" w:rsidRPr="00341310" w:rsidRDefault="00000000">
      <w:pPr>
        <w:spacing w:line="480" w:lineRule="auto"/>
        <w:jc w:val="center"/>
        <w:rPr>
          <w:rFonts w:ascii="Times New Roman" w:eastAsia="Times New Roman" w:hAnsi="Times New Roman" w:cs="Times New Roman"/>
          <w:b/>
          <w:sz w:val="24"/>
          <w:szCs w:val="24"/>
        </w:rPr>
      </w:pPr>
      <w:commentRangeStart w:id="3"/>
      <w:r w:rsidRPr="00341310">
        <w:rPr>
          <w:rFonts w:ascii="Times New Roman" w:eastAsia="Times New Roman" w:hAnsi="Times New Roman" w:cs="Times New Roman"/>
          <w:b/>
          <w:sz w:val="24"/>
          <w:szCs w:val="24"/>
        </w:rPr>
        <w:t>A Review of the Utility Analysis (UA) Literature</w:t>
      </w:r>
    </w:p>
    <w:p w14:paraId="5B5B5197" w14:textId="77777777" w:rsidR="00747A1D" w:rsidRPr="00341310" w:rsidRDefault="00000000">
      <w:pPr>
        <w:spacing w:line="480" w:lineRule="auto"/>
        <w:ind w:firstLine="720"/>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sz w:val="24"/>
          <w:szCs w:val="24"/>
        </w:rPr>
        <w:t xml:space="preserve">UA research goes back to the 1970s (see Boudreau, 1988). </w:t>
      </w:r>
      <w:r w:rsidRPr="00341310">
        <w:rPr>
          <w:rFonts w:ascii="Times New Roman" w:eastAsia="Times New Roman" w:hAnsi="Times New Roman" w:cs="Times New Roman"/>
          <w:color w:val="1C1917"/>
          <w:sz w:val="24"/>
          <w:szCs w:val="24"/>
          <w:highlight w:val="white"/>
        </w:rPr>
        <w:t xml:space="preserve">The basic utility model calculates utility as the dollar value of performance differences resulting from an intervention </w:t>
      </w:r>
      <w:r w:rsidRPr="00341310">
        <w:rPr>
          <w:rFonts w:ascii="Times New Roman" w:eastAsia="Times New Roman" w:hAnsi="Times New Roman" w:cs="Times New Roman"/>
          <w:color w:val="1C1917"/>
          <w:sz w:val="24"/>
          <w:szCs w:val="24"/>
          <w:highlight w:val="white"/>
        </w:rPr>
        <w:lastRenderedPageBreak/>
        <w:t xml:space="preserve">(e.g. higher performance from better selection or training) minus the costs of the intervention. The general formula is below: </w:t>
      </w:r>
    </w:p>
    <w:p w14:paraId="59560178" w14:textId="77777777" w:rsidR="00747A1D" w:rsidRPr="00341310" w:rsidRDefault="00000000">
      <w:pPr>
        <w:spacing w:line="480" w:lineRule="auto"/>
        <w:jc w:val="center"/>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ΔU = T * N * (</w:t>
      </w:r>
      <w:proofErr w:type="spellStart"/>
      <w:r w:rsidRPr="00341310">
        <w:rPr>
          <w:rFonts w:ascii="Times New Roman" w:eastAsia="Times New Roman" w:hAnsi="Times New Roman" w:cs="Times New Roman"/>
          <w:color w:val="1C1917"/>
          <w:sz w:val="24"/>
          <w:szCs w:val="24"/>
          <w:highlight w:val="white"/>
        </w:rPr>
        <w:t>Zbarx</w:t>
      </w:r>
      <w:proofErr w:type="spellEnd"/>
      <w:r w:rsidRPr="00341310">
        <w:rPr>
          <w:rFonts w:ascii="Times New Roman" w:eastAsia="Times New Roman" w:hAnsi="Times New Roman" w:cs="Times New Roman"/>
          <w:color w:val="1C1917"/>
          <w:sz w:val="24"/>
          <w:szCs w:val="24"/>
          <w:highlight w:val="white"/>
        </w:rPr>
        <w:t xml:space="preserve"> * r * </w:t>
      </w:r>
      <w:proofErr w:type="spellStart"/>
      <w:r w:rsidRPr="00341310">
        <w:rPr>
          <w:rFonts w:ascii="Times New Roman" w:eastAsia="Times New Roman" w:hAnsi="Times New Roman" w:cs="Times New Roman"/>
          <w:color w:val="1C1917"/>
          <w:sz w:val="24"/>
          <w:szCs w:val="24"/>
          <w:highlight w:val="white"/>
        </w:rPr>
        <w:t>SDy</w:t>
      </w:r>
      <w:proofErr w:type="spellEnd"/>
      <w:r w:rsidRPr="00341310">
        <w:rPr>
          <w:rFonts w:ascii="Times New Roman" w:eastAsia="Times New Roman" w:hAnsi="Times New Roman" w:cs="Times New Roman"/>
          <w:color w:val="1C1917"/>
          <w:sz w:val="24"/>
          <w:szCs w:val="24"/>
          <w:highlight w:val="white"/>
        </w:rPr>
        <w:t>) – C</w:t>
      </w:r>
    </w:p>
    <w:p w14:paraId="53834850"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Where:</w:t>
      </w:r>
    </w:p>
    <w:p w14:paraId="6E79F83B"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 xml:space="preserve">ΔU = Utility change from selection </w:t>
      </w:r>
      <w:proofErr w:type="gramStart"/>
      <w:r w:rsidRPr="00341310">
        <w:rPr>
          <w:rFonts w:ascii="Times New Roman" w:eastAsia="Times New Roman" w:hAnsi="Times New Roman" w:cs="Times New Roman"/>
          <w:color w:val="1C1917"/>
          <w:sz w:val="24"/>
          <w:szCs w:val="24"/>
          <w:highlight w:val="white"/>
        </w:rPr>
        <w:t>device ;</w:t>
      </w:r>
      <w:proofErr w:type="gramEnd"/>
    </w:p>
    <w:p w14:paraId="5834E119"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N = Number of people hired;</w:t>
      </w:r>
    </w:p>
    <w:p w14:paraId="7FAC6B0C"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T = Average tenure of those hired;</w:t>
      </w:r>
    </w:p>
    <w:p w14:paraId="1493ABF0"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proofErr w:type="spellStart"/>
      <w:r w:rsidRPr="00341310">
        <w:rPr>
          <w:rFonts w:ascii="Times New Roman" w:eastAsia="Times New Roman" w:hAnsi="Times New Roman" w:cs="Times New Roman"/>
          <w:color w:val="1C1917"/>
          <w:sz w:val="24"/>
          <w:szCs w:val="24"/>
          <w:highlight w:val="white"/>
        </w:rPr>
        <w:t>Zbarx</w:t>
      </w:r>
      <w:proofErr w:type="spellEnd"/>
      <w:r w:rsidRPr="00341310">
        <w:rPr>
          <w:rFonts w:ascii="Times New Roman" w:eastAsia="Times New Roman" w:hAnsi="Times New Roman" w:cs="Times New Roman"/>
          <w:color w:val="1C1917"/>
          <w:sz w:val="24"/>
          <w:szCs w:val="24"/>
          <w:highlight w:val="white"/>
        </w:rPr>
        <w:t xml:space="preserve"> = Average Z-score of </w:t>
      </w:r>
      <w:proofErr w:type="gramStart"/>
      <w:r w:rsidRPr="00341310">
        <w:rPr>
          <w:rFonts w:ascii="Times New Roman" w:eastAsia="Times New Roman" w:hAnsi="Times New Roman" w:cs="Times New Roman"/>
          <w:color w:val="1C1917"/>
          <w:sz w:val="24"/>
          <w:szCs w:val="24"/>
          <w:highlight w:val="white"/>
        </w:rPr>
        <w:t>predictor</w:t>
      </w:r>
      <w:proofErr w:type="gramEnd"/>
      <w:r w:rsidRPr="00341310">
        <w:rPr>
          <w:rFonts w:ascii="Times New Roman" w:eastAsia="Times New Roman" w:hAnsi="Times New Roman" w:cs="Times New Roman"/>
          <w:color w:val="1C1917"/>
          <w:sz w:val="24"/>
          <w:szCs w:val="24"/>
          <w:highlight w:val="white"/>
        </w:rPr>
        <w:t xml:space="preserve"> for hired employees;</w:t>
      </w:r>
    </w:p>
    <w:p w14:paraId="0037E458"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r = Correlation between predictor and criterion (e.g., performance);</w:t>
      </w:r>
    </w:p>
    <w:p w14:paraId="7B3FA263"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proofErr w:type="spellStart"/>
      <w:r w:rsidRPr="00341310">
        <w:rPr>
          <w:rFonts w:ascii="Times New Roman" w:eastAsia="Times New Roman" w:hAnsi="Times New Roman" w:cs="Times New Roman"/>
          <w:color w:val="1C1917"/>
          <w:sz w:val="24"/>
          <w:szCs w:val="24"/>
          <w:highlight w:val="white"/>
        </w:rPr>
        <w:t>SDy</w:t>
      </w:r>
      <w:proofErr w:type="spellEnd"/>
      <w:r w:rsidRPr="00341310">
        <w:rPr>
          <w:rFonts w:ascii="Times New Roman" w:eastAsia="Times New Roman" w:hAnsi="Times New Roman" w:cs="Times New Roman"/>
          <w:color w:val="1C1917"/>
          <w:sz w:val="24"/>
          <w:szCs w:val="24"/>
          <w:highlight w:val="white"/>
        </w:rPr>
        <w:t xml:space="preserve"> = Dollar value of a SD change in criterion;</w:t>
      </w:r>
    </w:p>
    <w:p w14:paraId="5345A66D" w14:textId="77777777" w:rsidR="00747A1D" w:rsidRPr="00341310" w:rsidRDefault="00000000">
      <w:pPr>
        <w:pBdr>
          <w:top w:val="none" w:sz="0" w:space="0" w:color="E5E7EB"/>
          <w:left w:val="none" w:sz="0" w:space="0" w:color="E5E7EB"/>
          <w:bottom w:val="none" w:sz="0" w:space="0" w:color="E5E7EB"/>
          <w:right w:val="none" w:sz="0" w:space="0" w:color="E5E7EB"/>
          <w:between w:val="none" w:sz="0" w:space="0" w:color="E5E7EB"/>
        </w:pBd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C = Cost of the intervention</w:t>
      </w:r>
    </w:p>
    <w:p w14:paraId="320E9291" w14:textId="77777777" w:rsidR="00747A1D" w:rsidRPr="00341310" w:rsidRDefault="00000000">
      <w:pPr>
        <w:spacing w:line="480" w:lineRule="auto"/>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 xml:space="preserve">Unfortunately, this basic equation yields grossly inflated estimates of economic value (e.g., over 14,000% return on investment; see Sturman, 2000). </w:t>
      </w:r>
    </w:p>
    <w:p w14:paraId="74199EE3"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Unsurprisingly, a ‘futility of utility’ research vein emerged positing that presenting UA information to managers backfires (Latham &amp; Whyte, 1994; Whyte &amp; Latham, 1997). In a series of studies, Latham and colleagues examined whether presenting utility information (e.g., the economic value of enhanced staffing) supplemented the presentation of validity information (e.g., the accuracy of the pre-employment staffing test). Latham et al. found that while presenting validity information was received favorably, presenting utility information alongside validity information backfired, making managers hesitant to adopt a valuable intervention. This narrative is discussed to this day (e.g., van </w:t>
      </w:r>
      <w:proofErr w:type="spellStart"/>
      <w:r w:rsidRPr="00341310">
        <w:rPr>
          <w:rFonts w:ascii="Times New Roman" w:eastAsia="Times New Roman" w:hAnsi="Times New Roman" w:cs="Times New Roman"/>
          <w:sz w:val="24"/>
          <w:szCs w:val="24"/>
        </w:rPr>
        <w:t>Iddekinge</w:t>
      </w:r>
      <w:proofErr w:type="spellEnd"/>
      <w:r w:rsidRPr="00341310">
        <w:rPr>
          <w:rFonts w:ascii="Times New Roman" w:eastAsia="Times New Roman" w:hAnsi="Times New Roman" w:cs="Times New Roman"/>
          <w:sz w:val="24"/>
          <w:szCs w:val="24"/>
        </w:rPr>
        <w:t xml:space="preserve"> et al., 2023) and for good reason; practitioners should be rightly concerned about using methods that could backfire. </w:t>
      </w:r>
    </w:p>
    <w:p w14:paraId="15F15EFB"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However, we should note that in explaining the ‘futility of utility,’ Cronshaw (1997) (who was a contributor to the ‘futility of utility’ research vein) theorized that the ‘backfire effect’ is attributable to a ‘</w:t>
      </w:r>
      <w:commentRangeStart w:id="4"/>
      <w:proofErr w:type="spellStart"/>
      <w:r w:rsidRPr="00341310">
        <w:rPr>
          <w:rFonts w:ascii="Times New Roman" w:eastAsia="Times New Roman" w:hAnsi="Times New Roman" w:cs="Times New Roman"/>
          <w:sz w:val="24"/>
          <w:szCs w:val="24"/>
        </w:rPr>
        <w:t>persuasional</w:t>
      </w:r>
      <w:proofErr w:type="spellEnd"/>
      <w:r w:rsidRPr="00341310">
        <w:rPr>
          <w:rFonts w:ascii="Times New Roman" w:eastAsia="Times New Roman" w:hAnsi="Times New Roman" w:cs="Times New Roman"/>
          <w:sz w:val="24"/>
          <w:szCs w:val="24"/>
        </w:rPr>
        <w:t xml:space="preserve"> hypothesis’</w:t>
      </w:r>
      <w:commentRangeEnd w:id="4"/>
      <w:r w:rsidR="006B7104">
        <w:rPr>
          <w:rStyle w:val="CommentReference"/>
        </w:rPr>
        <w:commentReference w:id="4"/>
      </w:r>
      <w:r w:rsidRPr="00341310">
        <w:rPr>
          <w:rFonts w:ascii="Times New Roman" w:eastAsia="Times New Roman" w:hAnsi="Times New Roman" w:cs="Times New Roman"/>
          <w:sz w:val="24"/>
          <w:szCs w:val="24"/>
        </w:rPr>
        <w:t xml:space="preserve">. Specifically, management is right to be skeptical of overly complex methods for the problem at hand. Cronshaw went on to posit that utility information can help managers make more optimal decisions about practices that impact the workforce when it is presented to inform rather than to persuade (Cronshaw, 1997). </w:t>
      </w:r>
    </w:p>
    <w:p w14:paraId="67D5880A"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Accordingly, later replication efforts showed more promise presenting utility with validity information. Carson et al. (1998) found that managers’ acceptance of UA information was positively impacted by utility information, although acceptance of the proposed intervention was still distressingly low. Later work by Macan and Foster (2004) found managers ranked UA information (e.g., the economic value of an intervention) highly when making final decisions, stating the dollar values helped in this. Later, Brooks et al. (2014) found using non-traditional effect size indicators such as common language effect size (CLES) helps managers understand the validity of interventions. </w:t>
      </w:r>
    </w:p>
    <w:p w14:paraId="05D0E511" w14:textId="1EA6FB8B" w:rsidR="00747A1D" w:rsidRPr="00341310" w:rsidRDefault="00000000">
      <w:pPr>
        <w:spacing w:line="480" w:lineRule="auto"/>
        <w:ind w:firstLine="720"/>
        <w:rPr>
          <w:rFonts w:ascii="Times New Roman" w:eastAsia="Times New Roman" w:hAnsi="Times New Roman" w:cs="Times New Roman"/>
          <w:color w:val="1C1917"/>
          <w:sz w:val="24"/>
          <w:szCs w:val="24"/>
          <w:highlight w:val="white"/>
        </w:rPr>
      </w:pPr>
      <w:r w:rsidRPr="00341310">
        <w:rPr>
          <w:rFonts w:ascii="Times New Roman" w:eastAsia="Times New Roman" w:hAnsi="Times New Roman" w:cs="Times New Roman"/>
          <w:color w:val="1C1917"/>
          <w:sz w:val="24"/>
          <w:szCs w:val="24"/>
          <w:highlight w:val="white"/>
        </w:rPr>
        <w:t>We should note that scholars have provided guidance for making utility estimates more accurate that include (</w:t>
      </w:r>
      <w:proofErr w:type="spellStart"/>
      <w:r w:rsidRPr="00341310">
        <w:rPr>
          <w:rFonts w:ascii="Times New Roman" w:eastAsia="Times New Roman" w:hAnsi="Times New Roman" w:cs="Times New Roman"/>
          <w:color w:val="1C1917"/>
          <w:sz w:val="24"/>
          <w:szCs w:val="24"/>
          <w:highlight w:val="white"/>
        </w:rPr>
        <w:t>i</w:t>
      </w:r>
      <w:proofErr w:type="spellEnd"/>
      <w:r w:rsidRPr="00341310">
        <w:rPr>
          <w:rFonts w:ascii="Times New Roman" w:eastAsia="Times New Roman" w:hAnsi="Times New Roman" w:cs="Times New Roman"/>
          <w:color w:val="1C1917"/>
          <w:sz w:val="24"/>
          <w:szCs w:val="24"/>
          <w:highlight w:val="white"/>
        </w:rPr>
        <w:t xml:space="preserve">) accounting for economic factors (i.e., interest, taxes, variable costs), (ii) (in the context of selection) the cost of using multiple selection devices, deviating from top-down hiring, and using a probationary period, and (iii) cohort or temporal effects (e.g., validity over time) (see Sturman, 2000). Although such adjustments can have a cumulative effect of shrinking utility estimates to levels that are ~4% of the basic utility analysis estimate and further complicate UA, they can help address flaws in assumptions of the basic model and provide a more realistic valuation of human resource programs for organizations. Unfortunately, managers’ receptivity to these methods has not been examined empirically. </w:t>
      </w:r>
    </w:p>
    <w:p w14:paraId="39F07333" w14:textId="77777777" w:rsidR="00747A1D" w:rsidRPr="00341310" w:rsidRDefault="00000000">
      <w:pPr>
        <w:spacing w:line="480" w:lineRule="auto"/>
        <w:ind w:firstLine="720"/>
        <w:rPr>
          <w:rFonts w:ascii="Times New Roman" w:eastAsia="Times New Roman" w:hAnsi="Times New Roman" w:cs="Times New Roman"/>
          <w:b/>
          <w:sz w:val="24"/>
          <w:szCs w:val="24"/>
        </w:rPr>
      </w:pPr>
      <w:r w:rsidRPr="00341310">
        <w:rPr>
          <w:rFonts w:ascii="Times New Roman" w:eastAsia="Times New Roman" w:hAnsi="Times New Roman" w:cs="Times New Roman"/>
          <w:sz w:val="24"/>
          <w:szCs w:val="24"/>
        </w:rPr>
        <w:lastRenderedPageBreak/>
        <w:t xml:space="preserve">In sum, we believe that used thoughtfully, UA can serve as a useful tool to help business leaders make more informed decisions about investing in people. Although it has been noted that UA can be helpful where IO psychologists in their context (Russell, 2022), we believe that as a discipline we can always improve how we help both business leaders and academicians consider the implications of theory-based interventions. </w:t>
      </w:r>
      <w:commentRangeEnd w:id="3"/>
      <w:r w:rsidR="00595011">
        <w:rPr>
          <w:rStyle w:val="CommentReference"/>
        </w:rPr>
        <w:commentReference w:id="3"/>
      </w:r>
    </w:p>
    <w:p w14:paraId="588043F1" w14:textId="77777777" w:rsidR="00747A1D" w:rsidRPr="00341310" w:rsidRDefault="00000000">
      <w:pPr>
        <w:spacing w:line="48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Introducing the Utility Analysis Plus (UA+) Tool</w:t>
      </w:r>
    </w:p>
    <w:p w14:paraId="4BBB5B47" w14:textId="0BA1BB8B"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We introduce the Utility Analysis plus (UA+) tool. Our work builds on Cascio et al. (2019) by incorporating insights from validity and utility analysis research that have either been shown to help managers make decisions regarding how best to staff, train, and develop their talent or are believed to support management decision-making (see Table 1). Also is a glossary of terms for those less familiar with UA, and ways to export the analysis in the .pdf format. Below, we offer a tutorial of the app using three published examples: (</w:t>
      </w:r>
      <w:proofErr w:type="spellStart"/>
      <w:r w:rsidRPr="00341310">
        <w:rPr>
          <w:rFonts w:ascii="Times New Roman" w:eastAsia="Times New Roman" w:hAnsi="Times New Roman" w:cs="Times New Roman"/>
          <w:sz w:val="24"/>
          <w:szCs w:val="24"/>
        </w:rPr>
        <w:t>i</w:t>
      </w:r>
      <w:proofErr w:type="spellEnd"/>
      <w:r w:rsidRPr="00341310">
        <w:rPr>
          <w:rFonts w:ascii="Times New Roman" w:eastAsia="Times New Roman" w:hAnsi="Times New Roman" w:cs="Times New Roman"/>
          <w:sz w:val="24"/>
          <w:szCs w:val="24"/>
        </w:rPr>
        <w:t xml:space="preserve">) the classic case of Latham and Whyte (1994) (adapted by Carson et al., 1998), (ii) using UA to estimate returns on leadership development investment (Avolio et al., 2010), and (iii) using UA to communicate goal setting intervention value (Schmidt, 2012). We do not cover all features of the app here as several are still under development (e.g., using </w:t>
      </w:r>
      <w:r w:rsidR="00341310">
        <w:rPr>
          <w:rFonts w:ascii="Times New Roman" w:eastAsia="Times New Roman" w:hAnsi="Times New Roman" w:cs="Times New Roman"/>
          <w:sz w:val="24"/>
          <w:szCs w:val="24"/>
        </w:rPr>
        <w:t>Monte</w:t>
      </w:r>
      <w:r w:rsidRPr="00341310">
        <w:rPr>
          <w:rFonts w:ascii="Times New Roman" w:eastAsia="Times New Roman" w:hAnsi="Times New Roman" w:cs="Times New Roman"/>
          <w:sz w:val="24"/>
          <w:szCs w:val="24"/>
        </w:rPr>
        <w:t xml:space="preserve"> </w:t>
      </w:r>
      <w:r w:rsidR="00341310">
        <w:rPr>
          <w:rFonts w:ascii="Times New Roman" w:eastAsia="Times New Roman" w:hAnsi="Times New Roman" w:cs="Times New Roman"/>
          <w:sz w:val="24"/>
          <w:szCs w:val="24"/>
        </w:rPr>
        <w:t>Carlo</w:t>
      </w:r>
      <w:r w:rsidRPr="00341310">
        <w:rPr>
          <w:rFonts w:ascii="Times New Roman" w:eastAsia="Times New Roman" w:hAnsi="Times New Roman" w:cs="Times New Roman"/>
          <w:sz w:val="24"/>
          <w:szCs w:val="24"/>
        </w:rPr>
        <w:t xml:space="preserve"> analysis to facilitate risk management). The app can be accessed here: </w:t>
      </w:r>
      <w:hyperlink r:id="rId12">
        <w:r w:rsidR="00747A1D" w:rsidRPr="00341310">
          <w:rPr>
            <w:rFonts w:ascii="Times New Roman" w:eastAsia="Times New Roman" w:hAnsi="Times New Roman" w:cs="Times New Roman"/>
            <w:sz w:val="24"/>
            <w:szCs w:val="24"/>
          </w:rPr>
          <w:t>https://uaplus.shinyapps.io/UAPlus/</w:t>
        </w:r>
      </w:hyperlink>
      <w:r w:rsidRPr="00341310">
        <w:rPr>
          <w:rFonts w:ascii="Times New Roman" w:eastAsia="Times New Roman" w:hAnsi="Times New Roman" w:cs="Times New Roman"/>
          <w:sz w:val="24"/>
          <w:szCs w:val="24"/>
        </w:rPr>
        <w:t xml:space="preserve">. </w:t>
      </w:r>
    </w:p>
    <w:p w14:paraId="6DA98DC1"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t>Improving Staffing: the Latham &amp; Whyte (1994) Example</w:t>
      </w:r>
    </w:p>
    <w:p w14:paraId="1CB01296"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 Carson et al. (1998) demonstrate that the utility analysis conducted by Latham and Whyte (1994) is useful in managers’ decision-making if presented in an easily understandable way. We reproduce key features of Carson et al.’s vignettes with the UA+ app. Also, building on Cucina (2017) and Latham and Whyte (1994), we add expectancy charts (Cucina, 2017) and plain-text explanations to aid decision making. To begin, users should click on the Staffing </w:t>
      </w:r>
      <w:r w:rsidRPr="00341310">
        <w:rPr>
          <w:rFonts w:ascii="Times New Roman" w:eastAsia="Times New Roman" w:hAnsi="Times New Roman" w:cs="Times New Roman"/>
          <w:sz w:val="24"/>
          <w:szCs w:val="24"/>
        </w:rPr>
        <w:lastRenderedPageBreak/>
        <w:t xml:space="preserve">Utility tab. There they will find an introduction on staffing utility as well as the app, along with a sidebar with sections, “Staffing Utility,” “Expectancy,” and “Utility Outputs'' (see Figure 1). </w:t>
      </w:r>
    </w:p>
    <w:p w14:paraId="29C5C681" w14:textId="3593BC11"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When users click on the “Expectancy” section, they will be met with a series of inputs used within the utility calculation. Default values for these inputs are from Latham and Whyte (1994).</w:t>
      </w:r>
      <w:r w:rsidRPr="00341310">
        <w:rPr>
          <w:rFonts w:ascii="Times New Roman" w:eastAsia="Times New Roman" w:hAnsi="Times New Roman" w:cs="Times New Roman"/>
          <w:sz w:val="24"/>
          <w:szCs w:val="24"/>
          <w:vertAlign w:val="superscript"/>
        </w:rPr>
        <w:footnoteReference w:id="1"/>
      </w:r>
      <w:r w:rsidRPr="00341310">
        <w:rPr>
          <w:rFonts w:ascii="Times New Roman" w:eastAsia="Times New Roman" w:hAnsi="Times New Roman" w:cs="Times New Roman"/>
          <w:sz w:val="24"/>
          <w:szCs w:val="24"/>
        </w:rPr>
        <w:t xml:space="preserve"> Users will notice the option of inputting costs and validity for separate procedures for comparison.</w:t>
      </w:r>
      <w:r w:rsidRPr="00341310">
        <w:rPr>
          <w:rFonts w:ascii="Times New Roman" w:eastAsia="Times New Roman" w:hAnsi="Times New Roman" w:cs="Times New Roman"/>
          <w:b/>
          <w:sz w:val="24"/>
          <w:szCs w:val="24"/>
        </w:rPr>
        <w:t xml:space="preserve"> </w:t>
      </w:r>
      <w:r w:rsidRPr="00341310">
        <w:rPr>
          <w:rFonts w:ascii="Times New Roman" w:eastAsia="Times New Roman" w:hAnsi="Times New Roman" w:cs="Times New Roman"/>
          <w:sz w:val="24"/>
          <w:szCs w:val="24"/>
        </w:rPr>
        <w:t xml:space="preserve">Results are populated when the “Compute Expectancy” button is clicked, which consists of an expectancy chart (Cucina et al., 2017), as well as a common language explanation of the expectancy results from the user’s inputs. This output also frames both the value added by acquiring high performers and the opportunity cost of continuing to hire poor performers (Hazer &amp; Highhouse, 1997). Users will note that throughout all outputs found within UA+, this framing effect is present in visualization explanations, UA outputs, and UA plain-text descriptions </w:t>
      </w:r>
      <w:r w:rsidR="00341310" w:rsidRPr="00341310">
        <w:rPr>
          <w:rFonts w:ascii="Times New Roman" w:eastAsia="Times New Roman" w:hAnsi="Times New Roman" w:cs="Times New Roman"/>
          <w:sz w:val="24"/>
          <w:szCs w:val="24"/>
        </w:rPr>
        <w:t>(</w:t>
      </w:r>
      <w:r w:rsidRPr="00341310">
        <w:rPr>
          <w:rFonts w:ascii="Times New Roman" w:eastAsia="Times New Roman" w:hAnsi="Times New Roman" w:cs="Times New Roman"/>
          <w:sz w:val="24"/>
          <w:szCs w:val="24"/>
        </w:rPr>
        <w:t>see Figure 2).</w:t>
      </w:r>
    </w:p>
    <w:p w14:paraId="235D1DAE"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Users may proceed to the “Utility Outputs” section. This section contains an input panel with economic and workflow adjustments. Default values for economic adjustments are from Sturman’s (2000) while values for workflows are from Cascio et al. (2019). Figure 3 shows the outputs when the “Compute Utility” button is pressed.</w:t>
      </w:r>
    </w:p>
    <w:p w14:paraId="46485562"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 xml:space="preserve">These outputs consist of total unadjusted utility, total utility, per year, and per hire per year dollar values of UA, a break-even value for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 as well as a plain-text description of these values. The figure shown for unadjusted utility reproduces the value found by Latham and Whyte (1994), and plain-text descriptions are modeled similarly to those by Carson et al. (1998).</w:t>
      </w:r>
    </w:p>
    <w:p w14:paraId="60005AC7" w14:textId="77777777" w:rsidR="00747A1D" w:rsidRPr="00341310" w:rsidRDefault="00000000">
      <w:pPr>
        <w:spacing w:line="480" w:lineRule="auto"/>
        <w:rPr>
          <w:rFonts w:ascii="Times New Roman" w:eastAsia="Times New Roman" w:hAnsi="Times New Roman" w:cs="Times New Roman"/>
          <w:b/>
          <w:sz w:val="24"/>
          <w:szCs w:val="24"/>
        </w:rPr>
      </w:pPr>
      <w:commentRangeStart w:id="5"/>
      <w:commentRangeStart w:id="6"/>
      <w:r w:rsidRPr="00341310">
        <w:rPr>
          <w:rFonts w:ascii="Times New Roman" w:eastAsia="Times New Roman" w:hAnsi="Times New Roman" w:cs="Times New Roman"/>
          <w:b/>
          <w:sz w:val="24"/>
          <w:szCs w:val="24"/>
        </w:rPr>
        <w:lastRenderedPageBreak/>
        <w:t xml:space="preserve">Improving Training or Employee Development </w:t>
      </w:r>
    </w:p>
    <w:p w14:paraId="08A77DC1"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 xml:space="preserve">Case 1: the Avolio et al. (2010) example: </w:t>
      </w:r>
      <w:r w:rsidRPr="00341310">
        <w:rPr>
          <w:rFonts w:ascii="Times New Roman" w:eastAsia="Times New Roman" w:hAnsi="Times New Roman" w:cs="Times New Roman"/>
          <w:sz w:val="24"/>
          <w:szCs w:val="24"/>
        </w:rPr>
        <w:t xml:space="preserve">Avolio et al. demonstrate how UA can be used in terms of training and be presented as the returns on development investment (RODI). Our tool presents RODI using an effect size visualization explaining how training impacts production and a plain-text explanation in order to effectively explain results of RODI analysis to managers. To use the RODI section of the app, users may click on the “Training Utility” tab. This will lead to a page similar to the “Staffing Utility” tab, with sidebar options of “Training Utility,” “Effect Size,” and “Utility Output.” Clicking “Training Utility” will display an explanation of training utility as well as explanations of RODI and goal setting intervention (see Figure 4). </w:t>
      </w:r>
    </w:p>
    <w:p w14:paraId="1C901973"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When users click on the “Effect Size” option, they will be met with an input panel for displaying effect size. This panel includes a “Training Effectiveness” input as well as options for training(RODI) or goal setting. Users should click the training options, which will fill the input boxes with a set of values found in Avolio et al. (2010)</w:t>
      </w:r>
      <w:r w:rsidRPr="00341310">
        <w:rPr>
          <w:rFonts w:ascii="Times New Roman" w:eastAsia="Times New Roman" w:hAnsi="Times New Roman" w:cs="Times New Roman"/>
          <w:sz w:val="24"/>
          <w:szCs w:val="24"/>
          <w:vertAlign w:val="superscript"/>
        </w:rPr>
        <w:footnoteReference w:id="2"/>
      </w:r>
      <w:r w:rsidRPr="00341310">
        <w:rPr>
          <w:rFonts w:ascii="Times New Roman" w:eastAsia="Times New Roman" w:hAnsi="Times New Roman" w:cs="Times New Roman"/>
          <w:sz w:val="24"/>
          <w:szCs w:val="24"/>
        </w:rPr>
        <w:t xml:space="preserve"> (see Figure 5).</w:t>
      </w:r>
    </w:p>
    <w:p w14:paraId="5F2D1D6D"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Figure 5 also displays the results of clicking the “Display Effect Size” button. This output includes an effect size distribution chart (Alexander et al., 2019) as well as a plain-language effect size description (Magnusson, 2023; Hazer &amp; Highhouse 1997). Users should then navigate to the “Utility Outputs” section. There they will see a two page input panel. These pages are similar to the “Staffing Utility” panels, except that there are options for RODI and goal setting, along with an input for “SD of Work Output”. Users should click “RODI Inputs” and then click “Calculate Utility (Unadjusted)” to display an unadjusted utility estimate.</w:t>
      </w:r>
    </w:p>
    <w:p w14:paraId="60CED7D4"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ab/>
        <w:t>Users may then proceed to the second page of the panel to input utility adjustments. This page contains inputs for economic adjustments and workflows, as well as radio buttons to select output type and a “Compute Utility” button. The defaults for the economic adjustments are from Sturman (2000) while defaults for the workflow adjustments are from Cascio et al. (2019). Figure 6 shows the output generated when “Compute Utility” is clicked with the “Training Program” radio button selected.</w:t>
      </w:r>
    </w:p>
    <w:p w14:paraId="7A3ADC2B"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sz w:val="24"/>
          <w:szCs w:val="24"/>
        </w:rPr>
        <w:tab/>
        <w:t>This output consists of the values for RODI simply listed as well as in the form of a plain-text description. The unadjusted utility value reproduces the value found by Avolio et al. (2010)</w:t>
      </w:r>
      <w:r w:rsidRPr="00341310">
        <w:rPr>
          <w:rFonts w:ascii="Times New Roman" w:eastAsia="Times New Roman" w:hAnsi="Times New Roman" w:cs="Times New Roman"/>
          <w:sz w:val="24"/>
          <w:szCs w:val="24"/>
          <w:vertAlign w:val="superscript"/>
        </w:rPr>
        <w:footnoteReference w:id="3"/>
      </w:r>
      <w:r w:rsidRPr="00341310">
        <w:rPr>
          <w:rFonts w:ascii="Times New Roman" w:eastAsia="Times New Roman" w:hAnsi="Times New Roman" w:cs="Times New Roman"/>
          <w:sz w:val="24"/>
          <w:szCs w:val="24"/>
        </w:rPr>
        <w:t xml:space="preserve">. A break even value for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 xml:space="preserve"> is also listed.</w:t>
      </w:r>
    </w:p>
    <w:p w14:paraId="3F1D5D00" w14:textId="77777777" w:rsidR="00747A1D" w:rsidRPr="00341310" w:rsidRDefault="00000000">
      <w:pPr>
        <w:spacing w:line="480" w:lineRule="auto"/>
        <w:ind w:firstLine="720"/>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 xml:space="preserve">Case 2. The Schmidt (2012) Example: </w:t>
      </w:r>
      <w:r w:rsidRPr="00341310">
        <w:rPr>
          <w:rFonts w:ascii="Times New Roman" w:eastAsia="Times New Roman" w:hAnsi="Times New Roman" w:cs="Times New Roman"/>
          <w:sz w:val="24"/>
          <w:szCs w:val="24"/>
        </w:rPr>
        <w:t>Schmidt (2012) uses utility analysis in order to demonstrate the effectiveness of goal setting interventions by presenting utility as a dollar value, as well as presenting increases in production value from goal setting as a reduction of labor cost. The UA+ tool is able to concisely present these calculations using plain-text descriptions.</w:t>
      </w:r>
    </w:p>
    <w:p w14:paraId="64859ABF" w14:textId="77777777" w:rsidR="00747A1D" w:rsidRPr="00341310" w:rsidRDefault="00000000">
      <w:pPr>
        <w:spacing w:line="480" w:lineRule="auto"/>
        <w:ind w:firstLine="720"/>
        <w:rPr>
          <w:rFonts w:ascii="Times New Roman" w:eastAsia="Times New Roman" w:hAnsi="Times New Roman" w:cs="Times New Roman"/>
          <w:b/>
          <w:sz w:val="24"/>
          <w:szCs w:val="24"/>
        </w:rPr>
      </w:pPr>
      <w:r w:rsidRPr="00341310">
        <w:rPr>
          <w:rFonts w:ascii="Times New Roman" w:eastAsia="Times New Roman" w:hAnsi="Times New Roman" w:cs="Times New Roman"/>
          <w:sz w:val="24"/>
          <w:szCs w:val="24"/>
        </w:rPr>
        <w:t>Using the “Effect Size” portion of the app for goal setting is identical to the RODI method, except that goal setting inputs and outputs should be selected. This will generate an output with terminology specific to goal setting.</w:t>
      </w:r>
    </w:p>
    <w:p w14:paraId="748E71BE"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 xml:space="preserve">Users may then proceed to the “Utility Outputs” section and choose goal setting inputs. This will enable the “SD of Work Output” input box which is used in the calculation for increased production and reduced labor costs. They may then press the “Compute Utility (Unadjusted)” button in order to display the unadjusted utility in terms of dollar value from goal setting. The second page of the panel and default adjustments are identical to the previous tutorials. The “Goal Setting Output” radio button should then be selected. Users should see </w:t>
      </w:r>
      <w:r w:rsidRPr="00341310">
        <w:rPr>
          <w:rFonts w:ascii="Times New Roman" w:eastAsia="Times New Roman" w:hAnsi="Times New Roman" w:cs="Times New Roman"/>
          <w:sz w:val="24"/>
          <w:szCs w:val="24"/>
        </w:rPr>
        <w:lastRenderedPageBreak/>
        <w:t>inputs shown in Figure 7. The “Compute Utility” button displays returns on goal setting procedures as well as production increases and labor reduction. The unadjusted utility, increased production, and employee reduction values reproduce the results found by Schmidt (2012).</w:t>
      </w:r>
    </w:p>
    <w:p w14:paraId="17AE767E"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 xml:space="preserve">The code for this app is available via </w:t>
      </w:r>
      <w:proofErr w:type="spellStart"/>
      <w:r w:rsidRPr="00341310">
        <w:rPr>
          <w:rFonts w:ascii="Times New Roman" w:eastAsia="Times New Roman" w:hAnsi="Times New Roman" w:cs="Times New Roman"/>
          <w:sz w:val="24"/>
          <w:szCs w:val="24"/>
        </w:rPr>
        <w:t>Github</w:t>
      </w:r>
      <w:proofErr w:type="spellEnd"/>
      <w:r w:rsidRPr="00341310">
        <w:rPr>
          <w:rFonts w:ascii="Times New Roman" w:eastAsia="Times New Roman" w:hAnsi="Times New Roman" w:cs="Times New Roman"/>
          <w:sz w:val="24"/>
          <w:szCs w:val="24"/>
        </w:rPr>
        <w:t xml:space="preserve">: https://github.com/utilityanalysis/webApp. Interested readers are welcome to issue requests for the app or improve the app as they like for their purposes. </w:t>
      </w:r>
      <w:commentRangeEnd w:id="5"/>
      <w:r w:rsidR="00595011">
        <w:rPr>
          <w:rStyle w:val="CommentReference"/>
        </w:rPr>
        <w:commentReference w:id="5"/>
      </w:r>
      <w:commentRangeEnd w:id="6"/>
      <w:r w:rsidR="00595011">
        <w:rPr>
          <w:rStyle w:val="CommentReference"/>
        </w:rPr>
        <w:commentReference w:id="6"/>
      </w:r>
    </w:p>
    <w:p w14:paraId="1B048BFA" w14:textId="3E768411" w:rsidR="00747A1D" w:rsidRPr="00341310" w:rsidRDefault="00000000">
      <w:pPr>
        <w:spacing w:line="480" w:lineRule="auto"/>
        <w:jc w:val="center"/>
        <w:rPr>
          <w:rFonts w:ascii="Times New Roman" w:eastAsia="Times New Roman" w:hAnsi="Times New Roman" w:cs="Times New Roman"/>
          <w:b/>
          <w:sz w:val="24"/>
          <w:szCs w:val="24"/>
        </w:rPr>
      </w:pPr>
      <w:commentRangeStart w:id="7"/>
      <w:r w:rsidRPr="00341310">
        <w:rPr>
          <w:rFonts w:ascii="Times New Roman" w:eastAsia="Times New Roman" w:hAnsi="Times New Roman" w:cs="Times New Roman"/>
          <w:b/>
          <w:sz w:val="24"/>
          <w:szCs w:val="24"/>
        </w:rPr>
        <w:t>Discussion</w:t>
      </w:r>
    </w:p>
    <w:p w14:paraId="187AC53F" w14:textId="77777777" w:rsidR="00747A1D" w:rsidRPr="001D4D22" w:rsidRDefault="00000000" w:rsidP="001D4D22">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ab/>
        <w:t xml:space="preserve">We have given a brief overview of the UA+ web app. In closing, we wish to share our </w:t>
      </w:r>
      <w:r w:rsidRPr="001D4D22">
        <w:rPr>
          <w:rFonts w:ascii="Times New Roman" w:eastAsia="Times New Roman" w:hAnsi="Times New Roman" w:cs="Times New Roman"/>
          <w:sz w:val="24"/>
          <w:szCs w:val="24"/>
        </w:rPr>
        <w:t>plans for (</w:t>
      </w:r>
      <w:proofErr w:type="spellStart"/>
      <w:r w:rsidRPr="001D4D22">
        <w:rPr>
          <w:rFonts w:ascii="Times New Roman" w:eastAsia="Times New Roman" w:hAnsi="Times New Roman" w:cs="Times New Roman"/>
          <w:sz w:val="24"/>
          <w:szCs w:val="24"/>
        </w:rPr>
        <w:t>i</w:t>
      </w:r>
      <w:proofErr w:type="spellEnd"/>
      <w:r w:rsidRPr="001D4D22">
        <w:rPr>
          <w:rFonts w:ascii="Times New Roman" w:eastAsia="Times New Roman" w:hAnsi="Times New Roman" w:cs="Times New Roman"/>
          <w:sz w:val="24"/>
          <w:szCs w:val="24"/>
        </w:rPr>
        <w:t>) adding more features to the app and (ii) engaging in a set of literal replications to identify those features that meaningfully enhance the usefulness of this app for our community.</w:t>
      </w:r>
    </w:p>
    <w:p w14:paraId="38EDCA0B" w14:textId="64AE4D7C" w:rsidR="00747A1D" w:rsidRPr="001D4D22" w:rsidRDefault="00000000" w:rsidP="001D4D22">
      <w:pPr>
        <w:spacing w:line="480" w:lineRule="auto"/>
        <w:rPr>
          <w:rFonts w:ascii="Times New Roman" w:eastAsia="Times New Roman" w:hAnsi="Times New Roman" w:cs="Times New Roman"/>
          <w:sz w:val="24"/>
          <w:szCs w:val="24"/>
          <w:lang w:val="en-US"/>
        </w:rPr>
      </w:pPr>
      <w:r w:rsidRPr="001D4D22">
        <w:rPr>
          <w:rFonts w:ascii="Times New Roman" w:eastAsia="Cardo" w:hAnsi="Times New Roman" w:cs="Times New Roman"/>
          <w:sz w:val="24"/>
          <w:szCs w:val="24"/>
        </w:rPr>
        <w:t xml:space="preserve">Features we plan to include follow. First, we wish to add graphical descriptions of UA (i.e. slides) that allow a causal chain to be described (e.g., % increase in training → % increase in performance → % increase in economic value), which Winkler et al. (2010) suggest help managers see how an intervention impacts the workforce. Second, concerning the accuracy of UA, Sturman (2000) notes that a </w:t>
      </w:r>
      <w:r w:rsidR="00341310" w:rsidRPr="001D4D22">
        <w:rPr>
          <w:rFonts w:ascii="Times New Roman" w:eastAsia="Cardo" w:hAnsi="Times New Roman" w:cs="Times New Roman"/>
          <w:sz w:val="24"/>
          <w:szCs w:val="24"/>
        </w:rPr>
        <w:t>Monte Carlo</w:t>
      </w:r>
      <w:r w:rsidRPr="001D4D22">
        <w:rPr>
          <w:rFonts w:ascii="Times New Roman" w:eastAsia="Cardo" w:hAnsi="Times New Roman" w:cs="Times New Roman"/>
          <w:sz w:val="24"/>
          <w:szCs w:val="24"/>
        </w:rPr>
        <w:t xml:space="preserve"> analysis allows a comprehensive set of adjustments to be used to accurately appraise the value of HR interventions. We hope to update the UA+ app with a </w:t>
      </w:r>
      <w:r w:rsidR="00341310" w:rsidRPr="001D4D22">
        <w:rPr>
          <w:rFonts w:ascii="Times New Roman" w:eastAsia="Cardo" w:hAnsi="Times New Roman" w:cs="Times New Roman"/>
          <w:sz w:val="24"/>
          <w:szCs w:val="24"/>
        </w:rPr>
        <w:t>Monte</w:t>
      </w:r>
      <w:r w:rsidRPr="001D4D22">
        <w:rPr>
          <w:rFonts w:ascii="Times New Roman" w:eastAsia="Cardo" w:hAnsi="Times New Roman" w:cs="Times New Roman"/>
          <w:sz w:val="24"/>
          <w:szCs w:val="24"/>
        </w:rPr>
        <w:t xml:space="preserve"> </w:t>
      </w:r>
      <w:r w:rsidR="00341310" w:rsidRPr="001D4D22">
        <w:rPr>
          <w:rFonts w:ascii="Times New Roman" w:eastAsia="Cardo" w:hAnsi="Times New Roman" w:cs="Times New Roman"/>
          <w:sz w:val="24"/>
          <w:szCs w:val="24"/>
        </w:rPr>
        <w:t>Carlo</w:t>
      </w:r>
      <w:r w:rsidRPr="001D4D22">
        <w:rPr>
          <w:rFonts w:ascii="Times New Roman" w:eastAsia="Cardo" w:hAnsi="Times New Roman" w:cs="Times New Roman"/>
          <w:sz w:val="24"/>
          <w:szCs w:val="24"/>
        </w:rPr>
        <w:t xml:space="preserve"> analysis feature that is relatively easy to use and reproduces (as closely as possible) the findings from Sturman (2000) (e.g., adjustments reduce basic utility estimates to ~4% of their initial value). Third, we wish to augment the selection utility tools in the app with a pareto-optimization feature that allows users to identify the most economic value that can be attained while diversifying the workforce (see De Corte et al., 2011; Rupp et al., 2020). Fourth, we wish to highlight the neglected role of compensation in utility research (e.g., </w:t>
      </w:r>
      <w:r w:rsidR="001D4D22" w:rsidRPr="001D4D22">
        <w:rPr>
          <w:rFonts w:ascii="Times New Roman" w:eastAsia="Times New Roman" w:hAnsi="Times New Roman" w:cs="Times New Roman"/>
          <w:color w:val="1C1917"/>
          <w:sz w:val="24"/>
          <w:szCs w:val="24"/>
          <w:shd w:val="clear" w:color="auto" w:fill="FFFFFF"/>
          <w:lang w:val="en-US"/>
        </w:rPr>
        <w:t>its impact on workforce value, see Sturman, 2001</w:t>
      </w:r>
      <w:r w:rsidRPr="001D4D22">
        <w:rPr>
          <w:rFonts w:ascii="Times New Roman" w:eastAsia="Cardo" w:hAnsi="Times New Roman" w:cs="Times New Roman"/>
          <w:sz w:val="24"/>
          <w:szCs w:val="24"/>
        </w:rPr>
        <w:t xml:space="preserve">, see Sturman, 2001). Our long-term aim is to </w:t>
      </w:r>
      <w:r w:rsidRPr="001D4D22">
        <w:rPr>
          <w:rFonts w:ascii="Times New Roman" w:eastAsia="Cardo" w:hAnsi="Times New Roman" w:cs="Times New Roman"/>
          <w:sz w:val="24"/>
          <w:szCs w:val="24"/>
        </w:rPr>
        <w:lastRenderedPageBreak/>
        <w:t>have a tool that allows HR professionals to identify optimal bundles of interventions (e.g., combinations of staffing, training, and compensation enhancements).</w:t>
      </w:r>
    </w:p>
    <w:p w14:paraId="156CDEC4" w14:textId="0D3E7C8F" w:rsidR="00747A1D" w:rsidRPr="00341310" w:rsidRDefault="00000000" w:rsidP="001D4D22">
      <w:pPr>
        <w:spacing w:line="480" w:lineRule="auto"/>
        <w:ind w:firstLine="720"/>
        <w:rPr>
          <w:rFonts w:ascii="Times New Roman" w:eastAsia="Times New Roman" w:hAnsi="Times New Roman" w:cs="Times New Roman"/>
          <w:sz w:val="24"/>
          <w:szCs w:val="24"/>
        </w:rPr>
      </w:pPr>
      <w:r w:rsidRPr="001D4D22">
        <w:rPr>
          <w:rFonts w:ascii="Times New Roman" w:eastAsia="Times New Roman" w:hAnsi="Times New Roman" w:cs="Times New Roman"/>
          <w:sz w:val="24"/>
          <w:szCs w:val="24"/>
        </w:rPr>
        <w:t>We wish to close by noting that while our app’s design is grounded in the literature, more information or features in the app may not always</w:t>
      </w:r>
      <w:r w:rsidRPr="00341310">
        <w:rPr>
          <w:rFonts w:ascii="Times New Roman" w:eastAsia="Times New Roman" w:hAnsi="Times New Roman" w:cs="Times New Roman"/>
          <w:sz w:val="24"/>
          <w:szCs w:val="24"/>
        </w:rPr>
        <w:t xml:space="preserve"> be better (Connelly et al., 2023); sometimes, less is more. Indeed, as described in Table 1, there are many claims concerning how to present evidence to managers, some of which have been supported. Therefore, our first step is to replicate those effects that have been tested in the literature via a set of literal replication studies (i.e., a replication aimed at replicating, as close as possible, the initial conditions of these studies). In this first wave of confirmatory testing, we will identify and retain information features that are useful for our community. As part of this, we will include conditions that test claims that have gone relatively untested (e.g., framing effects applied to validity). Our aim is to provide clear evidence concerning what does and does not help users make decisions regarding investing in their people and then build this information in the UA+ app. We have already begun pre-registering our methods and hypotheses on the Open Science Framework</w:t>
      </w:r>
      <w:r w:rsidR="00341310">
        <w:rPr>
          <w:rFonts w:ascii="Times New Roman" w:eastAsia="Times New Roman" w:hAnsi="Times New Roman" w:cs="Times New Roman"/>
          <w:sz w:val="24"/>
          <w:szCs w:val="24"/>
        </w:rPr>
        <w:t xml:space="preserve"> and look</w:t>
      </w:r>
      <w:r w:rsidRPr="00341310">
        <w:rPr>
          <w:rFonts w:ascii="Times New Roman" w:eastAsia="Times New Roman" w:hAnsi="Times New Roman" w:cs="Times New Roman"/>
          <w:sz w:val="24"/>
          <w:szCs w:val="24"/>
        </w:rPr>
        <w:t xml:space="preserve"> forward to </w:t>
      </w:r>
      <w:r w:rsidR="00341310">
        <w:rPr>
          <w:rFonts w:ascii="Times New Roman" w:eastAsia="Times New Roman" w:hAnsi="Times New Roman" w:cs="Times New Roman"/>
          <w:sz w:val="24"/>
          <w:szCs w:val="24"/>
        </w:rPr>
        <w:t xml:space="preserve">incorporating </w:t>
      </w:r>
      <w:r w:rsidRPr="00341310">
        <w:rPr>
          <w:rFonts w:ascii="Times New Roman" w:eastAsia="Times New Roman" w:hAnsi="Times New Roman" w:cs="Times New Roman"/>
          <w:sz w:val="24"/>
          <w:szCs w:val="24"/>
        </w:rPr>
        <w:t xml:space="preserve">feedback from our reviewers. </w:t>
      </w:r>
      <w:commentRangeEnd w:id="7"/>
      <w:r w:rsidR="00595011">
        <w:rPr>
          <w:rStyle w:val="CommentReference"/>
        </w:rPr>
        <w:commentReference w:id="7"/>
      </w:r>
      <w:r w:rsidRPr="00341310">
        <w:rPr>
          <w:rFonts w:ascii="Times New Roman" w:hAnsi="Times New Roman" w:cs="Times New Roman"/>
          <w:sz w:val="24"/>
          <w:szCs w:val="24"/>
        </w:rPr>
        <w:br w:type="page"/>
      </w:r>
    </w:p>
    <w:p w14:paraId="0CAAC5B8" w14:textId="77777777" w:rsidR="00747A1D" w:rsidRPr="00341310" w:rsidRDefault="00000000">
      <w:pPr>
        <w:spacing w:line="48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References</w:t>
      </w:r>
    </w:p>
    <w:p w14:paraId="0E6FE662" w14:textId="77777777" w:rsidR="00747A1D" w:rsidRPr="00341310" w:rsidRDefault="00000000">
      <w:pPr>
        <w:spacing w:line="480" w:lineRule="auto"/>
        <w:ind w:left="720" w:hanging="720"/>
        <w:rPr>
          <w:rFonts w:ascii="Times New Roman" w:eastAsia="Times New Roman" w:hAnsi="Times New Roman" w:cs="Times New Roman"/>
          <w:sz w:val="24"/>
          <w:szCs w:val="24"/>
          <w:highlight w:val="white"/>
        </w:rPr>
      </w:pPr>
      <w:r w:rsidRPr="00341310">
        <w:rPr>
          <w:rFonts w:ascii="Times New Roman" w:eastAsia="Times New Roman" w:hAnsi="Times New Roman" w:cs="Times New Roman"/>
          <w:sz w:val="24"/>
          <w:szCs w:val="24"/>
          <w:highlight w:val="white"/>
        </w:rPr>
        <w:t xml:space="preserve">Alexander III, L., Mulfinger, E., &amp; Oswald, F. L. (2019). </w:t>
      </w:r>
      <w:r w:rsidRPr="00341310">
        <w:rPr>
          <w:rFonts w:ascii="Times New Roman" w:eastAsia="Times New Roman" w:hAnsi="Times New Roman" w:cs="Times New Roman"/>
          <w:i/>
          <w:sz w:val="24"/>
          <w:szCs w:val="24"/>
          <w:highlight w:val="white"/>
        </w:rPr>
        <w:t>Investing in People Online</w:t>
      </w:r>
      <w:r w:rsidRPr="00341310">
        <w:rPr>
          <w:rFonts w:ascii="Times New Roman" w:eastAsia="Times New Roman" w:hAnsi="Times New Roman" w:cs="Times New Roman"/>
          <w:sz w:val="24"/>
          <w:szCs w:val="24"/>
          <w:highlight w:val="white"/>
        </w:rPr>
        <w:t xml:space="preserve"> (Version 2.0)  [Software], Rice University, Houston, Texas. Available from </w:t>
      </w:r>
      <w:hyperlink r:id="rId13">
        <w:r w:rsidR="00747A1D" w:rsidRPr="00341310">
          <w:rPr>
            <w:rFonts w:ascii="Times New Roman" w:eastAsia="Times New Roman" w:hAnsi="Times New Roman" w:cs="Times New Roman"/>
            <w:sz w:val="24"/>
            <w:szCs w:val="24"/>
            <w:highlight w:val="white"/>
          </w:rPr>
          <w:t>https://orgtools.shinyapps.io/IIP3/</w:t>
        </w:r>
      </w:hyperlink>
    </w:p>
    <w:p w14:paraId="75E5FC77" w14:textId="77777777" w:rsidR="00747A1D" w:rsidRPr="00341310" w:rsidRDefault="00000000">
      <w:pPr>
        <w:spacing w:line="480" w:lineRule="auto"/>
        <w:ind w:left="720" w:hanging="720"/>
        <w:rPr>
          <w:rFonts w:ascii="Times New Roman" w:eastAsia="Times New Roman" w:hAnsi="Times New Roman" w:cs="Times New Roman"/>
          <w:sz w:val="24"/>
          <w:szCs w:val="24"/>
          <w:highlight w:val="white"/>
        </w:rPr>
      </w:pPr>
      <w:r w:rsidRPr="00341310">
        <w:rPr>
          <w:rFonts w:ascii="Times New Roman" w:eastAsia="Times New Roman" w:hAnsi="Times New Roman" w:cs="Times New Roman"/>
          <w:sz w:val="24"/>
          <w:szCs w:val="24"/>
          <w:highlight w:val="white"/>
        </w:rPr>
        <w:t xml:space="preserve">Avolio, B. J., Avey, J. B., &amp; Quisenberry, D. (2010). Estimating return on leadership development investment. </w:t>
      </w:r>
      <w:r w:rsidRPr="00341310">
        <w:rPr>
          <w:rFonts w:ascii="Times New Roman" w:eastAsia="Times New Roman" w:hAnsi="Times New Roman" w:cs="Times New Roman"/>
          <w:i/>
          <w:sz w:val="24"/>
          <w:szCs w:val="24"/>
          <w:highlight w:val="white"/>
        </w:rPr>
        <w:t>The Leadership Quarterly, 21</w:t>
      </w:r>
      <w:r w:rsidRPr="00341310">
        <w:rPr>
          <w:rFonts w:ascii="Times New Roman" w:eastAsia="Times New Roman" w:hAnsi="Times New Roman" w:cs="Times New Roman"/>
          <w:sz w:val="24"/>
          <w:szCs w:val="24"/>
          <w:highlight w:val="white"/>
        </w:rPr>
        <w:t xml:space="preserve">(4), 633–644. </w:t>
      </w:r>
      <w:hyperlink r:id="rId14">
        <w:r w:rsidR="00747A1D" w:rsidRPr="00341310">
          <w:rPr>
            <w:rFonts w:ascii="Times New Roman" w:eastAsia="Times New Roman" w:hAnsi="Times New Roman" w:cs="Times New Roman"/>
            <w:sz w:val="24"/>
            <w:szCs w:val="24"/>
            <w:highlight w:val="white"/>
          </w:rPr>
          <w:t>https://doi.org/10.1016/j.leaqua.2010.06.006</w:t>
        </w:r>
      </w:hyperlink>
    </w:p>
    <w:p w14:paraId="13134A48" w14:textId="77777777" w:rsidR="00747A1D" w:rsidRPr="00341310" w:rsidRDefault="00000000">
      <w:pPr>
        <w:spacing w:line="480" w:lineRule="auto"/>
        <w:ind w:left="720" w:hanging="720"/>
        <w:rPr>
          <w:rFonts w:ascii="Times New Roman" w:eastAsia="Times New Roman" w:hAnsi="Times New Roman" w:cs="Times New Roman"/>
          <w:sz w:val="24"/>
          <w:szCs w:val="24"/>
          <w:highlight w:val="white"/>
        </w:rPr>
      </w:pPr>
      <w:r w:rsidRPr="00341310">
        <w:rPr>
          <w:rFonts w:ascii="Times New Roman" w:eastAsia="Times New Roman" w:hAnsi="Times New Roman" w:cs="Times New Roman"/>
          <w:sz w:val="24"/>
          <w:szCs w:val="24"/>
          <w:highlight w:val="white"/>
        </w:rPr>
        <w:t xml:space="preserve">Boudreau, J. W. (1988). </w:t>
      </w:r>
      <w:r w:rsidRPr="00341310">
        <w:rPr>
          <w:rFonts w:ascii="Times New Roman" w:eastAsia="Times New Roman" w:hAnsi="Times New Roman" w:cs="Times New Roman"/>
          <w:i/>
          <w:sz w:val="24"/>
          <w:szCs w:val="24"/>
          <w:highlight w:val="white"/>
        </w:rPr>
        <w:t>Utility Analysis for Decisions in Human Resource Management</w:t>
      </w:r>
      <w:r w:rsidRPr="00341310">
        <w:rPr>
          <w:rFonts w:ascii="Times New Roman" w:eastAsia="Times New Roman" w:hAnsi="Times New Roman" w:cs="Times New Roman"/>
          <w:sz w:val="24"/>
          <w:szCs w:val="24"/>
          <w:highlight w:val="white"/>
        </w:rPr>
        <w:t xml:space="preserve"> (CAHRS Working Paper #88-21). Ithaca, NY: Cornell University, School of Industrial and Labor Relations, Center for Advanced Human Resource Studies. </w:t>
      </w:r>
      <w:hyperlink r:id="rId15">
        <w:r w:rsidR="00747A1D" w:rsidRPr="00341310">
          <w:rPr>
            <w:rFonts w:ascii="Times New Roman" w:eastAsia="Times New Roman" w:hAnsi="Times New Roman" w:cs="Times New Roman"/>
            <w:sz w:val="24"/>
            <w:szCs w:val="24"/>
            <w:highlight w:val="white"/>
          </w:rPr>
          <w:t>https://ecommons.cornell.edu/items/915c3f50-e857-4a92-93e1-500b93b1b342</w:t>
        </w:r>
      </w:hyperlink>
    </w:p>
    <w:p w14:paraId="6615791B" w14:textId="77777777" w:rsidR="00747A1D" w:rsidRPr="00341310" w:rsidRDefault="00000000">
      <w:pPr>
        <w:spacing w:line="480" w:lineRule="auto"/>
        <w:ind w:left="720" w:hanging="720"/>
        <w:rPr>
          <w:rFonts w:ascii="Times New Roman" w:eastAsia="Times New Roman" w:hAnsi="Times New Roman" w:cs="Times New Roman"/>
          <w:sz w:val="24"/>
          <w:szCs w:val="24"/>
          <w:highlight w:val="white"/>
        </w:rPr>
      </w:pPr>
      <w:r w:rsidRPr="00341310">
        <w:rPr>
          <w:rFonts w:ascii="Times New Roman" w:eastAsia="Times New Roman" w:hAnsi="Times New Roman" w:cs="Times New Roman"/>
          <w:sz w:val="24"/>
          <w:szCs w:val="24"/>
          <w:highlight w:val="white"/>
        </w:rPr>
        <w:t xml:space="preserve">Brooks, M. E., Dalal, D. K., &amp; Nolan, K. P. (2014). Are common language effect sizes easier to understand than traditional effect sizes? </w:t>
      </w:r>
      <w:r w:rsidRPr="00341310">
        <w:rPr>
          <w:rFonts w:ascii="Times New Roman" w:eastAsia="Times New Roman" w:hAnsi="Times New Roman" w:cs="Times New Roman"/>
          <w:i/>
          <w:sz w:val="24"/>
          <w:szCs w:val="24"/>
          <w:highlight w:val="white"/>
        </w:rPr>
        <w:t>Journal of Applied Psychology, 99</w:t>
      </w:r>
      <w:r w:rsidRPr="00341310">
        <w:rPr>
          <w:rFonts w:ascii="Times New Roman" w:eastAsia="Times New Roman" w:hAnsi="Times New Roman" w:cs="Times New Roman"/>
          <w:sz w:val="24"/>
          <w:szCs w:val="24"/>
          <w:highlight w:val="white"/>
        </w:rPr>
        <w:t xml:space="preserve">(2), 332–340. </w:t>
      </w:r>
      <w:hyperlink r:id="rId16">
        <w:r w:rsidR="00747A1D" w:rsidRPr="00341310">
          <w:rPr>
            <w:rFonts w:ascii="Times New Roman" w:eastAsia="Times New Roman" w:hAnsi="Times New Roman" w:cs="Times New Roman"/>
            <w:sz w:val="24"/>
            <w:szCs w:val="24"/>
            <w:highlight w:val="white"/>
          </w:rPr>
          <w:t>https://doi.org/10.1037/a0034745</w:t>
        </w:r>
      </w:hyperlink>
    </w:p>
    <w:p w14:paraId="60D3EF8D" w14:textId="77777777" w:rsidR="00747A1D" w:rsidRPr="00341310" w:rsidRDefault="00000000">
      <w:pPr>
        <w:spacing w:line="480" w:lineRule="auto"/>
        <w:ind w:left="720" w:hanging="720"/>
        <w:rPr>
          <w:rFonts w:ascii="Times New Roman" w:eastAsia="Times New Roman" w:hAnsi="Times New Roman" w:cs="Times New Roman"/>
          <w:sz w:val="24"/>
          <w:szCs w:val="24"/>
          <w:highlight w:val="white"/>
        </w:rPr>
      </w:pPr>
      <w:r w:rsidRPr="00341310">
        <w:rPr>
          <w:rFonts w:ascii="Times New Roman" w:eastAsia="Times New Roman" w:hAnsi="Times New Roman" w:cs="Times New Roman"/>
          <w:sz w:val="24"/>
          <w:szCs w:val="24"/>
          <w:highlight w:val="white"/>
        </w:rPr>
        <w:t xml:space="preserve">Carson, K. P., Becker, J. S., &amp; Henderson, J. A. (1998). Is utility really futile? A failure to replicate and an extension. </w:t>
      </w:r>
      <w:r w:rsidRPr="00341310">
        <w:rPr>
          <w:rFonts w:ascii="Times New Roman" w:eastAsia="Times New Roman" w:hAnsi="Times New Roman" w:cs="Times New Roman"/>
          <w:i/>
          <w:sz w:val="24"/>
          <w:szCs w:val="24"/>
          <w:highlight w:val="white"/>
        </w:rPr>
        <w:t>Journal of Applied Psychology, 83</w:t>
      </w:r>
      <w:r w:rsidRPr="00341310">
        <w:rPr>
          <w:rFonts w:ascii="Times New Roman" w:eastAsia="Times New Roman" w:hAnsi="Times New Roman" w:cs="Times New Roman"/>
          <w:sz w:val="24"/>
          <w:szCs w:val="24"/>
          <w:highlight w:val="white"/>
        </w:rPr>
        <w:t xml:space="preserve">(1), 84–96. </w:t>
      </w:r>
      <w:hyperlink r:id="rId17">
        <w:r w:rsidR="00747A1D" w:rsidRPr="00341310">
          <w:rPr>
            <w:rFonts w:ascii="Times New Roman" w:eastAsia="Times New Roman" w:hAnsi="Times New Roman" w:cs="Times New Roman"/>
            <w:sz w:val="24"/>
            <w:szCs w:val="24"/>
            <w:highlight w:val="white"/>
          </w:rPr>
          <w:t>https://doi.org/10.1037/0021-9010.83.1.84</w:t>
        </w:r>
      </w:hyperlink>
    </w:p>
    <w:p w14:paraId="3D99DFE5"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Cascio, W. F., Boudreau, J. W., &amp; Fink, A. A. (2019). </w:t>
      </w:r>
      <w:r w:rsidRPr="00341310">
        <w:rPr>
          <w:rFonts w:ascii="Times New Roman" w:eastAsia="Times New Roman" w:hAnsi="Times New Roman" w:cs="Times New Roman"/>
          <w:i/>
          <w:sz w:val="24"/>
          <w:szCs w:val="24"/>
        </w:rPr>
        <w:t>Investing in people: financial impact of human resource initiatives</w:t>
      </w:r>
      <w:r w:rsidRPr="00341310">
        <w:rPr>
          <w:rFonts w:ascii="Times New Roman" w:eastAsia="Times New Roman" w:hAnsi="Times New Roman" w:cs="Times New Roman"/>
          <w:sz w:val="24"/>
          <w:szCs w:val="24"/>
        </w:rPr>
        <w:t xml:space="preserve"> (3rd ed.). Society for Human Resource Management.</w:t>
      </w:r>
    </w:p>
    <w:p w14:paraId="532F2EB4"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Cascio, W. F., &amp; Morris, J. R. (1990). A critical reanalysis of Hunter, Schmidt, and Coggin's (1988) "Problems and pitfalls in using capital budgeting and financial accounting techniques in assessing the utility of personnel programs." </w:t>
      </w:r>
      <w:r w:rsidRPr="00341310">
        <w:rPr>
          <w:rFonts w:ascii="Times New Roman" w:eastAsia="Times New Roman" w:hAnsi="Times New Roman" w:cs="Times New Roman"/>
          <w:i/>
          <w:sz w:val="24"/>
          <w:szCs w:val="24"/>
        </w:rPr>
        <w:t>Journal of Applied Psychology, 75</w:t>
      </w:r>
      <w:r w:rsidRPr="00341310">
        <w:rPr>
          <w:rFonts w:ascii="Times New Roman" w:eastAsia="Times New Roman" w:hAnsi="Times New Roman" w:cs="Times New Roman"/>
          <w:sz w:val="24"/>
          <w:szCs w:val="24"/>
        </w:rPr>
        <w:t xml:space="preserve">(4), 410–417. </w:t>
      </w:r>
      <w:hyperlink r:id="rId18">
        <w:r w:rsidR="00747A1D" w:rsidRPr="00341310">
          <w:rPr>
            <w:rFonts w:ascii="Times New Roman" w:eastAsia="Times New Roman" w:hAnsi="Times New Roman" w:cs="Times New Roman"/>
            <w:sz w:val="24"/>
            <w:szCs w:val="24"/>
          </w:rPr>
          <w:t>https://doi.org/10.1037/0021-9010.75.4.410</w:t>
        </w:r>
      </w:hyperlink>
      <w:r w:rsidRPr="00341310">
        <w:rPr>
          <w:rFonts w:ascii="Times New Roman" w:eastAsia="Times New Roman" w:hAnsi="Times New Roman" w:cs="Times New Roman"/>
          <w:sz w:val="24"/>
          <w:szCs w:val="24"/>
        </w:rPr>
        <w:t xml:space="preserve"> </w:t>
      </w:r>
    </w:p>
    <w:p w14:paraId="541F996A"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 xml:space="preserve">Connelly, B. L., Ketchen, D. J., &amp; Zhou, Y. S. (2023). The presenter’s paradox: More is not always better. </w:t>
      </w:r>
      <w:r w:rsidRPr="00341310">
        <w:rPr>
          <w:rFonts w:ascii="Times New Roman" w:eastAsia="Times New Roman" w:hAnsi="Times New Roman" w:cs="Times New Roman"/>
          <w:i/>
          <w:sz w:val="24"/>
          <w:szCs w:val="24"/>
        </w:rPr>
        <w:t>Journal of Management, 49</w:t>
      </w:r>
      <w:r w:rsidRPr="00341310">
        <w:rPr>
          <w:rFonts w:ascii="Times New Roman" w:eastAsia="Times New Roman" w:hAnsi="Times New Roman" w:cs="Times New Roman"/>
          <w:sz w:val="24"/>
          <w:szCs w:val="24"/>
        </w:rPr>
        <w:t>(7), 2208–2217.</w:t>
      </w:r>
      <w:hyperlink r:id="rId19">
        <w:r w:rsidR="00747A1D" w:rsidRPr="00341310">
          <w:rPr>
            <w:rFonts w:ascii="Times New Roman" w:eastAsia="Times New Roman" w:hAnsi="Times New Roman" w:cs="Times New Roman"/>
            <w:sz w:val="24"/>
            <w:szCs w:val="24"/>
          </w:rPr>
          <w:t xml:space="preserve"> </w:t>
        </w:r>
      </w:hyperlink>
      <w:hyperlink r:id="rId20">
        <w:r w:rsidR="00747A1D" w:rsidRPr="00341310">
          <w:rPr>
            <w:rFonts w:ascii="Times New Roman" w:eastAsia="Times New Roman" w:hAnsi="Times New Roman" w:cs="Times New Roman"/>
            <w:sz w:val="24"/>
            <w:szCs w:val="24"/>
          </w:rPr>
          <w:t>https://doi.org/10.1177/01492063231155982</w:t>
        </w:r>
      </w:hyperlink>
    </w:p>
    <w:p w14:paraId="5B4D522B"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Cronshaw, S.F. (1997), Lo! The stimulus speaks: The insider's view on Whyte and Latham's “The futility of utility analysis”. </w:t>
      </w:r>
      <w:r w:rsidRPr="00341310">
        <w:rPr>
          <w:rFonts w:ascii="Times New Roman" w:eastAsia="Times New Roman" w:hAnsi="Times New Roman" w:cs="Times New Roman"/>
          <w:i/>
          <w:sz w:val="24"/>
          <w:szCs w:val="24"/>
        </w:rPr>
        <w:t>Personnel Psychology, 50</w:t>
      </w:r>
      <w:r w:rsidRPr="00341310">
        <w:rPr>
          <w:rFonts w:ascii="Times New Roman" w:eastAsia="Times New Roman" w:hAnsi="Times New Roman" w:cs="Times New Roman"/>
          <w:sz w:val="24"/>
          <w:szCs w:val="24"/>
        </w:rPr>
        <w:t xml:space="preserve">, 611-615. </w:t>
      </w:r>
      <w:hyperlink r:id="rId21">
        <w:r w:rsidR="00747A1D" w:rsidRPr="00341310">
          <w:rPr>
            <w:rFonts w:ascii="Times New Roman" w:eastAsia="Times New Roman" w:hAnsi="Times New Roman" w:cs="Times New Roman"/>
            <w:sz w:val="24"/>
            <w:szCs w:val="24"/>
          </w:rPr>
          <w:t>https://doi.org/10.1111/j.1744-6570.1997.tb00706.x</w:t>
        </w:r>
      </w:hyperlink>
    </w:p>
    <w:p w14:paraId="40563395"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Cucina, J., Berger, J., &amp; Busciglio, H. (2017). Communicating criterion-related validity using expectancy charts: A new approach. </w:t>
      </w:r>
      <w:r w:rsidRPr="00341310">
        <w:rPr>
          <w:rFonts w:ascii="Times New Roman" w:eastAsia="Times New Roman" w:hAnsi="Times New Roman" w:cs="Times New Roman"/>
          <w:i/>
          <w:sz w:val="24"/>
          <w:szCs w:val="24"/>
        </w:rPr>
        <w:t>Personnel Assessment and Decisions</w:t>
      </w:r>
      <w:r w:rsidRPr="00341310">
        <w:rPr>
          <w:rFonts w:ascii="Times New Roman" w:eastAsia="Times New Roman" w:hAnsi="Times New Roman" w:cs="Times New Roman"/>
          <w:sz w:val="24"/>
          <w:szCs w:val="24"/>
        </w:rPr>
        <w:t xml:space="preserve">, </w:t>
      </w:r>
      <w:r w:rsidRPr="00341310">
        <w:rPr>
          <w:rFonts w:ascii="Times New Roman" w:eastAsia="Times New Roman" w:hAnsi="Times New Roman" w:cs="Times New Roman"/>
          <w:i/>
          <w:sz w:val="24"/>
          <w:szCs w:val="24"/>
        </w:rPr>
        <w:t>3</w:t>
      </w:r>
      <w:r w:rsidRPr="00341310">
        <w:rPr>
          <w:rFonts w:ascii="Times New Roman" w:eastAsia="Times New Roman" w:hAnsi="Times New Roman" w:cs="Times New Roman"/>
          <w:sz w:val="24"/>
          <w:szCs w:val="24"/>
        </w:rPr>
        <w:t xml:space="preserve">(1). </w:t>
      </w:r>
      <w:hyperlink r:id="rId22">
        <w:r w:rsidR="00747A1D" w:rsidRPr="00341310">
          <w:rPr>
            <w:rFonts w:ascii="Times New Roman" w:eastAsia="Times New Roman" w:hAnsi="Times New Roman" w:cs="Times New Roman"/>
            <w:sz w:val="24"/>
            <w:szCs w:val="24"/>
          </w:rPr>
          <w:t>https://doi.org/10.25035/pad.2017.001</w:t>
        </w:r>
      </w:hyperlink>
    </w:p>
    <w:p w14:paraId="4605AD8D"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De Corte, W., Sackett, P. R., &amp; Lievens, F. (2011). Designing pareto-optimal selection systems: Formalizing the decisions required for selection system development. </w:t>
      </w:r>
      <w:r w:rsidRPr="00341310">
        <w:rPr>
          <w:rFonts w:ascii="Times New Roman" w:eastAsia="Times New Roman" w:hAnsi="Times New Roman" w:cs="Times New Roman"/>
          <w:i/>
          <w:sz w:val="24"/>
          <w:szCs w:val="24"/>
        </w:rPr>
        <w:t>Journal of Applied Psychology</w:t>
      </w:r>
      <w:r w:rsidRPr="00341310">
        <w:rPr>
          <w:rFonts w:ascii="Times New Roman" w:eastAsia="Times New Roman" w:hAnsi="Times New Roman" w:cs="Times New Roman"/>
          <w:sz w:val="24"/>
          <w:szCs w:val="24"/>
        </w:rPr>
        <w:t xml:space="preserve">, </w:t>
      </w:r>
      <w:r w:rsidRPr="00341310">
        <w:rPr>
          <w:rFonts w:ascii="Times New Roman" w:eastAsia="Times New Roman" w:hAnsi="Times New Roman" w:cs="Times New Roman"/>
          <w:i/>
          <w:sz w:val="24"/>
          <w:szCs w:val="24"/>
        </w:rPr>
        <w:t>96</w:t>
      </w:r>
      <w:r w:rsidRPr="00341310">
        <w:rPr>
          <w:rFonts w:ascii="Times New Roman" w:eastAsia="Times New Roman" w:hAnsi="Times New Roman" w:cs="Times New Roman"/>
          <w:sz w:val="24"/>
          <w:szCs w:val="24"/>
        </w:rPr>
        <w:t xml:space="preserve">(5), 907–926. </w:t>
      </w:r>
      <w:hyperlink r:id="rId23">
        <w:r w:rsidR="00747A1D" w:rsidRPr="00341310">
          <w:rPr>
            <w:rFonts w:ascii="Times New Roman" w:eastAsia="Times New Roman" w:hAnsi="Times New Roman" w:cs="Times New Roman"/>
            <w:sz w:val="24"/>
            <w:szCs w:val="24"/>
          </w:rPr>
          <w:t>https://doi.org/10.1037/a0023298</w:t>
        </w:r>
      </w:hyperlink>
    </w:p>
    <w:p w14:paraId="62DFCC91"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Fisher, P. A., </w:t>
      </w:r>
      <w:proofErr w:type="spellStart"/>
      <w:r w:rsidRPr="00341310">
        <w:rPr>
          <w:rFonts w:ascii="Times New Roman" w:eastAsia="Times New Roman" w:hAnsi="Times New Roman" w:cs="Times New Roman"/>
          <w:sz w:val="24"/>
          <w:szCs w:val="24"/>
        </w:rPr>
        <w:t>Risavy</w:t>
      </w:r>
      <w:proofErr w:type="spellEnd"/>
      <w:r w:rsidRPr="00341310">
        <w:rPr>
          <w:rFonts w:ascii="Times New Roman" w:eastAsia="Times New Roman" w:hAnsi="Times New Roman" w:cs="Times New Roman"/>
          <w:sz w:val="24"/>
          <w:szCs w:val="24"/>
        </w:rPr>
        <w:t xml:space="preserve">, S. D., Robie, C., König, C. J., Christiansen, N. D., Tett, R. P., &amp; Simonet, D. V. (2021). Selection myths: A conceptual replication of HR professionals’ beliefs about effective human resource practices in the United States and Canada. </w:t>
      </w:r>
      <w:r w:rsidRPr="00341310">
        <w:rPr>
          <w:rFonts w:ascii="Times New Roman" w:eastAsia="Times New Roman" w:hAnsi="Times New Roman" w:cs="Times New Roman"/>
          <w:i/>
          <w:sz w:val="24"/>
          <w:szCs w:val="24"/>
        </w:rPr>
        <w:t>The Journal of Personnel Psychology, 20</w:t>
      </w:r>
      <w:r w:rsidRPr="00341310">
        <w:rPr>
          <w:rFonts w:ascii="Times New Roman" w:eastAsia="Times New Roman" w:hAnsi="Times New Roman" w:cs="Times New Roman"/>
          <w:sz w:val="24"/>
          <w:szCs w:val="24"/>
        </w:rPr>
        <w:t>(2),</w:t>
      </w:r>
      <w:r w:rsidRPr="00341310">
        <w:rPr>
          <w:rFonts w:ascii="Times New Roman" w:eastAsia="Times New Roman" w:hAnsi="Times New Roman" w:cs="Times New Roman"/>
          <w:i/>
          <w:sz w:val="24"/>
          <w:szCs w:val="24"/>
        </w:rPr>
        <w:t xml:space="preserve"> </w:t>
      </w:r>
      <w:r w:rsidRPr="00341310">
        <w:rPr>
          <w:rFonts w:ascii="Times New Roman" w:eastAsia="Times New Roman" w:hAnsi="Times New Roman" w:cs="Times New Roman"/>
          <w:sz w:val="24"/>
          <w:szCs w:val="24"/>
        </w:rPr>
        <w:t xml:space="preserve">51–60. </w:t>
      </w:r>
      <w:hyperlink r:id="rId24">
        <w:r w:rsidR="00747A1D" w:rsidRPr="00341310">
          <w:rPr>
            <w:rFonts w:ascii="Times New Roman" w:eastAsia="Times New Roman" w:hAnsi="Times New Roman" w:cs="Times New Roman"/>
            <w:sz w:val="24"/>
            <w:szCs w:val="24"/>
          </w:rPr>
          <w:t>https://doi.org/10.1027/1866-5888/a000263</w:t>
        </w:r>
      </w:hyperlink>
    </w:p>
    <w:p w14:paraId="3EB7C86B"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Götz, M., &amp; O’Boyle, E. H. (2023). Cobblers, let’s stick to our lasts! A song of sorrow (and of hope) about the state of personnel and human resource management science. In M. R. Buckley, A. R. Wheeler, J. E. Baur, &amp; J. R. B. Halbesleben (Eds.), </w:t>
      </w:r>
      <w:r w:rsidRPr="00341310">
        <w:rPr>
          <w:rFonts w:ascii="Times New Roman" w:eastAsia="Times New Roman" w:hAnsi="Times New Roman" w:cs="Times New Roman"/>
          <w:i/>
          <w:sz w:val="24"/>
          <w:szCs w:val="24"/>
        </w:rPr>
        <w:t>Research in Personnel and Human Resources Management</w:t>
      </w:r>
      <w:r w:rsidRPr="00341310">
        <w:rPr>
          <w:rFonts w:ascii="Times New Roman" w:eastAsia="Times New Roman" w:hAnsi="Times New Roman" w:cs="Times New Roman"/>
          <w:sz w:val="24"/>
          <w:szCs w:val="24"/>
        </w:rPr>
        <w:t xml:space="preserve"> (pp. 7–92). Emerald Publishing Limited. </w:t>
      </w:r>
      <w:hyperlink r:id="rId25">
        <w:r w:rsidR="00747A1D" w:rsidRPr="00341310">
          <w:rPr>
            <w:rFonts w:ascii="Times New Roman" w:eastAsia="Times New Roman" w:hAnsi="Times New Roman" w:cs="Times New Roman"/>
            <w:sz w:val="24"/>
            <w:szCs w:val="24"/>
          </w:rPr>
          <w:t>https://doi.org/10.1108/S0742-730120230000041004</w:t>
        </w:r>
      </w:hyperlink>
    </w:p>
    <w:p w14:paraId="2B90805F"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 xml:space="preserve">Hazer, J. T., &amp; Highhouse, S. (1997). Factors influencing managers' reactions to utility analysis: Effects of </w:t>
      </w:r>
      <w:proofErr w:type="spellStart"/>
      <w:r w:rsidRPr="00341310">
        <w:rPr>
          <w:rFonts w:ascii="Times New Roman" w:eastAsia="Times New Roman" w:hAnsi="Times New Roman" w:cs="Times New Roman"/>
          <w:sz w:val="24"/>
          <w:szCs w:val="24"/>
        </w:rPr>
        <w:t>SD</w:t>
      </w:r>
      <w:r w:rsidRPr="00341310">
        <w:rPr>
          <w:rFonts w:ascii="Times New Roman" w:eastAsia="Times New Roman" w:hAnsi="Times New Roman" w:cs="Times New Roman"/>
          <w:sz w:val="24"/>
          <w:szCs w:val="24"/>
          <w:vertAlign w:val="subscript"/>
        </w:rPr>
        <w:t>y</w:t>
      </w:r>
      <w:proofErr w:type="spellEnd"/>
      <w:r w:rsidRPr="00341310">
        <w:rPr>
          <w:rFonts w:ascii="Times New Roman" w:eastAsia="Times New Roman" w:hAnsi="Times New Roman" w:cs="Times New Roman"/>
          <w:sz w:val="24"/>
          <w:szCs w:val="24"/>
        </w:rPr>
        <w:t xml:space="preserve"> method, information frame, and focal intervention. </w:t>
      </w:r>
      <w:r w:rsidRPr="00341310">
        <w:rPr>
          <w:rFonts w:ascii="Times New Roman" w:eastAsia="Times New Roman" w:hAnsi="Times New Roman" w:cs="Times New Roman"/>
          <w:i/>
          <w:sz w:val="24"/>
          <w:szCs w:val="24"/>
        </w:rPr>
        <w:t>Journal of Applied Psychology, 82</w:t>
      </w:r>
      <w:r w:rsidRPr="00341310">
        <w:rPr>
          <w:rFonts w:ascii="Times New Roman" w:eastAsia="Times New Roman" w:hAnsi="Times New Roman" w:cs="Times New Roman"/>
          <w:sz w:val="24"/>
          <w:szCs w:val="24"/>
        </w:rPr>
        <w:t>(1), 104–112.</w:t>
      </w:r>
      <w:hyperlink r:id="rId26">
        <w:r w:rsidR="00747A1D" w:rsidRPr="00341310">
          <w:rPr>
            <w:rFonts w:ascii="Times New Roman" w:eastAsia="Times New Roman" w:hAnsi="Times New Roman" w:cs="Times New Roman"/>
            <w:sz w:val="24"/>
            <w:szCs w:val="24"/>
          </w:rPr>
          <w:t xml:space="preserve"> https://doi.org/10.1037/0021-9010.82.1.104</w:t>
        </w:r>
      </w:hyperlink>
    </w:p>
    <w:p w14:paraId="61998BA2"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Highhouse, S. (2008). Stubborn reliance on intuition and subjectivity in employee selection. </w:t>
      </w:r>
      <w:r w:rsidRPr="00341310">
        <w:rPr>
          <w:rFonts w:ascii="Times New Roman" w:eastAsia="Times New Roman" w:hAnsi="Times New Roman" w:cs="Times New Roman"/>
          <w:i/>
          <w:sz w:val="24"/>
          <w:szCs w:val="24"/>
        </w:rPr>
        <w:t>Industrial and Organizational Psychology, 1</w:t>
      </w:r>
      <w:r w:rsidRPr="00341310">
        <w:rPr>
          <w:rFonts w:ascii="Times New Roman" w:eastAsia="Times New Roman" w:hAnsi="Times New Roman" w:cs="Times New Roman"/>
          <w:sz w:val="24"/>
          <w:szCs w:val="24"/>
        </w:rPr>
        <w:t xml:space="preserve">(3), 333–342. </w:t>
      </w:r>
      <w:hyperlink r:id="rId27">
        <w:r w:rsidR="00747A1D" w:rsidRPr="00341310">
          <w:rPr>
            <w:rFonts w:ascii="Times New Roman" w:eastAsia="Times New Roman" w:hAnsi="Times New Roman" w:cs="Times New Roman"/>
            <w:sz w:val="24"/>
            <w:szCs w:val="24"/>
          </w:rPr>
          <w:t>https://doi.org/10.1111/j.1754-9434.2008.00058.x</w:t>
        </w:r>
      </w:hyperlink>
    </w:p>
    <w:p w14:paraId="5A8EBEDC"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Kaplan, R., &amp; Norton, D. (2004). The strategy map: Guide to aligning intangible assets. </w:t>
      </w:r>
      <w:r w:rsidRPr="00341310">
        <w:rPr>
          <w:rFonts w:ascii="Times New Roman" w:eastAsia="Times New Roman" w:hAnsi="Times New Roman" w:cs="Times New Roman"/>
          <w:i/>
          <w:sz w:val="24"/>
          <w:szCs w:val="24"/>
        </w:rPr>
        <w:t>Strategy &amp; Leadership. 32</w:t>
      </w:r>
      <w:r w:rsidRPr="00341310">
        <w:rPr>
          <w:rFonts w:ascii="Times New Roman" w:eastAsia="Times New Roman" w:hAnsi="Times New Roman" w:cs="Times New Roman"/>
          <w:sz w:val="24"/>
          <w:szCs w:val="24"/>
        </w:rPr>
        <w:t xml:space="preserve">(5), 10-17. </w:t>
      </w:r>
      <w:hyperlink r:id="rId28">
        <w:r w:rsidR="00747A1D" w:rsidRPr="00341310">
          <w:rPr>
            <w:rFonts w:ascii="Times New Roman" w:eastAsia="Times New Roman" w:hAnsi="Times New Roman" w:cs="Times New Roman"/>
            <w:sz w:val="24"/>
            <w:szCs w:val="24"/>
          </w:rPr>
          <w:t>https://doi.org/10.1108/10878570410699825</w:t>
        </w:r>
      </w:hyperlink>
    </w:p>
    <w:p w14:paraId="313CE52D"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Latham, G. P., &amp; Whyte, G. (1994). The futility of utility analysis. </w:t>
      </w:r>
      <w:r w:rsidRPr="00341310">
        <w:rPr>
          <w:rFonts w:ascii="Times New Roman" w:eastAsia="Times New Roman" w:hAnsi="Times New Roman" w:cs="Times New Roman"/>
          <w:i/>
          <w:sz w:val="24"/>
          <w:szCs w:val="24"/>
        </w:rPr>
        <w:t>Personnel Psychology</w:t>
      </w:r>
      <w:r w:rsidRPr="00341310">
        <w:rPr>
          <w:rFonts w:ascii="Times New Roman" w:eastAsia="Times New Roman" w:hAnsi="Times New Roman" w:cs="Times New Roman"/>
          <w:sz w:val="24"/>
          <w:szCs w:val="24"/>
        </w:rPr>
        <w:t xml:space="preserve">, </w:t>
      </w:r>
      <w:r w:rsidRPr="00341310">
        <w:rPr>
          <w:rFonts w:ascii="Times New Roman" w:eastAsia="Times New Roman" w:hAnsi="Times New Roman" w:cs="Times New Roman"/>
          <w:i/>
          <w:sz w:val="24"/>
          <w:szCs w:val="24"/>
        </w:rPr>
        <w:t>47</w:t>
      </w:r>
      <w:r w:rsidRPr="00341310">
        <w:rPr>
          <w:rFonts w:ascii="Times New Roman" w:eastAsia="Times New Roman" w:hAnsi="Times New Roman" w:cs="Times New Roman"/>
          <w:sz w:val="24"/>
          <w:szCs w:val="24"/>
        </w:rPr>
        <w:t xml:space="preserve">(1), 31–46. </w:t>
      </w:r>
      <w:hyperlink r:id="rId29">
        <w:r w:rsidR="00747A1D" w:rsidRPr="00341310">
          <w:rPr>
            <w:rFonts w:ascii="Times New Roman" w:eastAsia="Times New Roman" w:hAnsi="Times New Roman" w:cs="Times New Roman"/>
            <w:sz w:val="24"/>
            <w:szCs w:val="24"/>
          </w:rPr>
          <w:t>https://doi.org/10.1111/j.1744-6570.1994.tb02408.x</w:t>
        </w:r>
      </w:hyperlink>
      <w:r w:rsidRPr="00341310">
        <w:rPr>
          <w:rFonts w:ascii="Times New Roman" w:eastAsia="Times New Roman" w:hAnsi="Times New Roman" w:cs="Times New Roman"/>
          <w:sz w:val="24"/>
          <w:szCs w:val="24"/>
        </w:rPr>
        <w:t xml:space="preserve"> </w:t>
      </w:r>
    </w:p>
    <w:p w14:paraId="0830AE5E"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Macan, T. H., &amp; Foster, J. (2004). Managers’ reactions to utility analysis and perceptions of what influences their decisions. </w:t>
      </w:r>
      <w:r w:rsidRPr="00341310">
        <w:rPr>
          <w:rFonts w:ascii="Times New Roman" w:eastAsia="Times New Roman" w:hAnsi="Times New Roman" w:cs="Times New Roman"/>
          <w:i/>
          <w:sz w:val="24"/>
          <w:szCs w:val="24"/>
        </w:rPr>
        <w:t>Journal of Business and Psychology, 19</w:t>
      </w:r>
      <w:r w:rsidRPr="00341310">
        <w:rPr>
          <w:rFonts w:ascii="Times New Roman" w:eastAsia="Times New Roman" w:hAnsi="Times New Roman" w:cs="Times New Roman"/>
          <w:sz w:val="24"/>
          <w:szCs w:val="24"/>
        </w:rPr>
        <w:t xml:space="preserve">(2), 241–253. </w:t>
      </w:r>
      <w:hyperlink r:id="rId30">
        <w:r w:rsidR="00747A1D" w:rsidRPr="00341310">
          <w:rPr>
            <w:rFonts w:ascii="Times New Roman" w:eastAsia="Times New Roman" w:hAnsi="Times New Roman" w:cs="Times New Roman"/>
            <w:sz w:val="24"/>
            <w:szCs w:val="24"/>
          </w:rPr>
          <w:t>https://doi.org/10.1007/s10869-004-0550-x</w:t>
        </w:r>
      </w:hyperlink>
    </w:p>
    <w:p w14:paraId="4E9DF668"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Magnusson, K. (2023, June 9). A causal inference perspective on therapist effects. </w:t>
      </w:r>
      <w:hyperlink r:id="rId31">
        <w:r w:rsidR="00747A1D" w:rsidRPr="00341310">
          <w:rPr>
            <w:rFonts w:ascii="Times New Roman" w:eastAsia="Times New Roman" w:hAnsi="Times New Roman" w:cs="Times New Roman"/>
            <w:sz w:val="24"/>
            <w:szCs w:val="24"/>
          </w:rPr>
          <w:t>https://doi.org/10.31234/osf.io/f7mvz</w:t>
        </w:r>
      </w:hyperlink>
    </w:p>
    <w:p w14:paraId="1D02DEB5"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Oprea, B. T., Barzin, L., </w:t>
      </w:r>
      <w:proofErr w:type="spellStart"/>
      <w:r w:rsidRPr="00341310">
        <w:rPr>
          <w:rFonts w:ascii="Times New Roman" w:eastAsia="Times New Roman" w:hAnsi="Times New Roman" w:cs="Times New Roman"/>
          <w:sz w:val="24"/>
          <w:szCs w:val="24"/>
        </w:rPr>
        <w:t>Vîrgă</w:t>
      </w:r>
      <w:proofErr w:type="spellEnd"/>
      <w:r w:rsidRPr="00341310">
        <w:rPr>
          <w:rFonts w:ascii="Times New Roman" w:eastAsia="Times New Roman" w:hAnsi="Times New Roman" w:cs="Times New Roman"/>
          <w:sz w:val="24"/>
          <w:szCs w:val="24"/>
        </w:rPr>
        <w:t xml:space="preserve">, D., Iliescu, D., &amp; Rusu, A. (2019). Effectiveness of job crafting interventions: A meta-analysis and utility analysis. </w:t>
      </w:r>
      <w:r w:rsidRPr="00341310">
        <w:rPr>
          <w:rFonts w:ascii="Times New Roman" w:eastAsia="Times New Roman" w:hAnsi="Times New Roman" w:cs="Times New Roman"/>
          <w:i/>
          <w:sz w:val="24"/>
          <w:szCs w:val="24"/>
        </w:rPr>
        <w:t>European Journal of Work and Organizational Psychology, 28</w:t>
      </w:r>
      <w:r w:rsidRPr="00341310">
        <w:rPr>
          <w:rFonts w:ascii="Times New Roman" w:eastAsia="Times New Roman" w:hAnsi="Times New Roman" w:cs="Times New Roman"/>
          <w:sz w:val="24"/>
          <w:szCs w:val="24"/>
        </w:rPr>
        <w:t xml:space="preserve">(6), 723–741. </w:t>
      </w:r>
      <w:hyperlink r:id="rId32">
        <w:r w:rsidR="00747A1D" w:rsidRPr="00341310">
          <w:rPr>
            <w:rFonts w:ascii="Times New Roman" w:eastAsia="Times New Roman" w:hAnsi="Times New Roman" w:cs="Times New Roman"/>
            <w:sz w:val="24"/>
            <w:szCs w:val="24"/>
          </w:rPr>
          <w:t>https://doi.org/10.1080/1359432X.2019.1646728</w:t>
        </w:r>
      </w:hyperlink>
    </w:p>
    <w:p w14:paraId="122680F3"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Pfeffer, J., &amp; Fong, C. T. (2002). The end of business schools? Less success than meets the eye. </w:t>
      </w:r>
      <w:r w:rsidRPr="00341310">
        <w:rPr>
          <w:rFonts w:ascii="Times New Roman" w:eastAsia="Times New Roman" w:hAnsi="Times New Roman" w:cs="Times New Roman"/>
          <w:i/>
          <w:sz w:val="24"/>
          <w:szCs w:val="24"/>
        </w:rPr>
        <w:t>Academy of Management Learning &amp; Education, 1</w:t>
      </w:r>
      <w:r w:rsidRPr="00341310">
        <w:rPr>
          <w:rFonts w:ascii="Times New Roman" w:eastAsia="Times New Roman" w:hAnsi="Times New Roman" w:cs="Times New Roman"/>
          <w:sz w:val="24"/>
          <w:szCs w:val="24"/>
        </w:rPr>
        <w:t xml:space="preserve">(1), 78–95. </w:t>
      </w:r>
      <w:hyperlink r:id="rId33">
        <w:r w:rsidR="00747A1D" w:rsidRPr="00341310">
          <w:rPr>
            <w:rFonts w:ascii="Times New Roman" w:eastAsia="Times New Roman" w:hAnsi="Times New Roman" w:cs="Times New Roman"/>
            <w:sz w:val="24"/>
            <w:szCs w:val="24"/>
          </w:rPr>
          <w:t>https://doi.org/10.5465/amle.2002.7373679</w:t>
        </w:r>
      </w:hyperlink>
    </w:p>
    <w:p w14:paraId="6A2DB0C8"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 xml:space="preserve">Rousseau, D., &amp; Boudreau, J. (2011). Sticky findings: Research evidence practitioners find useful. In E., Lawler, &amp; S., Mohrman (Eds.), </w:t>
      </w:r>
      <w:r w:rsidRPr="00341310">
        <w:rPr>
          <w:rFonts w:ascii="Times New Roman" w:eastAsia="Times New Roman" w:hAnsi="Times New Roman" w:cs="Times New Roman"/>
          <w:i/>
          <w:sz w:val="24"/>
          <w:szCs w:val="24"/>
        </w:rPr>
        <w:t>Useful Research: Advancing Theory and Practice</w:t>
      </w:r>
      <w:r w:rsidRPr="00341310">
        <w:rPr>
          <w:rFonts w:ascii="Times New Roman" w:eastAsia="Times New Roman" w:hAnsi="Times New Roman" w:cs="Times New Roman"/>
          <w:sz w:val="24"/>
          <w:szCs w:val="24"/>
        </w:rPr>
        <w:t xml:space="preserve"> (pp. 269-288). Berrett-Koehler.</w:t>
      </w:r>
    </w:p>
    <w:p w14:paraId="75E3E5EF"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Rupp, D., Song, Q. C., &amp; Strah, N. (2020). Addressing the so-called validity–diversity trade-off: Exploring the practicalities and legal defensibility of Pareto-optimization for reducing adverse impact within personnel selection. </w:t>
      </w:r>
      <w:r w:rsidRPr="00341310">
        <w:rPr>
          <w:rFonts w:ascii="Times New Roman" w:eastAsia="Times New Roman" w:hAnsi="Times New Roman" w:cs="Times New Roman"/>
          <w:i/>
          <w:sz w:val="24"/>
          <w:szCs w:val="24"/>
        </w:rPr>
        <w:t>Industrial and Organizational Psychology. 13</w:t>
      </w:r>
      <w:r w:rsidRPr="00341310">
        <w:rPr>
          <w:rFonts w:ascii="Times New Roman" w:eastAsia="Times New Roman" w:hAnsi="Times New Roman" w:cs="Times New Roman"/>
          <w:sz w:val="24"/>
          <w:szCs w:val="24"/>
        </w:rPr>
        <w:t xml:space="preserve">(2), 246-271. </w:t>
      </w:r>
      <w:hyperlink r:id="rId34">
        <w:r w:rsidR="00747A1D" w:rsidRPr="00341310">
          <w:rPr>
            <w:rFonts w:ascii="Times New Roman" w:eastAsia="Times New Roman" w:hAnsi="Times New Roman" w:cs="Times New Roman"/>
            <w:sz w:val="24"/>
            <w:szCs w:val="24"/>
          </w:rPr>
          <w:t>https://doi.org/10.1017/iop.2020.19</w:t>
        </w:r>
      </w:hyperlink>
      <w:r w:rsidRPr="00341310">
        <w:rPr>
          <w:rFonts w:ascii="Times New Roman" w:eastAsia="Times New Roman" w:hAnsi="Times New Roman" w:cs="Times New Roman"/>
          <w:sz w:val="24"/>
          <w:szCs w:val="24"/>
        </w:rPr>
        <w:t xml:space="preserve"> </w:t>
      </w:r>
    </w:p>
    <w:p w14:paraId="42F8F6A3"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Russell, C. (2022). Scholarly course corrections needed to advance organizational science: Field tests of theory-based deductions are long overdue. In K. Murphy (ed.), </w:t>
      </w:r>
      <w:r w:rsidRPr="00341310">
        <w:rPr>
          <w:rFonts w:ascii="Times New Roman" w:eastAsia="Times New Roman" w:hAnsi="Times New Roman" w:cs="Times New Roman"/>
          <w:i/>
          <w:sz w:val="24"/>
          <w:szCs w:val="24"/>
        </w:rPr>
        <w:t>Data, Methods and Theory in the Organizational Sciences: A New Synthesis</w:t>
      </w:r>
      <w:r w:rsidRPr="00341310">
        <w:rPr>
          <w:rFonts w:ascii="Times New Roman" w:eastAsia="Times New Roman" w:hAnsi="Times New Roman" w:cs="Times New Roman"/>
          <w:sz w:val="24"/>
          <w:szCs w:val="24"/>
        </w:rPr>
        <w:t xml:space="preserve"> (pp. 241-265). Routledge. </w:t>
      </w:r>
      <w:hyperlink r:id="rId35">
        <w:r w:rsidR="00747A1D" w:rsidRPr="00341310">
          <w:rPr>
            <w:rFonts w:ascii="Times New Roman" w:eastAsia="Times New Roman" w:hAnsi="Times New Roman" w:cs="Times New Roman"/>
            <w:sz w:val="24"/>
            <w:szCs w:val="24"/>
          </w:rPr>
          <w:t>https://doi.org/10.4324/9781003015000</w:t>
        </w:r>
      </w:hyperlink>
    </w:p>
    <w:p w14:paraId="641AABF2" w14:textId="77777777" w:rsidR="00747A1D" w:rsidRPr="00341310" w:rsidRDefault="00000000">
      <w:pPr>
        <w:spacing w:line="480" w:lineRule="auto"/>
        <w:ind w:left="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Rynes, S. L. (2012). The research-practice gap in I/O psychology and related fields: Challenges and potential solutions. In S. W. J. Kozlowski (Ed.), </w:t>
      </w:r>
      <w:r w:rsidRPr="00341310">
        <w:rPr>
          <w:rFonts w:ascii="Times New Roman" w:eastAsia="Times New Roman" w:hAnsi="Times New Roman" w:cs="Times New Roman"/>
          <w:i/>
          <w:sz w:val="24"/>
          <w:szCs w:val="24"/>
        </w:rPr>
        <w:t>The Oxford Handbook of Organizational Psychology, Vol. 1</w:t>
      </w:r>
      <w:r w:rsidRPr="00341310">
        <w:rPr>
          <w:rFonts w:ascii="Times New Roman" w:eastAsia="Times New Roman" w:hAnsi="Times New Roman" w:cs="Times New Roman"/>
          <w:sz w:val="24"/>
          <w:szCs w:val="24"/>
        </w:rPr>
        <w:t xml:space="preserve"> (pp. 409–452). Oxford University Press. </w:t>
      </w:r>
      <w:hyperlink r:id="rId36">
        <w:r w:rsidR="00747A1D" w:rsidRPr="00341310">
          <w:rPr>
            <w:rFonts w:ascii="Times New Roman" w:eastAsia="Times New Roman" w:hAnsi="Times New Roman" w:cs="Times New Roman"/>
            <w:sz w:val="24"/>
            <w:szCs w:val="24"/>
          </w:rPr>
          <w:t>https://doi.org/10.1093/oxfordhb/9780199928309.001.0001</w:t>
        </w:r>
      </w:hyperlink>
    </w:p>
    <w:p w14:paraId="6E434FDB" w14:textId="77777777" w:rsidR="00747A1D" w:rsidRPr="00341310" w:rsidRDefault="0000000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Rynes, S. L., Colbert, A. E., &amp; Brown, K. G. (2002). HR Professionals’ beliefs about effective human resource practices: Correspondence between research and practice. </w:t>
      </w:r>
      <w:r w:rsidRPr="00341310">
        <w:rPr>
          <w:rFonts w:ascii="Times New Roman" w:eastAsia="Times New Roman" w:hAnsi="Times New Roman" w:cs="Times New Roman"/>
          <w:i/>
          <w:sz w:val="24"/>
          <w:szCs w:val="24"/>
        </w:rPr>
        <w:t>Human Resource Management, 41</w:t>
      </w:r>
      <w:r w:rsidRPr="00341310">
        <w:rPr>
          <w:rFonts w:ascii="Times New Roman" w:eastAsia="Times New Roman" w:hAnsi="Times New Roman" w:cs="Times New Roman"/>
          <w:sz w:val="24"/>
          <w:szCs w:val="24"/>
        </w:rPr>
        <w:t>(2), 149–174. https://doi.org/10.1002/hrm.10029</w:t>
      </w:r>
    </w:p>
    <w:p w14:paraId="7E6B6B50"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Rynes, S. L., Colbert, A. E., &amp; O’Boyle, E. H. (2018). When the “Best Available Evidence” Doesn’t Win: How Doubts About Science and Scientists Threaten the Future of Evidence-Based Management. </w:t>
      </w:r>
      <w:r w:rsidRPr="00341310">
        <w:rPr>
          <w:rFonts w:ascii="Times New Roman" w:eastAsia="Times New Roman" w:hAnsi="Times New Roman" w:cs="Times New Roman"/>
          <w:i/>
          <w:sz w:val="24"/>
          <w:szCs w:val="24"/>
        </w:rPr>
        <w:t>Journal of Management</w:t>
      </w:r>
      <w:r w:rsidRPr="00341310">
        <w:rPr>
          <w:rFonts w:ascii="Times New Roman" w:eastAsia="Times New Roman" w:hAnsi="Times New Roman" w:cs="Times New Roman"/>
          <w:sz w:val="24"/>
          <w:szCs w:val="24"/>
        </w:rPr>
        <w:t xml:space="preserve">, </w:t>
      </w:r>
      <w:r w:rsidRPr="00341310">
        <w:rPr>
          <w:rFonts w:ascii="Times New Roman" w:eastAsia="Times New Roman" w:hAnsi="Times New Roman" w:cs="Times New Roman"/>
          <w:i/>
          <w:sz w:val="24"/>
          <w:szCs w:val="24"/>
        </w:rPr>
        <w:t>44</w:t>
      </w:r>
      <w:r w:rsidRPr="00341310">
        <w:rPr>
          <w:rFonts w:ascii="Times New Roman" w:eastAsia="Times New Roman" w:hAnsi="Times New Roman" w:cs="Times New Roman"/>
          <w:sz w:val="24"/>
          <w:szCs w:val="24"/>
        </w:rPr>
        <w:t>(8), 2995-3010.</w:t>
      </w:r>
      <w:hyperlink r:id="rId37">
        <w:r w:rsidR="00341310" w:rsidRPr="00341310">
          <w:rPr>
            <w:rFonts w:ascii="Times New Roman" w:eastAsia="Times New Roman" w:hAnsi="Times New Roman" w:cs="Times New Roman"/>
            <w:sz w:val="24"/>
            <w:szCs w:val="24"/>
          </w:rPr>
          <w:t xml:space="preserve"> https://doi.org/10.1177/0149206318796934</w:t>
        </w:r>
      </w:hyperlink>
    </w:p>
    <w:p w14:paraId="01FE60B0"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 xml:space="preserve">Schmidt, F. L. (2012). The economic value of goal setting to employers. In E. A. Locke &amp; G. P. Latham (Eds.), </w:t>
      </w:r>
      <w:r w:rsidRPr="00341310">
        <w:rPr>
          <w:rFonts w:ascii="Times New Roman" w:eastAsia="Times New Roman" w:hAnsi="Times New Roman" w:cs="Times New Roman"/>
          <w:i/>
          <w:sz w:val="24"/>
          <w:szCs w:val="24"/>
        </w:rPr>
        <w:t>New developments in goal setting and task performance</w:t>
      </w:r>
      <w:r w:rsidRPr="00341310">
        <w:rPr>
          <w:rFonts w:ascii="Times New Roman" w:eastAsia="Times New Roman" w:hAnsi="Times New Roman" w:cs="Times New Roman"/>
          <w:sz w:val="24"/>
          <w:szCs w:val="24"/>
        </w:rPr>
        <w:t xml:space="preserve"> (pp. 16–20). Routledge/Taylor &amp; Francis Group. </w:t>
      </w:r>
      <w:hyperlink r:id="rId38">
        <w:r w:rsidR="00341310" w:rsidRPr="00341310">
          <w:rPr>
            <w:rFonts w:ascii="Times New Roman" w:eastAsia="Times New Roman" w:hAnsi="Times New Roman" w:cs="Times New Roman"/>
            <w:sz w:val="24"/>
            <w:szCs w:val="24"/>
          </w:rPr>
          <w:t>https://doi.org/10.4324/9780203082744</w:t>
        </w:r>
      </w:hyperlink>
    </w:p>
    <w:p w14:paraId="5ACF17F3"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Slade, L., Davenport, T., Roberts, D., &amp; Shah, S. (2002). How Microsoft optimized its investment in people after the dot‐com era. </w:t>
      </w:r>
      <w:r w:rsidRPr="00341310">
        <w:rPr>
          <w:rFonts w:ascii="Times New Roman" w:eastAsia="Times New Roman" w:hAnsi="Times New Roman" w:cs="Times New Roman"/>
          <w:i/>
          <w:sz w:val="24"/>
          <w:szCs w:val="24"/>
        </w:rPr>
        <w:t>Journal of Organizational Excellence, 22</w:t>
      </w:r>
      <w:r w:rsidRPr="00341310">
        <w:rPr>
          <w:rFonts w:ascii="Times New Roman" w:eastAsia="Times New Roman" w:hAnsi="Times New Roman" w:cs="Times New Roman"/>
          <w:sz w:val="24"/>
          <w:szCs w:val="24"/>
        </w:rPr>
        <w:t xml:space="preserve">, 43 - 52. </w:t>
      </w:r>
      <w:hyperlink r:id="rId39">
        <w:r w:rsidR="00341310" w:rsidRPr="00341310">
          <w:rPr>
            <w:rFonts w:ascii="Times New Roman" w:eastAsia="Times New Roman" w:hAnsi="Times New Roman" w:cs="Times New Roman"/>
            <w:sz w:val="24"/>
            <w:szCs w:val="24"/>
          </w:rPr>
          <w:t>https://doi.org/10.1002/npr.10052</w:t>
        </w:r>
      </w:hyperlink>
    </w:p>
    <w:p w14:paraId="4E24FAEE"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Sturman, M. C. (2000). Implications of utility analysis adjustments for estimates of human resource intervention value. </w:t>
      </w:r>
      <w:r w:rsidRPr="00341310">
        <w:rPr>
          <w:rFonts w:ascii="Times New Roman" w:eastAsia="Times New Roman" w:hAnsi="Times New Roman" w:cs="Times New Roman"/>
          <w:i/>
          <w:sz w:val="24"/>
          <w:szCs w:val="24"/>
        </w:rPr>
        <w:t>Journal of Management, 26</w:t>
      </w:r>
      <w:r w:rsidRPr="00341310">
        <w:rPr>
          <w:rFonts w:ascii="Times New Roman" w:eastAsia="Times New Roman" w:hAnsi="Times New Roman" w:cs="Times New Roman"/>
          <w:sz w:val="24"/>
          <w:szCs w:val="24"/>
        </w:rPr>
        <w:t xml:space="preserve">(2), 281–299. </w:t>
      </w:r>
      <w:hyperlink r:id="rId40">
        <w:r w:rsidR="00341310" w:rsidRPr="00341310">
          <w:rPr>
            <w:rFonts w:ascii="Times New Roman" w:eastAsia="Times New Roman" w:hAnsi="Times New Roman" w:cs="Times New Roman"/>
            <w:sz w:val="24"/>
            <w:szCs w:val="24"/>
          </w:rPr>
          <w:t>https://doi.org/10.1177/014920630002600206</w:t>
        </w:r>
      </w:hyperlink>
    </w:p>
    <w:p w14:paraId="50DFAAD9"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Sturman, M. C. (2001). Utility analysis for multiple selection devices and multiple outcomes. </w:t>
      </w:r>
      <w:r w:rsidRPr="00341310">
        <w:rPr>
          <w:rFonts w:ascii="Times New Roman" w:eastAsia="Times New Roman" w:hAnsi="Times New Roman" w:cs="Times New Roman"/>
          <w:i/>
          <w:sz w:val="24"/>
          <w:szCs w:val="24"/>
        </w:rPr>
        <w:t>Journal of Human Resource Costing &amp; Accounting, 6</w:t>
      </w:r>
      <w:r w:rsidRPr="00341310">
        <w:rPr>
          <w:rFonts w:ascii="Times New Roman" w:eastAsia="Times New Roman" w:hAnsi="Times New Roman" w:cs="Times New Roman"/>
          <w:sz w:val="24"/>
          <w:szCs w:val="24"/>
        </w:rPr>
        <w:t xml:space="preserve">(2), 9–28. </w:t>
      </w:r>
      <w:hyperlink r:id="rId41">
        <w:r w:rsidR="00341310" w:rsidRPr="00341310">
          <w:rPr>
            <w:rFonts w:ascii="Times New Roman" w:eastAsia="Times New Roman" w:hAnsi="Times New Roman" w:cs="Times New Roman"/>
            <w:sz w:val="24"/>
            <w:szCs w:val="24"/>
          </w:rPr>
          <w:t>https://doi.org/10.1108/eb029072</w:t>
        </w:r>
      </w:hyperlink>
    </w:p>
    <w:p w14:paraId="35FE1E6A"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Van </w:t>
      </w:r>
      <w:proofErr w:type="spellStart"/>
      <w:r w:rsidRPr="00341310">
        <w:rPr>
          <w:rFonts w:ascii="Times New Roman" w:eastAsia="Times New Roman" w:hAnsi="Times New Roman" w:cs="Times New Roman"/>
          <w:sz w:val="24"/>
          <w:szCs w:val="24"/>
        </w:rPr>
        <w:t>Iddekinge</w:t>
      </w:r>
      <w:proofErr w:type="spellEnd"/>
      <w:r w:rsidRPr="00341310">
        <w:rPr>
          <w:rFonts w:ascii="Times New Roman" w:eastAsia="Times New Roman" w:hAnsi="Times New Roman" w:cs="Times New Roman"/>
          <w:sz w:val="24"/>
          <w:szCs w:val="24"/>
        </w:rPr>
        <w:t xml:space="preserve">, C. H., Lievens, F., &amp; Sackett, P. R. (2023). Personnel selection: A review of ways to maximize validity, diversity, and the applicant experience. </w:t>
      </w:r>
      <w:r w:rsidRPr="00341310">
        <w:rPr>
          <w:rFonts w:ascii="Times New Roman" w:eastAsia="Times New Roman" w:hAnsi="Times New Roman" w:cs="Times New Roman"/>
          <w:i/>
          <w:sz w:val="24"/>
          <w:szCs w:val="24"/>
        </w:rPr>
        <w:t>Personnel Psychology, 76</w:t>
      </w:r>
      <w:r w:rsidRPr="00341310">
        <w:rPr>
          <w:rFonts w:ascii="Times New Roman" w:eastAsia="Times New Roman" w:hAnsi="Times New Roman" w:cs="Times New Roman"/>
          <w:sz w:val="24"/>
          <w:szCs w:val="24"/>
        </w:rPr>
        <w:t xml:space="preserve">, 651–686. </w:t>
      </w:r>
      <w:hyperlink r:id="rId42">
        <w:r w:rsidR="00341310" w:rsidRPr="00341310">
          <w:rPr>
            <w:rFonts w:ascii="Times New Roman" w:eastAsia="Times New Roman" w:hAnsi="Times New Roman" w:cs="Times New Roman"/>
            <w:sz w:val="24"/>
            <w:szCs w:val="24"/>
          </w:rPr>
          <w:t>https://doi.org/10.1111/peps.12578</w:t>
        </w:r>
      </w:hyperlink>
    </w:p>
    <w:p w14:paraId="1CA4B547" w14:textId="77777777" w:rsid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Whyte, G., &amp; Latham, G. (1997). The futility of utility analysis revisited: When even an expert fails. </w:t>
      </w:r>
      <w:r w:rsidRPr="00341310">
        <w:rPr>
          <w:rFonts w:ascii="Times New Roman" w:eastAsia="Times New Roman" w:hAnsi="Times New Roman" w:cs="Times New Roman"/>
          <w:i/>
          <w:sz w:val="24"/>
          <w:szCs w:val="24"/>
        </w:rPr>
        <w:t>Personnel Psychology, 50</w:t>
      </w:r>
      <w:r w:rsidRPr="00341310">
        <w:rPr>
          <w:rFonts w:ascii="Times New Roman" w:eastAsia="Times New Roman" w:hAnsi="Times New Roman" w:cs="Times New Roman"/>
          <w:sz w:val="24"/>
          <w:szCs w:val="24"/>
        </w:rPr>
        <w:t xml:space="preserve">(3), 601–610. </w:t>
      </w:r>
      <w:hyperlink r:id="rId43">
        <w:r w:rsidR="00341310" w:rsidRPr="00341310">
          <w:rPr>
            <w:rFonts w:ascii="Times New Roman" w:eastAsia="Times New Roman" w:hAnsi="Times New Roman" w:cs="Times New Roman"/>
            <w:sz w:val="24"/>
            <w:szCs w:val="24"/>
          </w:rPr>
          <w:t>https://doi.org/10.1111/j.1744-6570.1997.tb00705.x</w:t>
        </w:r>
      </w:hyperlink>
    </w:p>
    <w:p w14:paraId="20B1C870" w14:textId="19F30F75" w:rsidR="00747A1D" w:rsidRPr="00341310" w:rsidRDefault="00000000" w:rsidP="00341310">
      <w:pPr>
        <w:spacing w:line="480" w:lineRule="auto"/>
        <w:ind w:left="720" w:hanging="720"/>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 xml:space="preserve">Winkler, S., König, C. J., &amp; Kleinmann, M. (2010). Single-attribute utility analysis may be futile, but this can't be the end of the story: Causal chain analysis as an alternative. </w:t>
      </w:r>
      <w:r w:rsidRPr="00341310">
        <w:rPr>
          <w:rFonts w:ascii="Times New Roman" w:eastAsia="Times New Roman" w:hAnsi="Times New Roman" w:cs="Times New Roman"/>
          <w:i/>
          <w:sz w:val="24"/>
          <w:szCs w:val="24"/>
        </w:rPr>
        <w:t>Personnel Psychology, 63</w:t>
      </w:r>
      <w:r w:rsidRPr="00341310">
        <w:rPr>
          <w:rFonts w:ascii="Times New Roman" w:eastAsia="Times New Roman" w:hAnsi="Times New Roman" w:cs="Times New Roman"/>
          <w:sz w:val="24"/>
          <w:szCs w:val="24"/>
        </w:rPr>
        <w:t>(4), 1041–1065. https://doi.org/10.1111/j.1744-6570.2010.01197.x</w:t>
      </w:r>
    </w:p>
    <w:p w14:paraId="5F633A44" w14:textId="77777777" w:rsidR="00747A1D" w:rsidRPr="00341310" w:rsidRDefault="00747A1D">
      <w:pPr>
        <w:spacing w:line="480" w:lineRule="auto"/>
        <w:rPr>
          <w:rFonts w:ascii="Times New Roman" w:eastAsia="Times New Roman" w:hAnsi="Times New Roman" w:cs="Times New Roman"/>
          <w:strike/>
          <w:sz w:val="24"/>
          <w:szCs w:val="24"/>
        </w:rPr>
        <w:sectPr w:rsidR="00747A1D" w:rsidRPr="00341310">
          <w:type w:val="continuous"/>
          <w:pgSz w:w="12240" w:h="15840"/>
          <w:pgMar w:top="1440" w:right="1440" w:bottom="1440" w:left="1440" w:header="720" w:footer="720" w:gutter="0"/>
          <w:cols w:space="720"/>
        </w:sectPr>
      </w:pPr>
    </w:p>
    <w:p w14:paraId="7CBF2AC6" w14:textId="77777777" w:rsidR="00747A1D" w:rsidRPr="00341310" w:rsidRDefault="00000000">
      <w:pPr>
        <w:spacing w:line="48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lastRenderedPageBreak/>
        <w:t>Table 1</w:t>
      </w:r>
      <w:r w:rsidRPr="00341310">
        <w:rPr>
          <w:rFonts w:ascii="Times New Roman" w:eastAsia="Times New Roman" w:hAnsi="Times New Roman" w:cs="Times New Roman"/>
          <w:sz w:val="24"/>
          <w:szCs w:val="24"/>
        </w:rPr>
        <w:t xml:space="preserve"> </w:t>
      </w:r>
    </w:p>
    <w:p w14:paraId="4CD8F998" w14:textId="77777777" w:rsidR="00747A1D" w:rsidRPr="00341310" w:rsidRDefault="00000000">
      <w:pPr>
        <w:spacing w:line="480" w:lineRule="auto"/>
        <w:rPr>
          <w:rFonts w:ascii="Times New Roman" w:eastAsia="Times New Roman" w:hAnsi="Times New Roman" w:cs="Times New Roman"/>
          <w:i/>
          <w:sz w:val="24"/>
          <w:szCs w:val="24"/>
        </w:rPr>
      </w:pPr>
      <w:r w:rsidRPr="00341310">
        <w:rPr>
          <w:rFonts w:ascii="Times New Roman" w:eastAsia="Times New Roman" w:hAnsi="Times New Roman" w:cs="Times New Roman"/>
          <w:i/>
          <w:sz w:val="24"/>
          <w:szCs w:val="24"/>
        </w:rPr>
        <w:t>A literature review table summarizing insights on multiple utility analysis (UA) attributes and their inclusion in either a widely-used publicly available tool (Alexander et al., 2019) or the proposed UA+ app.</w:t>
      </w:r>
    </w:p>
    <w:tbl>
      <w:tblPr>
        <w:tblStyle w:val="a"/>
        <w:tblW w:w="12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5"/>
        <w:gridCol w:w="4155"/>
        <w:gridCol w:w="1980"/>
        <w:gridCol w:w="2070"/>
      </w:tblGrid>
      <w:tr w:rsidR="00747A1D" w:rsidRPr="00341310" w14:paraId="134B5F2B" w14:textId="77777777">
        <w:trPr>
          <w:cantSplit/>
          <w:trHeight w:val="1020"/>
          <w:tblHeader/>
          <w:jc w:val="center"/>
        </w:trPr>
        <w:tc>
          <w:tcPr>
            <w:tcW w:w="4245" w:type="dxa"/>
            <w:tcBorders>
              <w:left w:val="nil"/>
              <w:right w:val="nil"/>
            </w:tcBorders>
            <w:shd w:val="clear" w:color="auto" w:fill="auto"/>
            <w:tcMar>
              <w:top w:w="100" w:type="dxa"/>
              <w:left w:w="100" w:type="dxa"/>
              <w:bottom w:w="100" w:type="dxa"/>
              <w:right w:w="100" w:type="dxa"/>
            </w:tcMar>
            <w:vAlign w:val="bottom"/>
          </w:tcPr>
          <w:p w14:paraId="3AEC2C3D"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UA Attribute</w:t>
            </w:r>
          </w:p>
        </w:tc>
        <w:tc>
          <w:tcPr>
            <w:tcW w:w="4155" w:type="dxa"/>
            <w:tcBorders>
              <w:left w:val="nil"/>
              <w:right w:val="nil"/>
            </w:tcBorders>
            <w:shd w:val="clear" w:color="auto" w:fill="auto"/>
            <w:tcMar>
              <w:top w:w="100" w:type="dxa"/>
              <w:left w:w="100" w:type="dxa"/>
              <w:bottom w:w="100" w:type="dxa"/>
              <w:right w:w="100" w:type="dxa"/>
            </w:tcMar>
            <w:vAlign w:val="bottom"/>
          </w:tcPr>
          <w:p w14:paraId="1169E8D8"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Expected Impact of UA Attribute on Managerial Reactions</w:t>
            </w:r>
          </w:p>
        </w:tc>
        <w:tc>
          <w:tcPr>
            <w:tcW w:w="1980" w:type="dxa"/>
            <w:tcBorders>
              <w:left w:val="nil"/>
              <w:right w:val="nil"/>
            </w:tcBorders>
            <w:shd w:val="clear" w:color="auto" w:fill="auto"/>
            <w:tcMar>
              <w:top w:w="100" w:type="dxa"/>
              <w:left w:w="100" w:type="dxa"/>
              <w:bottom w:w="100" w:type="dxa"/>
              <w:right w:w="100" w:type="dxa"/>
            </w:tcMar>
            <w:vAlign w:val="bottom"/>
          </w:tcPr>
          <w:p w14:paraId="2716614A"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i/>
                <w:sz w:val="24"/>
                <w:szCs w:val="24"/>
              </w:rPr>
              <w:t>Investing in People</w:t>
            </w:r>
            <w:r w:rsidRPr="00341310">
              <w:rPr>
                <w:rFonts w:ascii="Times New Roman" w:eastAsia="Times New Roman" w:hAnsi="Times New Roman" w:cs="Times New Roman"/>
                <w:sz w:val="24"/>
                <w:szCs w:val="24"/>
              </w:rPr>
              <w:t xml:space="preserve"> Online (Alexander et al., 2019)</w:t>
            </w:r>
          </w:p>
        </w:tc>
        <w:tc>
          <w:tcPr>
            <w:tcW w:w="2070" w:type="dxa"/>
            <w:tcBorders>
              <w:left w:val="nil"/>
              <w:right w:val="nil"/>
            </w:tcBorders>
            <w:shd w:val="clear" w:color="auto" w:fill="auto"/>
            <w:tcMar>
              <w:top w:w="100" w:type="dxa"/>
              <w:left w:w="100" w:type="dxa"/>
              <w:bottom w:w="100" w:type="dxa"/>
              <w:right w:w="100" w:type="dxa"/>
            </w:tcMar>
            <w:vAlign w:val="bottom"/>
          </w:tcPr>
          <w:p w14:paraId="209F1DEA"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UA+</w:t>
            </w:r>
          </w:p>
        </w:tc>
      </w:tr>
      <w:tr w:rsidR="00747A1D" w:rsidRPr="00341310" w14:paraId="6B876EB8" w14:textId="77777777">
        <w:trPr>
          <w:cantSplit/>
          <w:jc w:val="center"/>
        </w:trPr>
        <w:tc>
          <w:tcPr>
            <w:tcW w:w="4245" w:type="dxa"/>
            <w:tcBorders>
              <w:left w:val="nil"/>
              <w:bottom w:val="nil"/>
              <w:right w:val="nil"/>
            </w:tcBorders>
            <w:shd w:val="clear" w:color="auto" w:fill="auto"/>
            <w:tcMar>
              <w:top w:w="100" w:type="dxa"/>
              <w:left w:w="100" w:type="dxa"/>
              <w:bottom w:w="100" w:type="dxa"/>
              <w:right w:w="100" w:type="dxa"/>
            </w:tcMar>
          </w:tcPr>
          <w:p w14:paraId="4D8EC133"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Validity</w:t>
            </w:r>
          </w:p>
        </w:tc>
        <w:tc>
          <w:tcPr>
            <w:tcW w:w="4155" w:type="dxa"/>
            <w:tcBorders>
              <w:left w:val="nil"/>
              <w:bottom w:val="nil"/>
              <w:right w:val="nil"/>
            </w:tcBorders>
            <w:shd w:val="clear" w:color="auto" w:fill="auto"/>
            <w:tcMar>
              <w:top w:w="100" w:type="dxa"/>
              <w:left w:w="100" w:type="dxa"/>
              <w:bottom w:w="100" w:type="dxa"/>
              <w:right w:w="100" w:type="dxa"/>
            </w:tcMar>
          </w:tcPr>
          <w:p w14:paraId="78968D6D"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Positive</w:t>
            </w:r>
            <w:r w:rsidRPr="00341310">
              <w:rPr>
                <w:rFonts w:ascii="Times New Roman" w:eastAsia="Times New Roman" w:hAnsi="Times New Roman" w:cs="Times New Roman"/>
                <w:sz w:val="24"/>
                <w:szCs w:val="24"/>
              </w:rPr>
              <w:t xml:space="preserve"> </w:t>
            </w:r>
            <w:r w:rsidRPr="00341310">
              <w:rPr>
                <w:rFonts w:ascii="Times New Roman" w:eastAsia="Times New Roman" w:hAnsi="Times New Roman" w:cs="Times New Roman"/>
                <w:b/>
                <w:sz w:val="24"/>
                <w:szCs w:val="24"/>
              </w:rPr>
              <w:t>but weak</w:t>
            </w:r>
            <w:r w:rsidRPr="00341310">
              <w:rPr>
                <w:rFonts w:ascii="Times New Roman" w:eastAsia="Times New Roman" w:hAnsi="Times New Roman" w:cs="Times New Roman"/>
                <w:sz w:val="24"/>
                <w:szCs w:val="24"/>
              </w:rPr>
              <w:t xml:space="preserve">; Validity should help managers see that the practices work as claimed. While managers finding validity evidence somewhat helpful (Carson et al., 1998; Latham &amp; Whyte, 1994; Macan &amp; Foster, 2006; Whyte &amp; Latham, 1997), managers nevertheless struggle to reason with validity information. </w:t>
            </w:r>
          </w:p>
        </w:tc>
        <w:tc>
          <w:tcPr>
            <w:tcW w:w="1980" w:type="dxa"/>
            <w:tcBorders>
              <w:left w:val="nil"/>
              <w:bottom w:val="nil"/>
              <w:right w:val="nil"/>
            </w:tcBorders>
            <w:shd w:val="clear" w:color="auto" w:fill="auto"/>
            <w:tcMar>
              <w:top w:w="100" w:type="dxa"/>
              <w:left w:w="100" w:type="dxa"/>
              <w:bottom w:w="100" w:type="dxa"/>
              <w:right w:w="100" w:type="dxa"/>
            </w:tcMar>
          </w:tcPr>
          <w:p w14:paraId="42BC8EE0"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c>
          <w:tcPr>
            <w:tcW w:w="2070" w:type="dxa"/>
            <w:tcBorders>
              <w:left w:val="nil"/>
              <w:bottom w:val="nil"/>
              <w:right w:val="nil"/>
            </w:tcBorders>
            <w:shd w:val="clear" w:color="auto" w:fill="auto"/>
            <w:tcMar>
              <w:top w:w="100" w:type="dxa"/>
              <w:left w:w="100" w:type="dxa"/>
              <w:bottom w:w="100" w:type="dxa"/>
              <w:right w:w="100" w:type="dxa"/>
            </w:tcMar>
          </w:tcPr>
          <w:p w14:paraId="56C20004"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0D55245A" w14:textId="77777777">
        <w:trPr>
          <w:cantSplit/>
          <w:trHeight w:val="465"/>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45AF7DCF"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Utility</w:t>
            </w:r>
          </w:p>
        </w:tc>
        <w:tc>
          <w:tcPr>
            <w:tcW w:w="4155" w:type="dxa"/>
            <w:tcBorders>
              <w:top w:val="nil"/>
              <w:left w:val="nil"/>
              <w:bottom w:val="nil"/>
              <w:right w:val="nil"/>
            </w:tcBorders>
            <w:shd w:val="clear" w:color="auto" w:fill="auto"/>
            <w:tcMar>
              <w:top w:w="100" w:type="dxa"/>
              <w:left w:w="100" w:type="dxa"/>
              <w:bottom w:w="100" w:type="dxa"/>
              <w:right w:w="100" w:type="dxa"/>
            </w:tcMar>
          </w:tcPr>
          <w:p w14:paraId="787A3680"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Mixed</w:t>
            </w:r>
            <w:r w:rsidRPr="00341310">
              <w:rPr>
                <w:rFonts w:ascii="Times New Roman" w:eastAsia="Times New Roman" w:hAnsi="Times New Roman" w:cs="Times New Roman"/>
                <w:sz w:val="24"/>
                <w:szCs w:val="24"/>
              </w:rPr>
              <w:t xml:space="preserve">; Utility should help managers see whether the intervention has positive ‘economic value’. Presenting utility alongside validity backfires when used to persuade managers (Latham &amp; Whyte, 1994; Whyte &amp; Latham, 1997); however, it is also viewed as valuable when used to inform (Carson et al., 1998; Macan &amp; Foster, 2006). </w:t>
            </w:r>
          </w:p>
        </w:tc>
        <w:tc>
          <w:tcPr>
            <w:tcW w:w="1980" w:type="dxa"/>
            <w:tcBorders>
              <w:top w:val="nil"/>
              <w:left w:val="nil"/>
              <w:bottom w:val="nil"/>
              <w:right w:val="nil"/>
            </w:tcBorders>
            <w:shd w:val="clear" w:color="auto" w:fill="auto"/>
            <w:tcMar>
              <w:top w:w="100" w:type="dxa"/>
              <w:left w:w="100" w:type="dxa"/>
              <w:bottom w:w="100" w:type="dxa"/>
              <w:right w:w="100" w:type="dxa"/>
            </w:tcMar>
          </w:tcPr>
          <w:p w14:paraId="0389D792"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c>
          <w:tcPr>
            <w:tcW w:w="2070" w:type="dxa"/>
            <w:tcBorders>
              <w:top w:val="nil"/>
              <w:left w:val="nil"/>
              <w:bottom w:val="nil"/>
              <w:right w:val="nil"/>
            </w:tcBorders>
            <w:shd w:val="clear" w:color="auto" w:fill="auto"/>
            <w:tcMar>
              <w:top w:w="100" w:type="dxa"/>
              <w:left w:w="100" w:type="dxa"/>
              <w:bottom w:w="100" w:type="dxa"/>
              <w:right w:w="100" w:type="dxa"/>
            </w:tcMar>
          </w:tcPr>
          <w:p w14:paraId="5A1FB44F"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5C4A7605"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16604885"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The economic value of improving the criterion (e.g., performance) by one standard deviation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w:t>
            </w:r>
          </w:p>
        </w:tc>
        <w:tc>
          <w:tcPr>
            <w:tcW w:w="4155" w:type="dxa"/>
            <w:tcBorders>
              <w:top w:val="nil"/>
              <w:left w:val="nil"/>
              <w:bottom w:val="nil"/>
              <w:right w:val="nil"/>
            </w:tcBorders>
            <w:shd w:val="clear" w:color="auto" w:fill="auto"/>
            <w:tcMar>
              <w:top w:w="100" w:type="dxa"/>
              <w:left w:w="100" w:type="dxa"/>
              <w:bottom w:w="100" w:type="dxa"/>
              <w:right w:w="100" w:type="dxa"/>
            </w:tcMar>
          </w:tcPr>
          <w:p w14:paraId="06CAD629"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Mixed</w:t>
            </w:r>
            <w:r w:rsidRPr="00341310">
              <w:rPr>
                <w:rFonts w:ascii="Times New Roman" w:eastAsia="Times New Roman" w:hAnsi="Times New Roman" w:cs="Times New Roman"/>
                <w:sz w:val="24"/>
                <w:szCs w:val="24"/>
              </w:rPr>
              <w:t xml:space="preserve">;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 xml:space="preserve"> should help managers appreciate the economic value of enhancing performance. May give managers “an illusion of control” (p. 298) because they can calculate it themselves and leverages a conservative tradition (i.e., the 40% rule) (Highhouse, 1998); despite leveraging simplistic information,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 xml:space="preserve"> may nevertheless have no impact on decision-making (Carson et al., 1998).</w:t>
            </w:r>
          </w:p>
        </w:tc>
        <w:tc>
          <w:tcPr>
            <w:tcW w:w="1980" w:type="dxa"/>
            <w:tcBorders>
              <w:top w:val="nil"/>
              <w:left w:val="nil"/>
              <w:bottom w:val="nil"/>
              <w:right w:val="nil"/>
            </w:tcBorders>
            <w:shd w:val="clear" w:color="auto" w:fill="auto"/>
            <w:tcMar>
              <w:top w:w="100" w:type="dxa"/>
              <w:left w:w="100" w:type="dxa"/>
              <w:bottom w:w="100" w:type="dxa"/>
              <w:right w:w="100" w:type="dxa"/>
            </w:tcMar>
          </w:tcPr>
          <w:p w14:paraId="2E868D15"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c>
          <w:tcPr>
            <w:tcW w:w="2070" w:type="dxa"/>
            <w:tcBorders>
              <w:top w:val="nil"/>
              <w:left w:val="nil"/>
              <w:bottom w:val="nil"/>
              <w:right w:val="nil"/>
            </w:tcBorders>
            <w:shd w:val="clear" w:color="auto" w:fill="auto"/>
            <w:tcMar>
              <w:top w:w="100" w:type="dxa"/>
              <w:left w:w="100" w:type="dxa"/>
              <w:bottom w:w="100" w:type="dxa"/>
              <w:right w:w="100" w:type="dxa"/>
            </w:tcMar>
          </w:tcPr>
          <w:p w14:paraId="7ADF1C37"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44EDC90C"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2F9E8A64"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Break-even investment levels</w:t>
            </w:r>
          </w:p>
        </w:tc>
        <w:tc>
          <w:tcPr>
            <w:tcW w:w="4155" w:type="dxa"/>
            <w:tcBorders>
              <w:top w:val="nil"/>
              <w:left w:val="nil"/>
              <w:bottom w:val="nil"/>
              <w:right w:val="nil"/>
            </w:tcBorders>
            <w:shd w:val="clear" w:color="auto" w:fill="auto"/>
            <w:tcMar>
              <w:top w:w="100" w:type="dxa"/>
              <w:left w:w="100" w:type="dxa"/>
              <w:bottom w:w="100" w:type="dxa"/>
              <w:right w:w="100" w:type="dxa"/>
            </w:tcMar>
          </w:tcPr>
          <w:p w14:paraId="702FD95E"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Unclear</w:t>
            </w:r>
            <w:r w:rsidRPr="00341310">
              <w:rPr>
                <w:rFonts w:ascii="Times New Roman" w:eastAsia="Times New Roman" w:hAnsi="Times New Roman" w:cs="Times New Roman"/>
                <w:sz w:val="24"/>
                <w:szCs w:val="24"/>
              </w:rPr>
              <w:t xml:space="preserve">; Break-even values should help managers to see the minimum level of economic value attached to performance improvements that are needed to recover costs. Presenting break-even values of </w:t>
            </w:r>
            <w:proofErr w:type="spellStart"/>
            <w:r w:rsidRPr="00341310">
              <w:rPr>
                <w:rFonts w:ascii="Times New Roman" w:eastAsia="Times New Roman" w:hAnsi="Times New Roman" w:cs="Times New Roman"/>
                <w:sz w:val="24"/>
                <w:szCs w:val="24"/>
              </w:rPr>
              <w:t>SDy</w:t>
            </w:r>
            <w:proofErr w:type="spellEnd"/>
            <w:r w:rsidRPr="00341310">
              <w:rPr>
                <w:rFonts w:ascii="Times New Roman" w:eastAsia="Times New Roman" w:hAnsi="Times New Roman" w:cs="Times New Roman"/>
                <w:sz w:val="24"/>
                <w:szCs w:val="24"/>
              </w:rPr>
              <w:t xml:space="preserve"> may help managers see the value of an intervention in a term (break-even value) that they have already used in their work.</w:t>
            </w:r>
          </w:p>
        </w:tc>
        <w:tc>
          <w:tcPr>
            <w:tcW w:w="1980" w:type="dxa"/>
            <w:tcBorders>
              <w:top w:val="nil"/>
              <w:left w:val="nil"/>
              <w:bottom w:val="nil"/>
              <w:right w:val="nil"/>
            </w:tcBorders>
            <w:shd w:val="clear" w:color="auto" w:fill="auto"/>
            <w:tcMar>
              <w:top w:w="100" w:type="dxa"/>
              <w:left w:w="100" w:type="dxa"/>
              <w:bottom w:w="100" w:type="dxa"/>
              <w:right w:w="100" w:type="dxa"/>
            </w:tcMar>
          </w:tcPr>
          <w:p w14:paraId="76B2F071"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c>
          <w:tcPr>
            <w:tcW w:w="2070" w:type="dxa"/>
            <w:tcBorders>
              <w:top w:val="nil"/>
              <w:left w:val="nil"/>
              <w:bottom w:val="nil"/>
              <w:right w:val="nil"/>
            </w:tcBorders>
            <w:shd w:val="clear" w:color="auto" w:fill="auto"/>
            <w:tcMar>
              <w:top w:w="100" w:type="dxa"/>
              <w:left w:w="100" w:type="dxa"/>
              <w:bottom w:w="100" w:type="dxa"/>
              <w:right w:w="100" w:type="dxa"/>
            </w:tcMar>
          </w:tcPr>
          <w:p w14:paraId="49BF24A6"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06299D84"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7146BBE8" w14:textId="77777777" w:rsidR="00747A1D" w:rsidRPr="00341310" w:rsidRDefault="00000000">
            <w:pPr>
              <w:widowControl w:val="0"/>
              <w:spacing w:line="240" w:lineRule="auto"/>
              <w:rPr>
                <w:rFonts w:ascii="Times New Roman" w:eastAsia="Times New Roman" w:hAnsi="Times New Roman" w:cs="Times New Roman"/>
                <w:sz w:val="24"/>
                <w:szCs w:val="24"/>
              </w:rPr>
            </w:pPr>
            <w:commentRangeStart w:id="8"/>
            <w:r w:rsidRPr="00341310">
              <w:rPr>
                <w:rFonts w:ascii="Times New Roman" w:eastAsia="Times New Roman" w:hAnsi="Times New Roman" w:cs="Times New Roman"/>
                <w:sz w:val="24"/>
                <w:szCs w:val="24"/>
              </w:rPr>
              <w:lastRenderedPageBreak/>
              <w:t xml:space="preserve">Expectancy Charts </w:t>
            </w:r>
            <w:commentRangeEnd w:id="8"/>
            <w:r w:rsidR="003F1287">
              <w:rPr>
                <w:rStyle w:val="CommentReference"/>
              </w:rPr>
              <w:commentReference w:id="8"/>
            </w:r>
          </w:p>
        </w:tc>
        <w:tc>
          <w:tcPr>
            <w:tcW w:w="4155" w:type="dxa"/>
            <w:tcBorders>
              <w:top w:val="nil"/>
              <w:left w:val="nil"/>
              <w:bottom w:val="nil"/>
              <w:right w:val="nil"/>
            </w:tcBorders>
            <w:shd w:val="clear" w:color="auto" w:fill="auto"/>
            <w:tcMar>
              <w:top w:w="100" w:type="dxa"/>
              <w:left w:w="100" w:type="dxa"/>
              <w:bottom w:w="100" w:type="dxa"/>
              <w:right w:w="100" w:type="dxa"/>
            </w:tcMar>
          </w:tcPr>
          <w:p w14:paraId="41A3985C"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Mixed</w:t>
            </w:r>
            <w:r w:rsidRPr="00341310">
              <w:rPr>
                <w:rFonts w:ascii="Times New Roman" w:eastAsia="Times New Roman" w:hAnsi="Times New Roman" w:cs="Times New Roman"/>
                <w:sz w:val="24"/>
                <w:szCs w:val="24"/>
              </w:rPr>
              <w:t>; Expectancy charts should help managers see how validity relates to the probability of hiring high performers or avoiding bad hires. Cucina (2017) maintains that expectancy charts have helped to communicate validity to managers in practice; Latham and Whyte (1994) find that its use (in isolation or alongside utility) does not impact management reactions.</w:t>
            </w:r>
          </w:p>
        </w:tc>
        <w:tc>
          <w:tcPr>
            <w:tcW w:w="1980" w:type="dxa"/>
            <w:tcBorders>
              <w:top w:val="nil"/>
              <w:left w:val="nil"/>
              <w:bottom w:val="nil"/>
              <w:right w:val="nil"/>
            </w:tcBorders>
            <w:shd w:val="clear" w:color="auto" w:fill="auto"/>
            <w:tcMar>
              <w:top w:w="100" w:type="dxa"/>
              <w:left w:w="100" w:type="dxa"/>
              <w:bottom w:w="100" w:type="dxa"/>
              <w:right w:w="100" w:type="dxa"/>
            </w:tcMar>
          </w:tcPr>
          <w:p w14:paraId="3C18DC9C"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20D428B0"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173DFF85"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058C7F90"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Framing Effects; Avoiding a ‘Toxic Employee’</w:t>
            </w:r>
          </w:p>
        </w:tc>
        <w:tc>
          <w:tcPr>
            <w:tcW w:w="4155" w:type="dxa"/>
            <w:tcBorders>
              <w:top w:val="nil"/>
              <w:left w:val="nil"/>
              <w:bottom w:val="nil"/>
              <w:right w:val="nil"/>
            </w:tcBorders>
            <w:shd w:val="clear" w:color="auto" w:fill="auto"/>
            <w:tcMar>
              <w:top w:w="100" w:type="dxa"/>
              <w:left w:w="100" w:type="dxa"/>
              <w:bottom w:w="100" w:type="dxa"/>
              <w:right w:w="100" w:type="dxa"/>
            </w:tcMar>
          </w:tcPr>
          <w:p w14:paraId="7A066A09"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Unclear</w:t>
            </w:r>
            <w:r w:rsidRPr="00341310">
              <w:rPr>
                <w:rFonts w:ascii="Times New Roman" w:eastAsia="Times New Roman" w:hAnsi="Times New Roman" w:cs="Times New Roman"/>
                <w:sz w:val="24"/>
                <w:szCs w:val="24"/>
              </w:rPr>
              <w:t xml:space="preserve">; Framing utility as an opportunity </w:t>
            </w:r>
            <w:proofErr w:type="gramStart"/>
            <w:r w:rsidRPr="00341310">
              <w:rPr>
                <w:rFonts w:ascii="Times New Roman" w:eastAsia="Times New Roman" w:hAnsi="Times New Roman" w:cs="Times New Roman"/>
                <w:sz w:val="24"/>
                <w:szCs w:val="24"/>
              </w:rPr>
              <w:t>costs  (</w:t>
            </w:r>
            <w:proofErr w:type="gramEnd"/>
            <w:r w:rsidRPr="00341310">
              <w:rPr>
                <w:rFonts w:ascii="Times New Roman" w:eastAsia="Times New Roman" w:hAnsi="Times New Roman" w:cs="Times New Roman"/>
                <w:sz w:val="24"/>
                <w:szCs w:val="24"/>
              </w:rPr>
              <w:t xml:space="preserve">e.g., overlooking a high potential employee, unwittingly hiring a toxic worker) as opposed to a monetary gain (e.g., hiring a high-performing employee, overlooking a toxic employee), particularly for manager who struggle to comprehend utility (Hazer &amp; Highhouse, 1997). While framing utility has been investigated (Hazer &amp; Highhouse, 1997), framing validity has not been investigated. </w:t>
            </w:r>
          </w:p>
        </w:tc>
        <w:tc>
          <w:tcPr>
            <w:tcW w:w="1980" w:type="dxa"/>
            <w:tcBorders>
              <w:top w:val="nil"/>
              <w:left w:val="nil"/>
              <w:bottom w:val="nil"/>
              <w:right w:val="nil"/>
            </w:tcBorders>
            <w:shd w:val="clear" w:color="auto" w:fill="auto"/>
            <w:tcMar>
              <w:top w:w="100" w:type="dxa"/>
              <w:left w:w="100" w:type="dxa"/>
              <w:bottom w:w="100" w:type="dxa"/>
              <w:right w:w="100" w:type="dxa"/>
            </w:tcMar>
          </w:tcPr>
          <w:p w14:paraId="631EDA59"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31AB6492"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38C763A3"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408059EC"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lastRenderedPageBreak/>
              <w:t>Plain-Text Descriptions of Non-traditional Effect Size Indicators (e.g., common language effect size)</w:t>
            </w:r>
          </w:p>
        </w:tc>
        <w:tc>
          <w:tcPr>
            <w:tcW w:w="4155" w:type="dxa"/>
            <w:tcBorders>
              <w:top w:val="nil"/>
              <w:left w:val="nil"/>
              <w:bottom w:val="nil"/>
              <w:right w:val="nil"/>
            </w:tcBorders>
            <w:shd w:val="clear" w:color="auto" w:fill="auto"/>
            <w:tcMar>
              <w:top w:w="100" w:type="dxa"/>
              <w:left w:w="100" w:type="dxa"/>
              <w:bottom w:w="100" w:type="dxa"/>
              <w:right w:w="100" w:type="dxa"/>
            </w:tcMar>
          </w:tcPr>
          <w:p w14:paraId="17068CF3"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Positive</w:t>
            </w:r>
            <w:r w:rsidRPr="00341310">
              <w:rPr>
                <w:rFonts w:ascii="Times New Roman" w:eastAsia="Times New Roman" w:hAnsi="Times New Roman" w:cs="Times New Roman"/>
                <w:sz w:val="24"/>
                <w:szCs w:val="24"/>
              </w:rPr>
              <w:t>; Presenting UA analysis using a common language effect size display positively should help managers to see the validity information in terms that they understand. Brooks et al. (2014) found that managers were more willing to pay for training programs when given a common language effect size explanation (Brooks et al., 2014).</w:t>
            </w:r>
          </w:p>
        </w:tc>
        <w:tc>
          <w:tcPr>
            <w:tcW w:w="1980" w:type="dxa"/>
            <w:tcBorders>
              <w:top w:val="nil"/>
              <w:left w:val="nil"/>
              <w:bottom w:val="nil"/>
              <w:right w:val="nil"/>
            </w:tcBorders>
            <w:shd w:val="clear" w:color="auto" w:fill="auto"/>
            <w:tcMar>
              <w:top w:w="100" w:type="dxa"/>
              <w:left w:w="100" w:type="dxa"/>
              <w:bottom w:w="100" w:type="dxa"/>
              <w:right w:w="100" w:type="dxa"/>
            </w:tcMar>
          </w:tcPr>
          <w:p w14:paraId="715A146D"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27CE84BF"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267D37AD"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54462C4C"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Impacts on Productivity, Labor Costs</w:t>
            </w:r>
          </w:p>
        </w:tc>
        <w:tc>
          <w:tcPr>
            <w:tcW w:w="4155" w:type="dxa"/>
            <w:tcBorders>
              <w:top w:val="nil"/>
              <w:left w:val="nil"/>
              <w:bottom w:val="nil"/>
              <w:right w:val="nil"/>
            </w:tcBorders>
            <w:shd w:val="clear" w:color="auto" w:fill="auto"/>
            <w:tcMar>
              <w:top w:w="100" w:type="dxa"/>
              <w:left w:w="100" w:type="dxa"/>
              <w:bottom w:w="100" w:type="dxa"/>
              <w:right w:w="100" w:type="dxa"/>
            </w:tcMar>
          </w:tcPr>
          <w:p w14:paraId="231E2F69"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Positive</w:t>
            </w:r>
            <w:r w:rsidRPr="00341310">
              <w:rPr>
                <w:rFonts w:ascii="Times New Roman" w:eastAsia="Times New Roman" w:hAnsi="Times New Roman" w:cs="Times New Roman"/>
                <w:sz w:val="24"/>
                <w:szCs w:val="24"/>
              </w:rPr>
              <w:t xml:space="preserve">; Illustrating how interventions impact workforce productivity and labor costs should help managers see UA as an optimization tool(Cascio &amp; Morris, 1990; Schmidt, 2012). Macan and Foster (2006) find that managers are sensitive to cost information presented as part of utility analysis. </w:t>
            </w:r>
          </w:p>
        </w:tc>
        <w:tc>
          <w:tcPr>
            <w:tcW w:w="1980" w:type="dxa"/>
            <w:tcBorders>
              <w:top w:val="nil"/>
              <w:left w:val="nil"/>
              <w:bottom w:val="nil"/>
              <w:right w:val="nil"/>
            </w:tcBorders>
            <w:shd w:val="clear" w:color="auto" w:fill="auto"/>
            <w:tcMar>
              <w:top w:w="100" w:type="dxa"/>
              <w:left w:w="100" w:type="dxa"/>
              <w:bottom w:w="100" w:type="dxa"/>
              <w:right w:w="100" w:type="dxa"/>
            </w:tcMar>
          </w:tcPr>
          <w:p w14:paraId="580D93C7"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1BEB21D2"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29E384B6"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2CCDBF24" w14:textId="77777777" w:rsidR="00747A1D" w:rsidRPr="00341310" w:rsidRDefault="00000000">
            <w:pPr>
              <w:widowControl w:val="0"/>
              <w:spacing w:line="240" w:lineRule="auto"/>
              <w:rPr>
                <w:rFonts w:ascii="Times New Roman" w:eastAsia="Times New Roman" w:hAnsi="Times New Roman" w:cs="Times New Roman"/>
                <w:sz w:val="24"/>
                <w:szCs w:val="24"/>
              </w:rPr>
            </w:pPr>
            <w:commentRangeStart w:id="9"/>
            <w:commentRangeStart w:id="10"/>
            <w:r w:rsidRPr="00341310">
              <w:rPr>
                <w:rFonts w:ascii="Times New Roman" w:eastAsia="Times New Roman" w:hAnsi="Times New Roman" w:cs="Times New Roman"/>
                <w:sz w:val="24"/>
                <w:szCs w:val="24"/>
              </w:rPr>
              <w:t>Causal Chain Analysis OR Graphical Depictions of UA (i.e. slides)</w:t>
            </w:r>
          </w:p>
        </w:tc>
        <w:tc>
          <w:tcPr>
            <w:tcW w:w="4155" w:type="dxa"/>
            <w:tcBorders>
              <w:top w:val="nil"/>
              <w:left w:val="nil"/>
              <w:bottom w:val="nil"/>
              <w:right w:val="nil"/>
            </w:tcBorders>
            <w:shd w:val="clear" w:color="auto" w:fill="auto"/>
            <w:tcMar>
              <w:top w:w="100" w:type="dxa"/>
              <w:left w:w="100" w:type="dxa"/>
              <w:bottom w:w="100" w:type="dxa"/>
              <w:right w:w="100" w:type="dxa"/>
            </w:tcMar>
          </w:tcPr>
          <w:p w14:paraId="6C2A9301"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 xml:space="preserve">Positive; </w:t>
            </w:r>
            <w:r w:rsidRPr="00341310">
              <w:rPr>
                <w:rFonts w:ascii="Times New Roman" w:eastAsia="Times New Roman" w:hAnsi="Times New Roman" w:cs="Times New Roman"/>
                <w:sz w:val="24"/>
                <w:szCs w:val="24"/>
              </w:rPr>
              <w:t xml:space="preserve">Presenting interventions via a causal chain diagram positive should help managers see how interventions address workforce problems (e.g., increasing performance in a crucial area of the business). </w:t>
            </w:r>
          </w:p>
        </w:tc>
        <w:tc>
          <w:tcPr>
            <w:tcW w:w="1980" w:type="dxa"/>
            <w:tcBorders>
              <w:top w:val="nil"/>
              <w:left w:val="nil"/>
              <w:bottom w:val="nil"/>
              <w:right w:val="nil"/>
            </w:tcBorders>
            <w:shd w:val="clear" w:color="auto" w:fill="auto"/>
            <w:tcMar>
              <w:top w:w="100" w:type="dxa"/>
              <w:left w:w="100" w:type="dxa"/>
              <w:bottom w:w="100" w:type="dxa"/>
              <w:right w:w="100" w:type="dxa"/>
            </w:tcMar>
          </w:tcPr>
          <w:p w14:paraId="38567FC8"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6970DD37"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Planned</w:t>
            </w:r>
            <w:commentRangeEnd w:id="9"/>
            <w:r w:rsidR="006E4740">
              <w:rPr>
                <w:rStyle w:val="CommentReference"/>
              </w:rPr>
              <w:commentReference w:id="9"/>
            </w:r>
            <w:r w:rsidR="006B7104">
              <w:rPr>
                <w:rStyle w:val="CommentReference"/>
              </w:rPr>
              <w:commentReference w:id="10"/>
            </w:r>
          </w:p>
        </w:tc>
      </w:tr>
      <w:commentRangeEnd w:id="10"/>
      <w:tr w:rsidR="00747A1D" w:rsidRPr="00341310" w14:paraId="3809FF9B"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18670C04" w14:textId="23D1AA15" w:rsidR="00747A1D" w:rsidRPr="00341310" w:rsidRDefault="0034131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Monte</w:t>
            </w:r>
            <w:r w:rsidRPr="003413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Carlo</w:t>
            </w:r>
            <w:r w:rsidRPr="00341310">
              <w:rPr>
                <w:rFonts w:ascii="Times New Roman" w:eastAsia="Times New Roman" w:hAnsi="Times New Roman" w:cs="Times New Roman"/>
                <w:sz w:val="24"/>
                <w:szCs w:val="24"/>
              </w:rPr>
              <w:t xml:space="preserve"> Analysis as a Comprehensive Adjustment and Risk Management Strategy</w:t>
            </w:r>
          </w:p>
        </w:tc>
        <w:tc>
          <w:tcPr>
            <w:tcW w:w="4155" w:type="dxa"/>
            <w:tcBorders>
              <w:top w:val="nil"/>
              <w:left w:val="nil"/>
              <w:bottom w:val="nil"/>
              <w:right w:val="nil"/>
            </w:tcBorders>
            <w:shd w:val="clear" w:color="auto" w:fill="auto"/>
            <w:tcMar>
              <w:top w:w="100" w:type="dxa"/>
              <w:left w:w="100" w:type="dxa"/>
              <w:bottom w:w="100" w:type="dxa"/>
              <w:right w:w="100" w:type="dxa"/>
            </w:tcMar>
          </w:tcPr>
          <w:p w14:paraId="4444BD62"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 xml:space="preserve">Unclear; </w:t>
            </w:r>
            <w:r w:rsidRPr="00341310">
              <w:rPr>
                <w:rFonts w:ascii="Times New Roman" w:eastAsia="Times New Roman" w:hAnsi="Times New Roman" w:cs="Times New Roman"/>
                <w:sz w:val="24"/>
                <w:szCs w:val="24"/>
              </w:rPr>
              <w:t>Presenting a comprehensive set of utility adjustments should help managers compute an accurate utility estimate and more effectively assess and manage risk.</w:t>
            </w:r>
          </w:p>
        </w:tc>
        <w:tc>
          <w:tcPr>
            <w:tcW w:w="1980" w:type="dxa"/>
            <w:tcBorders>
              <w:top w:val="nil"/>
              <w:left w:val="nil"/>
              <w:bottom w:val="nil"/>
              <w:right w:val="nil"/>
            </w:tcBorders>
            <w:shd w:val="clear" w:color="auto" w:fill="auto"/>
            <w:tcMar>
              <w:top w:w="100" w:type="dxa"/>
              <w:left w:w="100" w:type="dxa"/>
              <w:bottom w:w="100" w:type="dxa"/>
              <w:right w:w="100" w:type="dxa"/>
            </w:tcMar>
          </w:tcPr>
          <w:p w14:paraId="1C2240D4"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691DD1E4" w14:textId="1FAB8475" w:rsidR="00747A1D" w:rsidRPr="00341310" w:rsidRDefault="006E4740">
            <w:pPr>
              <w:widowControl w:val="0"/>
              <w:spacing w:line="240" w:lineRule="auto"/>
              <w:jc w:val="center"/>
              <w:rPr>
                <w:rFonts w:ascii="Times New Roman" w:eastAsia="Times New Roman" w:hAnsi="Times New Roman" w:cs="Times New Roman"/>
                <w:sz w:val="24"/>
                <w:szCs w:val="24"/>
              </w:rPr>
            </w:pPr>
            <w:r w:rsidRPr="00341310">
              <w:rPr>
                <w:rFonts w:ascii="Segoe UI Symbol" w:eastAsia="Arial Unicode MS" w:hAnsi="Segoe UI Symbol" w:cs="Segoe UI Symbol"/>
                <w:sz w:val="24"/>
                <w:szCs w:val="24"/>
              </w:rPr>
              <w:t>✓</w:t>
            </w:r>
          </w:p>
        </w:tc>
      </w:tr>
      <w:tr w:rsidR="00747A1D" w:rsidRPr="00341310" w14:paraId="41DA2AAC" w14:textId="77777777">
        <w:trPr>
          <w:cantSplit/>
          <w:jc w:val="center"/>
        </w:trPr>
        <w:tc>
          <w:tcPr>
            <w:tcW w:w="4245" w:type="dxa"/>
            <w:tcBorders>
              <w:top w:val="nil"/>
              <w:left w:val="nil"/>
              <w:bottom w:val="nil"/>
              <w:right w:val="nil"/>
            </w:tcBorders>
            <w:shd w:val="clear" w:color="auto" w:fill="auto"/>
            <w:tcMar>
              <w:top w:w="100" w:type="dxa"/>
              <w:left w:w="100" w:type="dxa"/>
              <w:bottom w:w="100" w:type="dxa"/>
              <w:right w:w="100" w:type="dxa"/>
            </w:tcMar>
          </w:tcPr>
          <w:p w14:paraId="729FA6BC" w14:textId="77777777" w:rsidR="00747A1D" w:rsidRPr="00341310" w:rsidRDefault="00000000">
            <w:pPr>
              <w:widowControl w:val="0"/>
              <w:spacing w:line="240" w:lineRule="auto"/>
              <w:rPr>
                <w:rFonts w:ascii="Times New Roman" w:eastAsia="Times New Roman" w:hAnsi="Times New Roman" w:cs="Times New Roman"/>
                <w:sz w:val="24"/>
                <w:szCs w:val="24"/>
              </w:rPr>
            </w:pPr>
            <w:commentRangeStart w:id="11"/>
            <w:commentRangeStart w:id="12"/>
            <w:r w:rsidRPr="00341310">
              <w:rPr>
                <w:rFonts w:ascii="Times New Roman" w:eastAsia="Times New Roman" w:hAnsi="Times New Roman" w:cs="Times New Roman"/>
                <w:sz w:val="24"/>
                <w:szCs w:val="24"/>
              </w:rPr>
              <w:t>Impact of Compensation Enhancements on Workforce Value</w:t>
            </w:r>
          </w:p>
        </w:tc>
        <w:tc>
          <w:tcPr>
            <w:tcW w:w="4155" w:type="dxa"/>
            <w:tcBorders>
              <w:top w:val="nil"/>
              <w:left w:val="nil"/>
              <w:bottom w:val="nil"/>
              <w:right w:val="nil"/>
            </w:tcBorders>
            <w:shd w:val="clear" w:color="auto" w:fill="auto"/>
            <w:tcMar>
              <w:top w:w="100" w:type="dxa"/>
              <w:left w:w="100" w:type="dxa"/>
              <w:bottom w:w="100" w:type="dxa"/>
              <w:right w:w="100" w:type="dxa"/>
            </w:tcMar>
          </w:tcPr>
          <w:p w14:paraId="71CC7ACC"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Unclear</w:t>
            </w:r>
            <w:r w:rsidRPr="00341310">
              <w:rPr>
                <w:rFonts w:ascii="Times New Roman" w:eastAsia="Times New Roman" w:hAnsi="Times New Roman" w:cs="Times New Roman"/>
                <w:sz w:val="24"/>
                <w:szCs w:val="24"/>
              </w:rPr>
              <w:t xml:space="preserve">; Illustrating how compensation enhancements (e.g., strongly tying incentives to performance) impact workforce quality, quantity, and cost should help managers make decisions regarding how compensation systems are designed. </w:t>
            </w:r>
          </w:p>
        </w:tc>
        <w:tc>
          <w:tcPr>
            <w:tcW w:w="1980" w:type="dxa"/>
            <w:tcBorders>
              <w:top w:val="nil"/>
              <w:left w:val="nil"/>
              <w:bottom w:val="nil"/>
              <w:right w:val="nil"/>
            </w:tcBorders>
            <w:shd w:val="clear" w:color="auto" w:fill="auto"/>
            <w:tcMar>
              <w:top w:w="100" w:type="dxa"/>
              <w:left w:w="100" w:type="dxa"/>
              <w:bottom w:w="100" w:type="dxa"/>
              <w:right w:w="100" w:type="dxa"/>
            </w:tcMar>
          </w:tcPr>
          <w:p w14:paraId="4C8FD1BB"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bottom w:val="nil"/>
              <w:right w:val="nil"/>
            </w:tcBorders>
            <w:shd w:val="clear" w:color="auto" w:fill="auto"/>
            <w:tcMar>
              <w:top w:w="100" w:type="dxa"/>
              <w:left w:w="100" w:type="dxa"/>
              <w:bottom w:w="100" w:type="dxa"/>
              <w:right w:w="100" w:type="dxa"/>
            </w:tcMar>
          </w:tcPr>
          <w:p w14:paraId="446DC2E2"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Discussing</w:t>
            </w:r>
            <w:commentRangeEnd w:id="11"/>
            <w:r w:rsidR="006E4740">
              <w:rPr>
                <w:rStyle w:val="CommentReference"/>
              </w:rPr>
              <w:commentReference w:id="11"/>
            </w:r>
            <w:r w:rsidR="006B7104">
              <w:rPr>
                <w:rStyle w:val="CommentReference"/>
              </w:rPr>
              <w:commentReference w:id="12"/>
            </w:r>
          </w:p>
        </w:tc>
      </w:tr>
      <w:tr w:rsidR="00747A1D" w:rsidRPr="00341310" w14:paraId="4517D331" w14:textId="77777777">
        <w:trPr>
          <w:cantSplit/>
          <w:jc w:val="center"/>
        </w:trPr>
        <w:tc>
          <w:tcPr>
            <w:tcW w:w="4245" w:type="dxa"/>
            <w:tcBorders>
              <w:top w:val="nil"/>
              <w:left w:val="nil"/>
              <w:right w:val="nil"/>
            </w:tcBorders>
            <w:shd w:val="clear" w:color="auto" w:fill="auto"/>
            <w:tcMar>
              <w:top w:w="100" w:type="dxa"/>
              <w:left w:w="100" w:type="dxa"/>
              <w:bottom w:w="100" w:type="dxa"/>
              <w:right w:w="100" w:type="dxa"/>
            </w:tcMar>
          </w:tcPr>
          <w:p w14:paraId="69A3E8C4" w14:textId="77777777" w:rsidR="00747A1D" w:rsidRPr="00341310" w:rsidRDefault="00000000">
            <w:pPr>
              <w:widowControl w:val="0"/>
              <w:spacing w:line="240" w:lineRule="auto"/>
              <w:rPr>
                <w:rFonts w:ascii="Times New Roman" w:eastAsia="Times New Roman" w:hAnsi="Times New Roman" w:cs="Times New Roman"/>
                <w:sz w:val="24"/>
                <w:szCs w:val="24"/>
              </w:rPr>
            </w:pPr>
            <w:commentRangeStart w:id="13"/>
            <w:commentRangeStart w:id="14"/>
            <w:commentRangeStart w:id="15"/>
            <w:commentRangeEnd w:id="12"/>
            <w:r w:rsidRPr="00341310">
              <w:rPr>
                <w:rFonts w:ascii="Times New Roman" w:eastAsia="Times New Roman" w:hAnsi="Times New Roman" w:cs="Times New Roman"/>
                <w:sz w:val="24"/>
                <w:szCs w:val="24"/>
              </w:rPr>
              <w:t>Identifying Options for Maximizing Validity, Utility, and Diversity in Staffing</w:t>
            </w:r>
          </w:p>
        </w:tc>
        <w:tc>
          <w:tcPr>
            <w:tcW w:w="4155" w:type="dxa"/>
            <w:tcBorders>
              <w:top w:val="nil"/>
              <w:left w:val="nil"/>
              <w:right w:val="nil"/>
            </w:tcBorders>
            <w:shd w:val="clear" w:color="auto" w:fill="auto"/>
            <w:tcMar>
              <w:top w:w="100" w:type="dxa"/>
              <w:left w:w="100" w:type="dxa"/>
              <w:bottom w:w="100" w:type="dxa"/>
              <w:right w:w="100" w:type="dxa"/>
            </w:tcMar>
          </w:tcPr>
          <w:p w14:paraId="502590B4" w14:textId="77777777" w:rsidR="00747A1D" w:rsidRPr="00341310" w:rsidRDefault="00000000">
            <w:pPr>
              <w:widowControl w:val="0"/>
              <w:spacing w:line="240" w:lineRule="auto"/>
              <w:rPr>
                <w:rFonts w:ascii="Times New Roman" w:eastAsia="Times New Roman" w:hAnsi="Times New Roman" w:cs="Times New Roman"/>
                <w:sz w:val="24"/>
                <w:szCs w:val="24"/>
              </w:rPr>
            </w:pPr>
            <w:r w:rsidRPr="00341310">
              <w:rPr>
                <w:rFonts w:ascii="Times New Roman" w:eastAsia="Times New Roman" w:hAnsi="Times New Roman" w:cs="Times New Roman"/>
                <w:b/>
                <w:sz w:val="24"/>
                <w:szCs w:val="24"/>
              </w:rPr>
              <w:t xml:space="preserve">Unclear; </w:t>
            </w:r>
            <w:r w:rsidRPr="00341310">
              <w:rPr>
                <w:rFonts w:ascii="Times New Roman" w:eastAsia="Times New Roman" w:hAnsi="Times New Roman" w:cs="Times New Roman"/>
                <w:sz w:val="24"/>
                <w:szCs w:val="24"/>
              </w:rPr>
              <w:t>Pareto-optimal decision should help managers identify the maximum level of utility that can be attained while diversifying the workforce (DeCorte et al., 2011; Slade et al., 2022; Rupp et al., 2020).</w:t>
            </w:r>
          </w:p>
        </w:tc>
        <w:tc>
          <w:tcPr>
            <w:tcW w:w="1980" w:type="dxa"/>
            <w:tcBorders>
              <w:top w:val="nil"/>
              <w:left w:val="nil"/>
              <w:right w:val="nil"/>
            </w:tcBorders>
            <w:shd w:val="clear" w:color="auto" w:fill="auto"/>
            <w:tcMar>
              <w:top w:w="100" w:type="dxa"/>
              <w:left w:w="100" w:type="dxa"/>
              <w:bottom w:w="100" w:type="dxa"/>
              <w:right w:w="100" w:type="dxa"/>
            </w:tcMar>
          </w:tcPr>
          <w:p w14:paraId="4C2D19A3" w14:textId="77777777" w:rsidR="00747A1D" w:rsidRPr="00341310" w:rsidRDefault="00747A1D">
            <w:pPr>
              <w:widowControl w:val="0"/>
              <w:spacing w:line="240" w:lineRule="auto"/>
              <w:jc w:val="center"/>
              <w:rPr>
                <w:rFonts w:ascii="Times New Roman" w:eastAsia="Times New Roman" w:hAnsi="Times New Roman" w:cs="Times New Roman"/>
                <w:sz w:val="24"/>
                <w:szCs w:val="24"/>
              </w:rPr>
            </w:pPr>
          </w:p>
        </w:tc>
        <w:tc>
          <w:tcPr>
            <w:tcW w:w="2070" w:type="dxa"/>
            <w:tcBorders>
              <w:top w:val="nil"/>
              <w:left w:val="nil"/>
              <w:right w:val="nil"/>
            </w:tcBorders>
            <w:shd w:val="clear" w:color="auto" w:fill="auto"/>
            <w:tcMar>
              <w:top w:w="100" w:type="dxa"/>
              <w:left w:w="100" w:type="dxa"/>
              <w:bottom w:w="100" w:type="dxa"/>
              <w:right w:w="100" w:type="dxa"/>
            </w:tcMar>
          </w:tcPr>
          <w:p w14:paraId="793D70A8" w14:textId="77777777" w:rsidR="00747A1D" w:rsidRPr="00341310" w:rsidRDefault="00000000">
            <w:pPr>
              <w:widowControl w:val="0"/>
              <w:spacing w:line="240" w:lineRule="auto"/>
              <w:jc w:val="center"/>
              <w:rPr>
                <w:rFonts w:ascii="Times New Roman" w:eastAsia="Times New Roman" w:hAnsi="Times New Roman" w:cs="Times New Roman"/>
                <w:sz w:val="24"/>
                <w:szCs w:val="24"/>
              </w:rPr>
            </w:pPr>
            <w:r w:rsidRPr="00341310">
              <w:rPr>
                <w:rFonts w:ascii="Times New Roman" w:eastAsia="Times New Roman" w:hAnsi="Times New Roman" w:cs="Times New Roman"/>
                <w:sz w:val="24"/>
                <w:szCs w:val="24"/>
              </w:rPr>
              <w:t>Discussing</w:t>
            </w:r>
            <w:commentRangeEnd w:id="13"/>
            <w:r w:rsidR="006E4740">
              <w:rPr>
                <w:rStyle w:val="CommentReference"/>
              </w:rPr>
              <w:commentReference w:id="13"/>
            </w:r>
            <w:commentRangeEnd w:id="14"/>
            <w:r w:rsidR="00B34CF8">
              <w:rPr>
                <w:rStyle w:val="CommentReference"/>
              </w:rPr>
              <w:commentReference w:id="14"/>
            </w:r>
            <w:r w:rsidR="006B7104">
              <w:rPr>
                <w:rStyle w:val="CommentReference"/>
              </w:rPr>
              <w:commentReference w:id="15"/>
            </w:r>
          </w:p>
        </w:tc>
      </w:tr>
      <w:commentRangeEnd w:id="15"/>
    </w:tbl>
    <w:p w14:paraId="3E0DE9E0" w14:textId="77777777" w:rsidR="00747A1D" w:rsidRPr="00341310" w:rsidRDefault="00747A1D">
      <w:pPr>
        <w:spacing w:line="480" w:lineRule="auto"/>
        <w:rPr>
          <w:rFonts w:ascii="Times New Roman" w:eastAsia="Times New Roman" w:hAnsi="Times New Roman" w:cs="Times New Roman"/>
          <w:sz w:val="24"/>
          <w:szCs w:val="24"/>
        </w:rPr>
      </w:pPr>
    </w:p>
    <w:p w14:paraId="36D1FF82" w14:textId="77777777" w:rsidR="00747A1D" w:rsidRPr="00341310" w:rsidRDefault="00000000">
      <w:pPr>
        <w:spacing w:line="480" w:lineRule="auto"/>
        <w:ind w:left="720"/>
        <w:rPr>
          <w:rFonts w:ascii="Times New Roman" w:eastAsia="Times New Roman" w:hAnsi="Times New Roman" w:cs="Times New Roman"/>
          <w:color w:val="333333"/>
          <w:sz w:val="24"/>
          <w:szCs w:val="24"/>
        </w:rPr>
        <w:sectPr w:rsidR="00747A1D" w:rsidRPr="00341310">
          <w:pgSz w:w="15840" w:h="12240" w:orient="landscape"/>
          <w:pgMar w:top="1440" w:right="1440" w:bottom="1440" w:left="1440" w:header="720" w:footer="720" w:gutter="0"/>
          <w:cols w:space="720"/>
        </w:sectPr>
      </w:pPr>
      <w:r w:rsidRPr="00341310">
        <w:rPr>
          <w:rFonts w:ascii="Times New Roman" w:hAnsi="Times New Roman" w:cs="Times New Roman"/>
          <w:sz w:val="24"/>
          <w:szCs w:val="24"/>
        </w:rPr>
        <w:br w:type="page"/>
      </w:r>
    </w:p>
    <w:p w14:paraId="3143DC7E" w14:textId="77777777" w:rsidR="00747A1D" w:rsidRPr="00341310" w:rsidRDefault="00000000">
      <w:pPr>
        <w:spacing w:line="480" w:lineRule="auto"/>
        <w:rPr>
          <w:rFonts w:ascii="Times New Roman" w:eastAsia="Times New Roman" w:hAnsi="Times New Roman" w:cs="Times New Roman"/>
          <w:b/>
          <w:sz w:val="24"/>
          <w:szCs w:val="24"/>
        </w:rPr>
      </w:pPr>
      <w:commentRangeStart w:id="16"/>
      <w:r w:rsidRPr="00341310">
        <w:rPr>
          <w:rFonts w:ascii="Times New Roman" w:eastAsia="Times New Roman" w:hAnsi="Times New Roman" w:cs="Times New Roman"/>
          <w:b/>
          <w:sz w:val="24"/>
          <w:szCs w:val="24"/>
        </w:rPr>
        <w:lastRenderedPageBreak/>
        <w:t>Figure 1</w:t>
      </w:r>
      <w:commentRangeEnd w:id="16"/>
      <w:r w:rsidR="006B7104">
        <w:rPr>
          <w:rStyle w:val="CommentReference"/>
        </w:rPr>
        <w:commentReference w:id="16"/>
      </w:r>
    </w:p>
    <w:p w14:paraId="136EA571"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noProof/>
          <w:sz w:val="24"/>
          <w:szCs w:val="24"/>
        </w:rPr>
        <w:drawing>
          <wp:inline distT="114300" distB="114300" distL="114300" distR="114300" wp14:anchorId="3E89EBD2" wp14:editId="4C28BA1E">
            <wp:extent cx="5943600" cy="3251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943600" cy="3251200"/>
                    </a:xfrm>
                    <a:prstGeom prst="rect">
                      <a:avLst/>
                    </a:prstGeom>
                    <a:ln/>
                  </pic:spPr>
                </pic:pic>
              </a:graphicData>
            </a:graphic>
          </wp:inline>
        </w:drawing>
      </w:r>
    </w:p>
    <w:p w14:paraId="16CDA776"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t>Figure 2</w:t>
      </w:r>
    </w:p>
    <w:p w14:paraId="6A9E1150"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noProof/>
          <w:sz w:val="24"/>
          <w:szCs w:val="24"/>
        </w:rPr>
        <w:drawing>
          <wp:inline distT="114300" distB="114300" distL="114300" distR="114300" wp14:anchorId="51790124" wp14:editId="2A2D9FAA">
            <wp:extent cx="5743745" cy="39576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43745" cy="3957638"/>
                    </a:xfrm>
                    <a:prstGeom prst="rect">
                      <a:avLst/>
                    </a:prstGeom>
                    <a:ln/>
                  </pic:spPr>
                </pic:pic>
              </a:graphicData>
            </a:graphic>
          </wp:inline>
        </w:drawing>
      </w:r>
    </w:p>
    <w:p w14:paraId="4D0B13C9" w14:textId="77777777" w:rsidR="00747A1D" w:rsidRPr="00341310" w:rsidRDefault="00000000">
      <w:pPr>
        <w:spacing w:line="480" w:lineRule="auto"/>
        <w:rPr>
          <w:rFonts w:ascii="Times New Roman" w:eastAsia="Times New Roman" w:hAnsi="Times New Roman" w:cs="Times New Roman"/>
          <w:b/>
          <w:sz w:val="24"/>
          <w:szCs w:val="24"/>
        </w:rPr>
      </w:pPr>
      <w:commentRangeStart w:id="17"/>
      <w:r w:rsidRPr="00341310">
        <w:rPr>
          <w:rFonts w:ascii="Times New Roman" w:eastAsia="Times New Roman" w:hAnsi="Times New Roman" w:cs="Times New Roman"/>
          <w:b/>
          <w:sz w:val="24"/>
          <w:szCs w:val="24"/>
        </w:rPr>
        <w:lastRenderedPageBreak/>
        <w:t>Figure 3</w:t>
      </w:r>
      <w:commentRangeEnd w:id="17"/>
      <w:r w:rsidR="006B7104">
        <w:rPr>
          <w:rStyle w:val="CommentReference"/>
        </w:rPr>
        <w:commentReference w:id="17"/>
      </w:r>
    </w:p>
    <w:p w14:paraId="3D02EB2C"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noProof/>
          <w:sz w:val="24"/>
          <w:szCs w:val="24"/>
        </w:rPr>
        <w:drawing>
          <wp:inline distT="114300" distB="114300" distL="114300" distR="114300" wp14:anchorId="33531194" wp14:editId="14D625EC">
            <wp:extent cx="5943600" cy="4089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943600" cy="4089400"/>
                    </a:xfrm>
                    <a:prstGeom prst="rect">
                      <a:avLst/>
                    </a:prstGeom>
                    <a:ln/>
                  </pic:spPr>
                </pic:pic>
              </a:graphicData>
            </a:graphic>
          </wp:inline>
        </w:drawing>
      </w:r>
    </w:p>
    <w:p w14:paraId="3404D911" w14:textId="77777777" w:rsidR="00747A1D" w:rsidRPr="00341310" w:rsidRDefault="00000000">
      <w:pPr>
        <w:spacing w:line="480" w:lineRule="auto"/>
        <w:rPr>
          <w:rFonts w:ascii="Times New Roman" w:eastAsia="Times New Roman" w:hAnsi="Times New Roman" w:cs="Times New Roman"/>
          <w:b/>
          <w:sz w:val="24"/>
          <w:szCs w:val="24"/>
        </w:rPr>
      </w:pPr>
      <w:commentRangeStart w:id="18"/>
      <w:r w:rsidRPr="00341310">
        <w:rPr>
          <w:rFonts w:ascii="Times New Roman" w:eastAsia="Times New Roman" w:hAnsi="Times New Roman" w:cs="Times New Roman"/>
          <w:b/>
          <w:sz w:val="24"/>
          <w:szCs w:val="24"/>
        </w:rPr>
        <w:t>Figure 4</w:t>
      </w:r>
      <w:commentRangeEnd w:id="18"/>
      <w:r w:rsidR="00595011">
        <w:rPr>
          <w:rStyle w:val="CommentReference"/>
        </w:rPr>
        <w:commentReference w:id="18"/>
      </w:r>
    </w:p>
    <w:p w14:paraId="39083219" w14:textId="0AC56C1C" w:rsidR="00747A1D" w:rsidRPr="00341310" w:rsidRDefault="0059501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sidRPr="00341310">
        <w:rPr>
          <w:rFonts w:ascii="Times New Roman" w:eastAsia="Times New Roman" w:hAnsi="Times New Roman" w:cs="Times New Roman"/>
          <w:b/>
          <w:noProof/>
          <w:sz w:val="24"/>
          <w:szCs w:val="24"/>
        </w:rPr>
        <w:drawing>
          <wp:inline distT="114300" distB="114300" distL="114300" distR="114300" wp14:anchorId="76798953" wp14:editId="2F963701">
            <wp:extent cx="5943600" cy="2222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2222500"/>
                    </a:xfrm>
                    <a:prstGeom prst="rect">
                      <a:avLst/>
                    </a:prstGeom>
                    <a:ln/>
                  </pic:spPr>
                </pic:pic>
              </a:graphicData>
            </a:graphic>
          </wp:inline>
        </w:drawing>
      </w:r>
    </w:p>
    <w:p w14:paraId="0A76C985" w14:textId="77777777" w:rsidR="00747A1D" w:rsidRPr="00341310" w:rsidRDefault="00747A1D">
      <w:pPr>
        <w:spacing w:line="480" w:lineRule="auto"/>
        <w:rPr>
          <w:rFonts w:ascii="Times New Roman" w:eastAsia="Times New Roman" w:hAnsi="Times New Roman" w:cs="Times New Roman"/>
          <w:b/>
          <w:sz w:val="24"/>
          <w:szCs w:val="24"/>
        </w:rPr>
      </w:pPr>
    </w:p>
    <w:p w14:paraId="0A1D9E07" w14:textId="77777777" w:rsidR="00747A1D" w:rsidRPr="00341310" w:rsidRDefault="00747A1D">
      <w:pPr>
        <w:spacing w:line="480" w:lineRule="auto"/>
        <w:rPr>
          <w:rFonts w:ascii="Times New Roman" w:eastAsia="Times New Roman" w:hAnsi="Times New Roman" w:cs="Times New Roman"/>
          <w:b/>
          <w:sz w:val="24"/>
          <w:szCs w:val="24"/>
        </w:rPr>
      </w:pPr>
    </w:p>
    <w:p w14:paraId="2D443A8D"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t>Figure 5</w:t>
      </w:r>
    </w:p>
    <w:p w14:paraId="2D86FC0E" w14:textId="77777777" w:rsidR="00747A1D" w:rsidRPr="00341310" w:rsidRDefault="00000000">
      <w:pPr>
        <w:spacing w:line="480" w:lineRule="auto"/>
        <w:jc w:val="center"/>
        <w:rPr>
          <w:rFonts w:ascii="Times New Roman" w:eastAsia="Times New Roman" w:hAnsi="Times New Roman" w:cs="Times New Roman"/>
          <w:b/>
          <w:sz w:val="24"/>
          <w:szCs w:val="24"/>
        </w:rPr>
      </w:pPr>
      <w:commentRangeStart w:id="19"/>
      <w:r w:rsidRPr="00341310">
        <w:rPr>
          <w:rFonts w:ascii="Times New Roman" w:eastAsia="Times New Roman" w:hAnsi="Times New Roman" w:cs="Times New Roman"/>
          <w:b/>
          <w:noProof/>
          <w:sz w:val="24"/>
          <w:szCs w:val="24"/>
        </w:rPr>
        <w:drawing>
          <wp:inline distT="114300" distB="114300" distL="114300" distR="114300" wp14:anchorId="30C8F2F6" wp14:editId="281D99CA">
            <wp:extent cx="5943600" cy="2616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2616200"/>
                    </a:xfrm>
                    <a:prstGeom prst="rect">
                      <a:avLst/>
                    </a:prstGeom>
                    <a:ln/>
                  </pic:spPr>
                </pic:pic>
              </a:graphicData>
            </a:graphic>
          </wp:inline>
        </w:drawing>
      </w:r>
      <w:commentRangeEnd w:id="19"/>
      <w:r w:rsidR="007D20CA">
        <w:rPr>
          <w:rStyle w:val="CommentReference"/>
        </w:rPr>
        <w:commentReference w:id="19"/>
      </w:r>
    </w:p>
    <w:p w14:paraId="2E806DD8"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t>Figure 6</w:t>
      </w:r>
    </w:p>
    <w:p w14:paraId="1002B942"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noProof/>
          <w:sz w:val="24"/>
          <w:szCs w:val="24"/>
        </w:rPr>
        <w:lastRenderedPageBreak/>
        <w:drawing>
          <wp:inline distT="114300" distB="114300" distL="114300" distR="114300" wp14:anchorId="12A1ACBB" wp14:editId="5F6C4D4F">
            <wp:extent cx="5657850" cy="458464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657850" cy="4584647"/>
                    </a:xfrm>
                    <a:prstGeom prst="rect">
                      <a:avLst/>
                    </a:prstGeom>
                    <a:ln/>
                  </pic:spPr>
                </pic:pic>
              </a:graphicData>
            </a:graphic>
          </wp:inline>
        </w:drawing>
      </w:r>
    </w:p>
    <w:p w14:paraId="5389DEE2" w14:textId="77777777" w:rsidR="00747A1D" w:rsidRPr="00341310" w:rsidRDefault="00000000">
      <w:pPr>
        <w:spacing w:line="480" w:lineRule="auto"/>
        <w:rPr>
          <w:rFonts w:ascii="Times New Roman" w:eastAsia="Times New Roman" w:hAnsi="Times New Roman" w:cs="Times New Roman"/>
          <w:b/>
          <w:sz w:val="24"/>
          <w:szCs w:val="24"/>
        </w:rPr>
      </w:pPr>
      <w:r w:rsidRPr="00341310">
        <w:rPr>
          <w:rFonts w:ascii="Times New Roman" w:eastAsia="Times New Roman" w:hAnsi="Times New Roman" w:cs="Times New Roman"/>
          <w:b/>
          <w:sz w:val="24"/>
          <w:szCs w:val="24"/>
        </w:rPr>
        <w:t>Figure 7</w:t>
      </w:r>
    </w:p>
    <w:p w14:paraId="6B386FFF" w14:textId="77777777" w:rsidR="00747A1D" w:rsidRPr="00341310" w:rsidRDefault="00000000">
      <w:pPr>
        <w:spacing w:line="480" w:lineRule="auto"/>
        <w:jc w:val="center"/>
        <w:rPr>
          <w:rFonts w:ascii="Times New Roman" w:eastAsia="Times New Roman" w:hAnsi="Times New Roman" w:cs="Times New Roman"/>
          <w:b/>
          <w:sz w:val="24"/>
          <w:szCs w:val="24"/>
        </w:rPr>
      </w:pPr>
      <w:r w:rsidRPr="00341310">
        <w:rPr>
          <w:rFonts w:ascii="Times New Roman" w:eastAsia="Times New Roman" w:hAnsi="Times New Roman" w:cs="Times New Roman"/>
          <w:b/>
          <w:noProof/>
          <w:sz w:val="24"/>
          <w:szCs w:val="24"/>
        </w:rPr>
        <w:lastRenderedPageBreak/>
        <w:drawing>
          <wp:inline distT="114300" distB="114300" distL="114300" distR="114300" wp14:anchorId="58DEC58F" wp14:editId="754DF46F">
            <wp:extent cx="5943600" cy="4851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943600" cy="4851400"/>
                    </a:xfrm>
                    <a:prstGeom prst="rect">
                      <a:avLst/>
                    </a:prstGeom>
                    <a:ln/>
                  </pic:spPr>
                </pic:pic>
              </a:graphicData>
            </a:graphic>
          </wp:inline>
        </w:drawing>
      </w:r>
    </w:p>
    <w:p w14:paraId="6F2D790D" w14:textId="77777777" w:rsidR="00747A1D" w:rsidRPr="00341310" w:rsidRDefault="00747A1D">
      <w:pPr>
        <w:spacing w:line="480" w:lineRule="auto"/>
        <w:ind w:left="720"/>
        <w:rPr>
          <w:rFonts w:ascii="Times New Roman" w:eastAsia="Times New Roman" w:hAnsi="Times New Roman" w:cs="Times New Roman"/>
          <w:color w:val="333333"/>
          <w:sz w:val="24"/>
          <w:szCs w:val="24"/>
        </w:rPr>
      </w:pPr>
    </w:p>
    <w:sectPr w:rsidR="00747A1D" w:rsidRPr="0034131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ristopher Castille" w:date="2024-01-08T08:35:00Z" w:initials="CC">
    <w:p w14:paraId="585521CD" w14:textId="77777777" w:rsidR="00595011" w:rsidRDefault="00595011" w:rsidP="00496E65">
      <w:r>
        <w:rPr>
          <w:rStyle w:val="CommentReference"/>
        </w:rPr>
        <w:annotationRef/>
      </w:r>
      <w:r>
        <w:rPr>
          <w:color w:val="000000"/>
          <w:sz w:val="20"/>
          <w:szCs w:val="20"/>
        </w:rPr>
        <w:t xml:space="preserve">Let’s update the title. </w:t>
      </w:r>
    </w:p>
    <w:p w14:paraId="54FE93CE" w14:textId="77777777" w:rsidR="00595011" w:rsidRDefault="00595011" w:rsidP="00496E65"/>
    <w:p w14:paraId="7A18450B" w14:textId="77777777" w:rsidR="00595011" w:rsidRDefault="00595011" w:rsidP="00496E65">
      <w:r>
        <w:rPr>
          <w:color w:val="000000"/>
          <w:sz w:val="20"/>
          <w:szCs w:val="20"/>
        </w:rPr>
        <w:t>“Introducing the UA+ web app: A tool for facilitating Utility Analysis”</w:t>
      </w:r>
    </w:p>
  </w:comment>
  <w:comment w:id="1" w:author="Christopher Castille" w:date="2024-01-08T08:34:00Z" w:initials="CC">
    <w:p w14:paraId="48544092" w14:textId="56B1F420" w:rsidR="00595011" w:rsidRDefault="00595011" w:rsidP="00F52453">
      <w:r>
        <w:rPr>
          <w:rStyle w:val="CommentReference"/>
        </w:rPr>
        <w:annotationRef/>
      </w:r>
      <w:r>
        <w:rPr>
          <w:color w:val="000000"/>
          <w:sz w:val="20"/>
          <w:szCs w:val="20"/>
        </w:rPr>
        <w:t xml:space="preserve">Look for instances where a resource is cited only once and consider deleting it – may save us space. </w:t>
      </w:r>
    </w:p>
  </w:comment>
  <w:comment w:id="2" w:author="Dr Christopher Castille" w:date="2025-06-25T11:52:00Z" w:initials="DCC">
    <w:p w14:paraId="392C1E67" w14:textId="2127CCF0" w:rsidR="006B7104" w:rsidRDefault="006B7104">
      <w:pPr>
        <w:pStyle w:val="CommentText"/>
      </w:pPr>
      <w:r>
        <w:rPr>
          <w:rStyle w:val="CommentReference"/>
        </w:rPr>
        <w:annotationRef/>
      </w:r>
      <w:r>
        <w:t xml:space="preserve">Note how Macan and Foster suggested that we ‘blow up’ the utility analysis </w:t>
      </w:r>
      <w:proofErr w:type="spellStart"/>
      <w:r>
        <w:t>litareture</w:t>
      </w:r>
      <w:proofErr w:type="spellEnd"/>
      <w:r>
        <w:t xml:space="preserve"> by moving away from static reports and embrace slide decks (which are normative in the field). To this, we would add that modern technology more easily enables dynamic tools that flexibly adapt to the need of the audience (e.g., generative AI). </w:t>
      </w:r>
    </w:p>
  </w:comment>
  <w:comment w:id="4" w:author="Dr Christopher Castille" w:date="2025-06-25T11:54:00Z" w:initials="DCC">
    <w:p w14:paraId="0EEDD3C7" w14:textId="2396E692" w:rsidR="006B7104" w:rsidRDefault="006B7104">
      <w:pPr>
        <w:pStyle w:val="CommentText"/>
      </w:pPr>
      <w:r>
        <w:rPr>
          <w:rStyle w:val="CommentReference"/>
        </w:rPr>
        <w:annotationRef/>
      </w:r>
      <w:r>
        <w:t xml:space="preserve">Cite ‘self-persuasion’ literature here. If audience members are prompted to probe and test their assumptions more effectively, they may be more inclined to buy into the results of the analysis. </w:t>
      </w:r>
    </w:p>
  </w:comment>
  <w:comment w:id="3" w:author="Christopher Castille" w:date="2024-01-08T08:33:00Z" w:initials="CC">
    <w:p w14:paraId="2F9CA3DA" w14:textId="64D58FEC" w:rsidR="00595011" w:rsidRDefault="00595011" w:rsidP="000E5980">
      <w:r>
        <w:rPr>
          <w:rStyle w:val="CommentReference"/>
        </w:rPr>
        <w:annotationRef/>
      </w:r>
      <w:r>
        <w:rPr>
          <w:color w:val="000000"/>
          <w:sz w:val="20"/>
          <w:szCs w:val="20"/>
        </w:rPr>
        <w:t>This can probably be condensed.</w:t>
      </w:r>
    </w:p>
  </w:comment>
  <w:comment w:id="5" w:author="Christopher Castille" w:date="2024-01-08T08:30:00Z" w:initials="CC">
    <w:p w14:paraId="7B909D62" w14:textId="141A1996" w:rsidR="00595011" w:rsidRDefault="00595011" w:rsidP="00046B3D">
      <w:r>
        <w:rPr>
          <w:rStyle w:val="CommentReference"/>
        </w:rPr>
        <w:annotationRef/>
      </w:r>
      <w:r>
        <w:rPr>
          <w:color w:val="000000"/>
          <w:sz w:val="20"/>
          <w:szCs w:val="20"/>
        </w:rPr>
        <w:t>This section could be briefly alluded to in our document by saying in a footnote: “We also built the app to highlight the value of training and development interventions, such as return on leadership development investment and goal setting.”</w:t>
      </w:r>
    </w:p>
  </w:comment>
  <w:comment w:id="6" w:author="Christopher Castille" w:date="2024-01-08T08:31:00Z" w:initials="CC">
    <w:p w14:paraId="3D4B7425" w14:textId="77777777" w:rsidR="00595011" w:rsidRDefault="00595011" w:rsidP="00F82152">
      <w:r>
        <w:rPr>
          <w:rStyle w:val="CommentReference"/>
        </w:rPr>
        <w:annotationRef/>
      </w:r>
      <w:r>
        <w:rPr>
          <w:color w:val="000000"/>
          <w:sz w:val="20"/>
          <w:szCs w:val="20"/>
        </w:rPr>
        <w:t xml:space="preserve">That saves us ~700 words. </w:t>
      </w:r>
    </w:p>
  </w:comment>
  <w:comment w:id="7" w:author="Christopher Castille" w:date="2024-01-08T08:35:00Z" w:initials="CC">
    <w:p w14:paraId="7BEADE09" w14:textId="77777777" w:rsidR="00595011" w:rsidRDefault="00595011" w:rsidP="00245C37">
      <w:r>
        <w:rPr>
          <w:rStyle w:val="CommentReference"/>
        </w:rPr>
        <w:annotationRef/>
      </w:r>
      <w:r>
        <w:rPr>
          <w:color w:val="000000"/>
          <w:sz w:val="20"/>
          <w:szCs w:val="20"/>
        </w:rPr>
        <w:t xml:space="preserve">If needed, we could probably condense or cut much of the discussion. </w:t>
      </w:r>
    </w:p>
    <w:p w14:paraId="7C54FD5F" w14:textId="77777777" w:rsidR="00595011" w:rsidRDefault="00595011" w:rsidP="00245C37"/>
    <w:p w14:paraId="2703A4FB" w14:textId="77777777" w:rsidR="00595011" w:rsidRDefault="00595011" w:rsidP="00245C37">
      <w:r>
        <w:rPr>
          <w:color w:val="000000"/>
          <w:sz w:val="20"/>
          <w:szCs w:val="20"/>
        </w:rPr>
        <w:t xml:space="preserve">Any discussion of training or employee development can be omitted from this draft. </w:t>
      </w:r>
    </w:p>
  </w:comment>
  <w:comment w:id="8" w:author="Dr Christopher Castille" w:date="2025-06-25T13:04:00Z" w:initials="DCC">
    <w:p w14:paraId="701CB425" w14:textId="200AAA15" w:rsidR="003F1287" w:rsidRDefault="003F1287">
      <w:pPr>
        <w:pStyle w:val="CommentText"/>
      </w:pPr>
      <w:r>
        <w:rPr>
          <w:rStyle w:val="CommentReference"/>
        </w:rPr>
        <w:annotationRef/>
      </w:r>
      <w:r>
        <w:t>Note the BESD.</w:t>
      </w:r>
    </w:p>
  </w:comment>
  <w:comment w:id="9" w:author="Dr Christopher Castille" w:date="2025-05-12T08:17:00Z" w:initials="DCC">
    <w:p w14:paraId="63F2F234" w14:textId="7A429CE3" w:rsidR="006E4740" w:rsidRDefault="006E4740">
      <w:pPr>
        <w:pStyle w:val="CommentText"/>
      </w:pPr>
      <w:r>
        <w:rPr>
          <w:rStyle w:val="CommentReference"/>
        </w:rPr>
        <w:annotationRef/>
      </w:r>
    </w:p>
  </w:comment>
  <w:comment w:id="10" w:author="Dr Christopher Castille" w:date="2025-06-25T11:57:00Z" w:initials="DCC">
    <w:p w14:paraId="6F183CBD" w14:textId="55BABBD6" w:rsidR="006B7104" w:rsidRDefault="006B7104">
      <w:pPr>
        <w:pStyle w:val="CommentText"/>
      </w:pPr>
      <w:r>
        <w:rPr>
          <w:rStyle w:val="CommentReference"/>
        </w:rPr>
        <w:annotationRef/>
      </w:r>
      <w:r>
        <w:t xml:space="preserve">We now have this. </w:t>
      </w:r>
    </w:p>
  </w:comment>
  <w:comment w:id="11" w:author="Dr Christopher Castille" w:date="2025-05-12T08:17:00Z" w:initials="DCC">
    <w:p w14:paraId="146B681E" w14:textId="77860144" w:rsidR="006E4740" w:rsidRDefault="006E4740">
      <w:pPr>
        <w:pStyle w:val="CommentText"/>
      </w:pPr>
      <w:r>
        <w:rPr>
          <w:rStyle w:val="CommentReference"/>
        </w:rPr>
        <w:annotationRef/>
      </w:r>
    </w:p>
  </w:comment>
  <w:comment w:id="12" w:author="Dr Christopher Castille" w:date="2025-06-25T11:57:00Z" w:initials="DCC">
    <w:p w14:paraId="77C4E6F1" w14:textId="3D10920A" w:rsidR="006B7104" w:rsidRDefault="006B7104">
      <w:pPr>
        <w:pStyle w:val="CommentText"/>
      </w:pPr>
      <w:r>
        <w:rPr>
          <w:rStyle w:val="CommentReference"/>
        </w:rPr>
        <w:annotationRef/>
      </w:r>
      <w:r>
        <w:t xml:space="preserve">We now have this. </w:t>
      </w:r>
    </w:p>
  </w:comment>
  <w:comment w:id="13" w:author="Dr Christopher Castille" w:date="2025-05-12T08:17:00Z" w:initials="DCC">
    <w:p w14:paraId="3840310E" w14:textId="11A6C7A5" w:rsidR="006E4740" w:rsidRDefault="006E4740">
      <w:pPr>
        <w:pStyle w:val="CommentText"/>
      </w:pPr>
      <w:r>
        <w:rPr>
          <w:rStyle w:val="CommentReference"/>
        </w:rPr>
        <w:annotationRef/>
      </w:r>
    </w:p>
  </w:comment>
  <w:comment w:id="14" w:author="Dr Christopher Castille" w:date="2025-05-12T14:14:00Z" w:initials="DCC">
    <w:p w14:paraId="5D51157A" w14:textId="51A2FB70" w:rsidR="00B34CF8" w:rsidRDefault="00B34CF8">
      <w:pPr>
        <w:pStyle w:val="CommentText"/>
      </w:pPr>
      <w:r>
        <w:rPr>
          <w:rStyle w:val="CommentReference"/>
        </w:rPr>
        <w:annotationRef/>
      </w:r>
      <w:r>
        <w:t>Add the power law feature.</w:t>
      </w:r>
    </w:p>
  </w:comment>
  <w:comment w:id="15" w:author="Dr Christopher Castille" w:date="2025-06-25T11:57:00Z" w:initials="DCC">
    <w:p w14:paraId="3FBF62DF" w14:textId="5EE9605F" w:rsidR="006B7104" w:rsidRDefault="006B7104">
      <w:pPr>
        <w:pStyle w:val="CommentText"/>
      </w:pPr>
      <w:r>
        <w:rPr>
          <w:rStyle w:val="CommentReference"/>
        </w:rPr>
        <w:annotationRef/>
      </w:r>
      <w:r>
        <w:t xml:space="preserve">Done. </w:t>
      </w:r>
    </w:p>
  </w:comment>
  <w:comment w:id="16" w:author="Dr Christopher Castille" w:date="2025-06-25T11:58:00Z" w:initials="DCC">
    <w:p w14:paraId="2D4A1AF5" w14:textId="25B52876" w:rsidR="006B7104" w:rsidRDefault="006B7104">
      <w:pPr>
        <w:pStyle w:val="CommentText"/>
      </w:pPr>
      <w:r>
        <w:rPr>
          <w:rStyle w:val="CommentReference"/>
        </w:rPr>
        <w:annotationRef/>
      </w:r>
      <w:r>
        <w:t xml:space="preserve">Replace the figures. </w:t>
      </w:r>
    </w:p>
  </w:comment>
  <w:comment w:id="17" w:author="Dr Christopher Castille" w:date="2025-06-25T11:58:00Z" w:initials="DCC">
    <w:p w14:paraId="31DDEDDE" w14:textId="7DC6A322" w:rsidR="006B7104" w:rsidRDefault="006B7104">
      <w:pPr>
        <w:pStyle w:val="CommentText"/>
      </w:pPr>
      <w:r>
        <w:rPr>
          <w:rStyle w:val="CommentReference"/>
        </w:rPr>
        <w:annotationRef/>
      </w:r>
      <w:r>
        <w:t xml:space="preserve">We need to incorporate the output from that 1998 paper. Tables don’t matter but we need to make the text output available for users. </w:t>
      </w:r>
    </w:p>
  </w:comment>
  <w:comment w:id="18" w:author="Christopher Castille" w:date="2024-01-08T08:33:00Z" w:initials="CC">
    <w:p w14:paraId="52D12E16" w14:textId="77777777" w:rsidR="00595011" w:rsidRDefault="00595011" w:rsidP="00A514D1">
      <w:r>
        <w:rPr>
          <w:rStyle w:val="CommentReference"/>
        </w:rPr>
        <w:annotationRef/>
      </w:r>
      <w:r>
        <w:rPr>
          <w:color w:val="000000"/>
          <w:sz w:val="20"/>
          <w:szCs w:val="20"/>
        </w:rPr>
        <w:t xml:space="preserve">Cut figures 4 on. </w:t>
      </w:r>
    </w:p>
  </w:comment>
  <w:comment w:id="19" w:author="Dr Christopher Castille" w:date="2025-06-25T11:59:00Z" w:initials="DCC">
    <w:p w14:paraId="275898D4" w14:textId="64152808" w:rsidR="007D20CA" w:rsidRDefault="007D20CA">
      <w:pPr>
        <w:pStyle w:val="CommentText"/>
      </w:pPr>
      <w:r>
        <w:rPr>
          <w:rStyle w:val="CommentReference"/>
        </w:rPr>
        <w:annotationRef/>
      </w:r>
      <w:r>
        <w:t xml:space="preserve">Make sure we are using the BESD.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18450B" w15:done="0"/>
  <w15:commentEx w15:paraId="48544092" w15:done="0"/>
  <w15:commentEx w15:paraId="392C1E67" w15:done="0"/>
  <w15:commentEx w15:paraId="0EEDD3C7" w15:done="0"/>
  <w15:commentEx w15:paraId="2F9CA3DA" w15:done="0"/>
  <w15:commentEx w15:paraId="7B909D62" w15:done="0"/>
  <w15:commentEx w15:paraId="3D4B7425" w15:paraIdParent="7B909D62" w15:done="0"/>
  <w15:commentEx w15:paraId="2703A4FB" w15:done="0"/>
  <w15:commentEx w15:paraId="701CB425" w15:done="0"/>
  <w15:commentEx w15:paraId="63F2F234" w15:done="0"/>
  <w15:commentEx w15:paraId="6F183CBD" w15:paraIdParent="63F2F234" w15:done="0"/>
  <w15:commentEx w15:paraId="146B681E" w15:done="0"/>
  <w15:commentEx w15:paraId="77C4E6F1" w15:paraIdParent="146B681E" w15:done="0"/>
  <w15:commentEx w15:paraId="3840310E" w15:done="0"/>
  <w15:commentEx w15:paraId="5D51157A" w15:done="0"/>
  <w15:commentEx w15:paraId="3FBF62DF" w15:paraIdParent="5D51157A" w15:done="0"/>
  <w15:commentEx w15:paraId="2D4A1AF5" w15:done="0"/>
  <w15:commentEx w15:paraId="31DDEDDE" w15:done="0"/>
  <w15:commentEx w15:paraId="52D12E16" w15:done="0"/>
  <w15:commentEx w15:paraId="27589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463267" w16cex:dateUtc="2024-01-08T14:35:00Z"/>
  <w16cex:commentExtensible w16cex:durableId="2946320B" w16cex:dateUtc="2024-01-08T14:34:00Z"/>
  <w16cex:commentExtensible w16cex:durableId="109B4335" w16cex:dateUtc="2025-06-25T16:52:00Z"/>
  <w16cex:commentExtensible w16cex:durableId="39A5264A" w16cex:dateUtc="2025-06-25T16:54:00Z"/>
  <w16cex:commentExtensible w16cex:durableId="294631EB" w16cex:dateUtc="2024-01-08T14:33:00Z"/>
  <w16cex:commentExtensible w16cex:durableId="2946312E" w16cex:dateUtc="2024-01-08T14:30:00Z"/>
  <w16cex:commentExtensible w16cex:durableId="2946314B" w16cex:dateUtc="2024-01-08T14:31:00Z"/>
  <w16cex:commentExtensible w16cex:durableId="29463242" w16cex:dateUtc="2024-01-08T14:35:00Z"/>
  <w16cex:commentExtensible w16cex:durableId="3FE01FCA" w16cex:dateUtc="2025-06-25T18:04:00Z"/>
  <w16cex:commentExtensible w16cex:durableId="0FCB32C1" w16cex:dateUtc="2025-05-12T13:17:00Z"/>
  <w16cex:commentExtensible w16cex:durableId="72FF34E3" w16cex:dateUtc="2025-06-25T16:57:00Z"/>
  <w16cex:commentExtensible w16cex:durableId="4ABF9CEC" w16cex:dateUtc="2025-05-12T13:17:00Z"/>
  <w16cex:commentExtensible w16cex:durableId="6E31190E" w16cex:dateUtc="2025-06-25T16:57:00Z"/>
  <w16cex:commentExtensible w16cex:durableId="401550AA" w16cex:dateUtc="2025-05-12T13:17:00Z"/>
  <w16cex:commentExtensible w16cex:durableId="75BC4352" w16cex:dateUtc="2025-05-12T19:14:00Z"/>
  <w16cex:commentExtensible w16cex:durableId="57ED5676" w16cex:dateUtc="2025-06-25T16:57:00Z"/>
  <w16cex:commentExtensible w16cex:durableId="4E9D55D5" w16cex:dateUtc="2025-06-25T16:58:00Z"/>
  <w16cex:commentExtensible w16cex:durableId="256CC91D" w16cex:dateUtc="2025-06-25T16:58:00Z"/>
  <w16cex:commentExtensible w16cex:durableId="294631C9" w16cex:dateUtc="2024-01-08T14:33:00Z"/>
  <w16cex:commentExtensible w16cex:durableId="134FB3EE" w16cex:dateUtc="2025-06-25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18450B" w16cid:durableId="29463267"/>
  <w16cid:commentId w16cid:paraId="48544092" w16cid:durableId="2946320B"/>
  <w16cid:commentId w16cid:paraId="392C1E67" w16cid:durableId="109B4335"/>
  <w16cid:commentId w16cid:paraId="0EEDD3C7" w16cid:durableId="39A5264A"/>
  <w16cid:commentId w16cid:paraId="2F9CA3DA" w16cid:durableId="294631EB"/>
  <w16cid:commentId w16cid:paraId="7B909D62" w16cid:durableId="2946312E"/>
  <w16cid:commentId w16cid:paraId="3D4B7425" w16cid:durableId="2946314B"/>
  <w16cid:commentId w16cid:paraId="2703A4FB" w16cid:durableId="29463242"/>
  <w16cid:commentId w16cid:paraId="701CB425" w16cid:durableId="3FE01FCA"/>
  <w16cid:commentId w16cid:paraId="63F2F234" w16cid:durableId="0FCB32C1"/>
  <w16cid:commentId w16cid:paraId="6F183CBD" w16cid:durableId="72FF34E3"/>
  <w16cid:commentId w16cid:paraId="146B681E" w16cid:durableId="4ABF9CEC"/>
  <w16cid:commentId w16cid:paraId="77C4E6F1" w16cid:durableId="6E31190E"/>
  <w16cid:commentId w16cid:paraId="3840310E" w16cid:durableId="401550AA"/>
  <w16cid:commentId w16cid:paraId="5D51157A" w16cid:durableId="75BC4352"/>
  <w16cid:commentId w16cid:paraId="3FBF62DF" w16cid:durableId="57ED5676"/>
  <w16cid:commentId w16cid:paraId="2D4A1AF5" w16cid:durableId="4E9D55D5"/>
  <w16cid:commentId w16cid:paraId="31DDEDDE" w16cid:durableId="256CC91D"/>
  <w16cid:commentId w16cid:paraId="52D12E16" w16cid:durableId="294631C9"/>
  <w16cid:commentId w16cid:paraId="275898D4" w16cid:durableId="134FB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DD1D3" w14:textId="77777777" w:rsidR="007A1CC2" w:rsidRDefault="007A1CC2">
      <w:pPr>
        <w:spacing w:line="240" w:lineRule="auto"/>
      </w:pPr>
      <w:r>
        <w:separator/>
      </w:r>
    </w:p>
  </w:endnote>
  <w:endnote w:type="continuationSeparator" w:id="0">
    <w:p w14:paraId="3295C3BE" w14:textId="77777777" w:rsidR="007A1CC2" w:rsidRDefault="007A1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1D8ED" w14:textId="77777777" w:rsidR="007A1CC2" w:rsidRDefault="007A1CC2">
      <w:pPr>
        <w:spacing w:line="240" w:lineRule="auto"/>
      </w:pPr>
      <w:r>
        <w:separator/>
      </w:r>
    </w:p>
  </w:footnote>
  <w:footnote w:type="continuationSeparator" w:id="0">
    <w:p w14:paraId="0B26FA37" w14:textId="77777777" w:rsidR="007A1CC2" w:rsidRDefault="007A1CC2">
      <w:pPr>
        <w:spacing w:line="240" w:lineRule="auto"/>
      </w:pPr>
      <w:r>
        <w:continuationSeparator/>
      </w:r>
    </w:p>
  </w:footnote>
  <w:footnote w:id="1">
    <w:p w14:paraId="67767469" w14:textId="4ABCC77C" w:rsidR="00747A1D" w:rsidRDefault="00000000">
      <w:pPr>
        <w:spacing w:line="240" w:lineRule="auto"/>
        <w:rPr>
          <w:rFonts w:ascii="Times New Roman" w:eastAsia="Times New Roman" w:hAnsi="Times New Roman" w:cs="Times New Roman"/>
          <w:sz w:val="20"/>
          <w:szCs w:val="20"/>
        </w:rPr>
      </w:pPr>
      <w:r w:rsidRPr="00341310">
        <w:rPr>
          <w:rFonts w:ascii="Times New Roman" w:hAnsi="Times New Roman" w:cs="Times New Roman"/>
          <w:vertAlign w:val="superscript"/>
        </w:rPr>
        <w:footnoteRef/>
      </w:r>
      <w:r w:rsidRPr="0034131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Inputs for selection ratio and new procedure cost per applicant were not found in Latham and Whyte but were derived from the cost portion of the utility equation. Values for validity were chosen to </w:t>
      </w:r>
      <w:r w:rsidR="00341310">
        <w:rPr>
          <w:rFonts w:ascii="Times New Roman" w:eastAsia="Times New Roman" w:hAnsi="Times New Roman" w:cs="Times New Roman"/>
          <w:sz w:val="20"/>
          <w:szCs w:val="20"/>
        </w:rPr>
        <w:t>reflect real world examples more closely</w:t>
      </w:r>
      <w:r>
        <w:rPr>
          <w:rFonts w:ascii="Times New Roman" w:eastAsia="Times New Roman" w:hAnsi="Times New Roman" w:cs="Times New Roman"/>
          <w:sz w:val="20"/>
          <w:szCs w:val="20"/>
        </w:rPr>
        <w:t>, and the difference of .4 does reflect the value found in Latham and Whyte. The value of 200 for old procedure cost per applicant was selected in order to obtain a difference close to 100, which is within the range described by Sturman (2000).</w:t>
      </w:r>
    </w:p>
  </w:footnote>
  <w:footnote w:id="2">
    <w:p w14:paraId="465CC00D" w14:textId="7F8FAAA6" w:rsidR="00747A1D" w:rsidRDefault="00000000">
      <w:pPr>
        <w:spacing w:line="240" w:lineRule="auto"/>
        <w:rPr>
          <w:sz w:val="18"/>
          <w:szCs w:val="18"/>
        </w:rPr>
      </w:pPr>
      <w:r w:rsidRPr="00341310">
        <w:rPr>
          <w:rFonts w:ascii="Times New Roman" w:hAnsi="Times New Roman" w:cs="Times New Roman"/>
          <w:vertAlign w:val="superscript"/>
        </w:rPr>
        <w:footnoteRef/>
      </w:r>
      <w:r w:rsidRPr="00341310">
        <w:rPr>
          <w:rFonts w:ascii="Times New Roman" w:hAnsi="Times New Roman" w:cs="Times New Roman"/>
          <w:sz w:val="20"/>
          <w:szCs w:val="20"/>
        </w:rPr>
        <w:t xml:space="preserve"> </w:t>
      </w:r>
      <w:r>
        <w:rPr>
          <w:rFonts w:ascii="Times New Roman" w:eastAsia="Times New Roman" w:hAnsi="Times New Roman" w:cs="Times New Roman"/>
        </w:rPr>
        <w:t>These values are from the upper level leader estimates. Cost per employee is not directly provided by Avolio et al. but has been derived from the total utility results.</w:t>
      </w:r>
    </w:p>
  </w:footnote>
  <w:footnote w:id="3">
    <w:p w14:paraId="6F409FBE" w14:textId="77777777" w:rsidR="00747A1D" w:rsidRDefault="00000000">
      <w:pPr>
        <w:spacing w:line="240" w:lineRule="auto"/>
        <w:rPr>
          <w:rFonts w:ascii="Times New Roman" w:eastAsia="Times New Roman" w:hAnsi="Times New Roman" w:cs="Times New Roman"/>
          <w:sz w:val="20"/>
          <w:szCs w:val="20"/>
        </w:rPr>
      </w:pPr>
      <w:r w:rsidRPr="00341310">
        <w:rPr>
          <w:rFonts w:ascii="Times New Roman" w:hAnsi="Times New Roman" w:cs="Times New Roman"/>
          <w:vertAlign w:val="superscript"/>
        </w:rPr>
        <w:footnoteRef/>
      </w:r>
      <w:r>
        <w:rPr>
          <w:rFonts w:ascii="Times New Roman" w:eastAsia="Times New Roman" w:hAnsi="Times New Roman" w:cs="Times New Roman"/>
          <w:sz w:val="20"/>
          <w:szCs w:val="20"/>
        </w:rPr>
        <w:t>After economic adjustments are applied, the cost of the Avolio case wipes out potential gains, highlighting Sturman’s (2000) conclusion that HR interventions are context dependent.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887A9" w14:textId="77777777" w:rsidR="00747A1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UA+ WEB APP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341310">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opher Castille">
    <w15:presenceInfo w15:providerId="None" w15:userId="Christopher Castille"/>
  </w15:person>
  <w15:person w15:author="Dr Christopher Castille">
    <w15:presenceInfo w15:providerId="None" w15:userId="Dr Christopher Casti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A1D"/>
    <w:rsid w:val="00064F3D"/>
    <w:rsid w:val="001D4D22"/>
    <w:rsid w:val="00206017"/>
    <w:rsid w:val="00341310"/>
    <w:rsid w:val="003F1287"/>
    <w:rsid w:val="00442A9B"/>
    <w:rsid w:val="00595011"/>
    <w:rsid w:val="006B7104"/>
    <w:rsid w:val="006E4740"/>
    <w:rsid w:val="00747A1D"/>
    <w:rsid w:val="00755A4E"/>
    <w:rsid w:val="007A1CC2"/>
    <w:rsid w:val="007D20CA"/>
    <w:rsid w:val="0094526A"/>
    <w:rsid w:val="00B34CF8"/>
    <w:rsid w:val="00B763A3"/>
    <w:rsid w:val="00C51DD6"/>
    <w:rsid w:val="00C57390"/>
    <w:rsid w:val="00F40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6E10"/>
  <w15:docId w15:val="{96E81B59-0F77-FC4D-A043-E01D76ADE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595011"/>
    <w:rPr>
      <w:sz w:val="16"/>
      <w:szCs w:val="16"/>
    </w:rPr>
  </w:style>
  <w:style w:type="paragraph" w:styleId="CommentText">
    <w:name w:val="annotation text"/>
    <w:basedOn w:val="Normal"/>
    <w:link w:val="CommentTextChar"/>
    <w:uiPriority w:val="99"/>
    <w:semiHidden/>
    <w:unhideWhenUsed/>
    <w:rsid w:val="00595011"/>
    <w:pPr>
      <w:spacing w:line="240" w:lineRule="auto"/>
    </w:pPr>
    <w:rPr>
      <w:sz w:val="20"/>
      <w:szCs w:val="20"/>
    </w:rPr>
  </w:style>
  <w:style w:type="character" w:customStyle="1" w:styleId="CommentTextChar">
    <w:name w:val="Comment Text Char"/>
    <w:basedOn w:val="DefaultParagraphFont"/>
    <w:link w:val="CommentText"/>
    <w:uiPriority w:val="99"/>
    <w:semiHidden/>
    <w:rsid w:val="00595011"/>
    <w:rPr>
      <w:sz w:val="20"/>
      <w:szCs w:val="20"/>
    </w:rPr>
  </w:style>
  <w:style w:type="paragraph" w:styleId="CommentSubject">
    <w:name w:val="annotation subject"/>
    <w:basedOn w:val="CommentText"/>
    <w:next w:val="CommentText"/>
    <w:link w:val="CommentSubjectChar"/>
    <w:uiPriority w:val="99"/>
    <w:semiHidden/>
    <w:unhideWhenUsed/>
    <w:rsid w:val="00595011"/>
    <w:rPr>
      <w:b/>
      <w:bCs/>
    </w:rPr>
  </w:style>
  <w:style w:type="character" w:customStyle="1" w:styleId="CommentSubjectChar">
    <w:name w:val="Comment Subject Char"/>
    <w:basedOn w:val="CommentTextChar"/>
    <w:link w:val="CommentSubject"/>
    <w:uiPriority w:val="99"/>
    <w:semiHidden/>
    <w:rsid w:val="00595011"/>
    <w:rPr>
      <w:b/>
      <w:bCs/>
      <w:sz w:val="20"/>
      <w:szCs w:val="20"/>
    </w:rPr>
  </w:style>
  <w:style w:type="paragraph" w:styleId="Header">
    <w:name w:val="header"/>
    <w:basedOn w:val="Normal"/>
    <w:link w:val="HeaderChar"/>
    <w:uiPriority w:val="99"/>
    <w:unhideWhenUsed/>
    <w:rsid w:val="006B7104"/>
    <w:pPr>
      <w:tabs>
        <w:tab w:val="center" w:pos="4680"/>
        <w:tab w:val="right" w:pos="9360"/>
      </w:tabs>
      <w:spacing w:line="240" w:lineRule="auto"/>
    </w:pPr>
  </w:style>
  <w:style w:type="character" w:customStyle="1" w:styleId="HeaderChar">
    <w:name w:val="Header Char"/>
    <w:basedOn w:val="DefaultParagraphFont"/>
    <w:link w:val="Header"/>
    <w:uiPriority w:val="99"/>
    <w:rsid w:val="006B7104"/>
  </w:style>
  <w:style w:type="paragraph" w:styleId="Footer">
    <w:name w:val="footer"/>
    <w:basedOn w:val="Normal"/>
    <w:link w:val="FooterChar"/>
    <w:uiPriority w:val="99"/>
    <w:unhideWhenUsed/>
    <w:rsid w:val="006B7104"/>
    <w:pPr>
      <w:tabs>
        <w:tab w:val="center" w:pos="4680"/>
        <w:tab w:val="right" w:pos="9360"/>
      </w:tabs>
      <w:spacing w:line="240" w:lineRule="auto"/>
    </w:pPr>
  </w:style>
  <w:style w:type="character" w:customStyle="1" w:styleId="FooterChar">
    <w:name w:val="Footer Char"/>
    <w:basedOn w:val="DefaultParagraphFont"/>
    <w:link w:val="Footer"/>
    <w:uiPriority w:val="99"/>
    <w:rsid w:val="006B7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437929">
      <w:bodyDiv w:val="1"/>
      <w:marLeft w:val="0"/>
      <w:marRight w:val="0"/>
      <w:marTop w:val="0"/>
      <w:marBottom w:val="0"/>
      <w:divBdr>
        <w:top w:val="none" w:sz="0" w:space="0" w:color="auto"/>
        <w:left w:val="none" w:sz="0" w:space="0" w:color="auto"/>
        <w:bottom w:val="none" w:sz="0" w:space="0" w:color="auto"/>
        <w:right w:val="none" w:sz="0" w:space="0" w:color="auto"/>
      </w:divBdr>
    </w:div>
    <w:div w:id="1079181582">
      <w:bodyDiv w:val="1"/>
      <w:marLeft w:val="0"/>
      <w:marRight w:val="0"/>
      <w:marTop w:val="0"/>
      <w:marBottom w:val="0"/>
      <w:divBdr>
        <w:top w:val="none" w:sz="0" w:space="0" w:color="auto"/>
        <w:left w:val="none" w:sz="0" w:space="0" w:color="auto"/>
        <w:bottom w:val="none" w:sz="0" w:space="0" w:color="auto"/>
        <w:right w:val="none" w:sz="0" w:space="0" w:color="auto"/>
      </w:divBdr>
    </w:div>
    <w:div w:id="205634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gtools.shinyapps.io/IIP3/" TargetMode="External"/><Relationship Id="rId18" Type="http://schemas.openxmlformats.org/officeDocument/2006/relationships/hyperlink" Target="https://doi.org/10.1037/0021-9010.75.4.410" TargetMode="External"/><Relationship Id="rId26" Type="http://schemas.openxmlformats.org/officeDocument/2006/relationships/hyperlink" Target="https://psycnet.apa.org/doi/10.1037/0021-9010.82.1.104" TargetMode="External"/><Relationship Id="rId39" Type="http://schemas.openxmlformats.org/officeDocument/2006/relationships/hyperlink" Target="https://doi.org/10.1002/npr.10052" TargetMode="External"/><Relationship Id="rId21" Type="http://schemas.openxmlformats.org/officeDocument/2006/relationships/hyperlink" Target="https://doi.org/10.1111/j.1744-6570.1997.tb00706.x" TargetMode="External"/><Relationship Id="rId34" Type="http://schemas.openxmlformats.org/officeDocument/2006/relationships/hyperlink" Target="https://doi.org/10.1017/iop.2020.19" TargetMode="External"/><Relationship Id="rId42" Type="http://schemas.openxmlformats.org/officeDocument/2006/relationships/hyperlink" Target="https://doi.org/10.1111/peps.12578" TargetMode="External"/><Relationship Id="rId47" Type="http://schemas.openxmlformats.org/officeDocument/2006/relationships/image" Target="media/image4.png"/><Relationship Id="rId50" Type="http://schemas.openxmlformats.org/officeDocument/2006/relationships/image" Target="media/image7.png"/><Relationship Id="rId7" Type="http://schemas.microsoft.com/office/2011/relationships/commentsExtended" Target="commentsExtended.xml"/><Relationship Id="rId2" Type="http://schemas.openxmlformats.org/officeDocument/2006/relationships/settings" Target="settings.xml"/><Relationship Id="rId16" Type="http://schemas.openxmlformats.org/officeDocument/2006/relationships/hyperlink" Target="https://doi.org/10.1037/a0034745" TargetMode="External"/><Relationship Id="rId29" Type="http://schemas.openxmlformats.org/officeDocument/2006/relationships/hyperlink" Target="https://doi.org/10.1111/j.1744-6570.1994.tb02408.x" TargetMode="External"/><Relationship Id="rId11" Type="http://schemas.openxmlformats.org/officeDocument/2006/relationships/header" Target="header1.xml"/><Relationship Id="rId24" Type="http://schemas.openxmlformats.org/officeDocument/2006/relationships/hyperlink" Target="https://doi.org/10.1027/1866-5888/a000263" TargetMode="External"/><Relationship Id="rId32" Type="http://schemas.openxmlformats.org/officeDocument/2006/relationships/hyperlink" Target="https://doi.org/10.1080/1359432X.2019.1646728" TargetMode="External"/><Relationship Id="rId37" Type="http://schemas.openxmlformats.org/officeDocument/2006/relationships/hyperlink" Target="https://doi.org/10.1177/0149206318796934" TargetMode="External"/><Relationship Id="rId40" Type="http://schemas.openxmlformats.org/officeDocument/2006/relationships/hyperlink" Target="https://doi.org/10.1177/014920630002600206" TargetMode="External"/><Relationship Id="rId45" Type="http://schemas.openxmlformats.org/officeDocument/2006/relationships/image" Target="media/image2.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hyperlink" Target="https://uaplus.shinyapps.io/UAPlus" TargetMode="External"/><Relationship Id="rId19" Type="http://schemas.openxmlformats.org/officeDocument/2006/relationships/hyperlink" Target="https://doi.org/10.1177/01492063231155982" TargetMode="External"/><Relationship Id="rId31" Type="http://schemas.openxmlformats.org/officeDocument/2006/relationships/hyperlink" Target="https://doi.org/10.31234/osf.io/f7mvz" TargetMode="External"/><Relationship Id="rId44" Type="http://schemas.openxmlformats.org/officeDocument/2006/relationships/image" Target="media/image1.png"/><Relationship Id="rId52"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hyperlink" Target="https://psycnet.apa.org/doi/10.1016/j.leaqua.2010.06.006" TargetMode="External"/><Relationship Id="rId22" Type="http://schemas.openxmlformats.org/officeDocument/2006/relationships/hyperlink" Target="https://doi.org/10.25035/pad.2017.001" TargetMode="External"/><Relationship Id="rId27" Type="http://schemas.openxmlformats.org/officeDocument/2006/relationships/hyperlink" Target="https://doi.org/10.1111/j.1754-9434.2008.00058.x" TargetMode="External"/><Relationship Id="rId30" Type="http://schemas.openxmlformats.org/officeDocument/2006/relationships/hyperlink" Target="https://doi.org/10.1007/s10869-004-0550-x" TargetMode="External"/><Relationship Id="rId35" Type="http://schemas.openxmlformats.org/officeDocument/2006/relationships/hyperlink" Target="https://doi.org/10.4324/9781003015000" TargetMode="External"/><Relationship Id="rId43" Type="http://schemas.openxmlformats.org/officeDocument/2006/relationships/hyperlink" Target="https://doi.org/10.1111/j.1744-6570.1997.tb00705.x" TargetMode="External"/><Relationship Id="rId48" Type="http://schemas.openxmlformats.org/officeDocument/2006/relationships/image" Target="media/image5.png"/><Relationship Id="rId8" Type="http://schemas.microsoft.com/office/2016/09/relationships/commentsIds" Target="commentsIds.xm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uaplus.shinyapps.io/UAPlus/" TargetMode="External"/><Relationship Id="rId17" Type="http://schemas.openxmlformats.org/officeDocument/2006/relationships/hyperlink" Target="https://psycnet.apa.org/doi/10.1037/0021-9010.83.1.84" TargetMode="External"/><Relationship Id="rId25" Type="http://schemas.openxmlformats.org/officeDocument/2006/relationships/hyperlink" Target="https://doi.org/10.1108/S0742-730120230000041004" TargetMode="External"/><Relationship Id="rId33" Type="http://schemas.openxmlformats.org/officeDocument/2006/relationships/hyperlink" Target="https://doi.org/10.5465/amle.2002.7373679" TargetMode="External"/><Relationship Id="rId38" Type="http://schemas.openxmlformats.org/officeDocument/2006/relationships/hyperlink" Target="https://doi.org/10.4324/9780203082744" TargetMode="External"/><Relationship Id="rId46" Type="http://schemas.openxmlformats.org/officeDocument/2006/relationships/image" Target="media/image3.png"/><Relationship Id="rId20" Type="http://schemas.openxmlformats.org/officeDocument/2006/relationships/hyperlink" Target="https://doi.org/10.1177/01492063231155982" TargetMode="External"/><Relationship Id="rId41" Type="http://schemas.openxmlformats.org/officeDocument/2006/relationships/hyperlink" Target="https://doi.org/10.1108/eb029072" TargetMode="External"/><Relationship Id="rId1" Type="http://schemas.openxmlformats.org/officeDocument/2006/relationships/styles" Target="styles.xml"/><Relationship Id="rId6" Type="http://schemas.openxmlformats.org/officeDocument/2006/relationships/comments" Target="comments.xml"/><Relationship Id="rId15" Type="http://schemas.openxmlformats.org/officeDocument/2006/relationships/hyperlink" Target="https://ecommons.cornell.edu/items/915c3f50-e857-4a92-93e1-500b93b1b342" TargetMode="External"/><Relationship Id="rId23" Type="http://schemas.openxmlformats.org/officeDocument/2006/relationships/hyperlink" Target="https://doi.org/10.1037/a0023298" TargetMode="External"/><Relationship Id="rId28" Type="http://schemas.openxmlformats.org/officeDocument/2006/relationships/hyperlink" Target="https://doi.org/10.1108/10878570410699825" TargetMode="External"/><Relationship Id="rId36" Type="http://schemas.openxmlformats.org/officeDocument/2006/relationships/hyperlink" Target="https://psycnet.apa.org/doi/10.1093/oxfordhb/9780199928309.001.0001" TargetMode="External"/><Relationship Id="rId4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2338</TotalTime>
  <Pages>26</Pages>
  <Words>5017</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Christopher Castille</cp:lastModifiedBy>
  <cp:revision>7</cp:revision>
  <dcterms:created xsi:type="dcterms:W3CDTF">2023-10-20T16:47:00Z</dcterms:created>
  <dcterms:modified xsi:type="dcterms:W3CDTF">2025-07-14T16:25:00Z</dcterms:modified>
</cp:coreProperties>
</file>