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6169" w14:textId="5182042E" w:rsidR="00DD5A9A" w:rsidRDefault="007123C0" w:rsidP="007123C0">
      <w:pPr>
        <w:spacing w:line="480" w:lineRule="auto"/>
        <w:jc w:val="center"/>
      </w:pPr>
      <w:r>
        <w:t>Supplemental Materials</w:t>
      </w:r>
    </w:p>
    <w:p w14:paraId="03E74656" w14:textId="13A65255" w:rsidR="007123C0" w:rsidRDefault="00AF04D9" w:rsidP="007123C0">
      <w:pPr>
        <w:spacing w:line="480" w:lineRule="auto"/>
        <w:jc w:val="center"/>
      </w:pPr>
      <w:r>
        <w:t>Methodological Details Omitted from Manuscript</w:t>
      </w:r>
    </w:p>
    <w:p w14:paraId="6B0924B5" w14:textId="77777777" w:rsidR="007123C0" w:rsidRDefault="007123C0" w:rsidP="007123C0">
      <w:pPr>
        <w:spacing w:line="480" w:lineRule="auto"/>
        <w:rPr>
          <w:b/>
          <w:bCs/>
        </w:rPr>
      </w:pPr>
      <w:r>
        <w:rPr>
          <w:b/>
          <w:bCs/>
        </w:rPr>
        <w:t>Pilot Study Information</w:t>
      </w:r>
    </w:p>
    <w:p w14:paraId="0513FE22" w14:textId="10994CED" w:rsidR="007123C0" w:rsidRPr="007123C0" w:rsidRDefault="007123C0" w:rsidP="007123C0">
      <w:pPr>
        <w:spacing w:line="480" w:lineRule="auto"/>
        <w:ind w:firstLine="720"/>
      </w:pPr>
      <w:r w:rsidRPr="007123C0">
        <w:t> A pilot study involving 30 participants was conducted to (1) establish goals for the relative condition that were comparable to those of the nominal condition, (2) examine whether the manipulation of feedback valence and FIT was effective, and (3) investigate whether the false monetary bonus was sufficient to motivate respondents to set goals above the minimum goal level option.</w:t>
      </w:r>
    </w:p>
    <w:p w14:paraId="5C6F8173" w14:textId="1C585DD2" w:rsidR="007123C0" w:rsidRDefault="007123C0" w:rsidP="007123C0">
      <w:pPr>
        <w:spacing w:line="480" w:lineRule="auto"/>
        <w:rPr>
          <w:b/>
          <w:bCs/>
        </w:rPr>
      </w:pPr>
      <w:r>
        <w:rPr>
          <w:b/>
          <w:bCs/>
        </w:rPr>
        <w:t>Sampling Methodology</w:t>
      </w:r>
    </w:p>
    <w:p w14:paraId="683BF8A8" w14:textId="1078FF4A" w:rsidR="007123C0" w:rsidRDefault="007123C0" w:rsidP="007123C0">
      <w:pPr>
        <w:spacing w:line="480" w:lineRule="auto"/>
        <w:ind w:firstLine="720"/>
      </w:pPr>
      <w:r w:rsidRPr="007123C0">
        <w:t xml:space="preserve">Participants </w:t>
      </w:r>
      <w:r>
        <w:t xml:space="preserve">were sampled from Amazon’s Mechanical Turk and </w:t>
      </w:r>
      <w:r w:rsidRPr="007123C0">
        <w:t>were screened to include only those who are 18 years of age and above, native English speakers since the task directions and survey was in English, and currently live in the United States or Canada. Participants were compensated $1.60 for completion of the tasks, which were completed along with our Likert measures via a single survey. This amount was derived based on the United States minimum wage of $7.25 per hour and an estimated 12 to 15 minutes to complete the study. An invitation was posted on MTurk, and the survey was open until 800 completed survey responses were obtained without violating the veracity and manipulation checks. For testing hypotheses, we sought to gather responses from a minimum sample size of approximately 100 per condition. This sample size was chosen in drawing on advice offered by Hair, Black, Babin, and Anderson (2010), who noted that when a structural equation model (SEM) has five or fewer latent constructs, at least four items per construct, and items load strongly onto respective constructs, 100 individuals are sufficient.</w:t>
      </w:r>
    </w:p>
    <w:p w14:paraId="0CE663EC" w14:textId="53A4B26B" w:rsidR="007123C0" w:rsidRPr="007123C0" w:rsidRDefault="00C85395" w:rsidP="007123C0">
      <w:pPr>
        <w:spacing w:line="480" w:lineRule="auto"/>
        <w:rPr>
          <w:b/>
          <w:bCs/>
        </w:rPr>
      </w:pPr>
      <w:r>
        <w:rPr>
          <w:b/>
          <w:bCs/>
        </w:rPr>
        <w:t xml:space="preserve">Data </w:t>
      </w:r>
      <w:r w:rsidR="007123C0" w:rsidRPr="007123C0">
        <w:rPr>
          <w:b/>
          <w:bCs/>
        </w:rPr>
        <w:t>Exclusion Rules</w:t>
      </w:r>
    </w:p>
    <w:p w14:paraId="4BCD5B8C" w14:textId="7DC7202E" w:rsidR="007123C0" w:rsidRPr="007123C0" w:rsidRDefault="00C85395" w:rsidP="007123C0">
      <w:pPr>
        <w:spacing w:line="480" w:lineRule="auto"/>
        <w:ind w:firstLine="720"/>
        <w:rPr>
          <w:rFonts w:eastAsiaTheme="minorHAnsi"/>
          <w:color w:val="000000"/>
        </w:rPr>
      </w:pPr>
      <w:r>
        <w:rPr>
          <w:b/>
          <w:bCs/>
          <w:color w:val="000000"/>
        </w:rPr>
        <w:lastRenderedPageBreak/>
        <w:t>Participants.</w:t>
      </w:r>
      <w:r>
        <w:rPr>
          <w:color w:val="000000"/>
        </w:rPr>
        <w:t xml:space="preserve"> </w:t>
      </w:r>
      <w:r w:rsidR="007123C0" w:rsidRPr="007123C0">
        <w:rPr>
          <w:color w:val="000000"/>
        </w:rPr>
        <w:t>For our main analysis, we</w:t>
      </w:r>
      <w:r w:rsidR="007123C0" w:rsidRPr="007123C0">
        <w:rPr>
          <w:color w:val="000000"/>
        </w:rPr>
        <w:t xml:space="preserve"> screened out error outliers that were due to inattentive responding using three approaches (Aguinis, Gottfredson, &amp; Joo, 2013) including (1) veracity-check items (e.g., “I do not speak a word of English;” Meade &amp; Craig, 2012), (2) feedback-recall questions (i.e., individuals were asked to recall what kind of feedback message they received), and (3) consistent-response pattern plus failure to provide RGB codes. Three items were randomly placed throughout the survey as veracity checks for inattentive responders. </w:t>
      </w:r>
      <w:r w:rsidR="007123C0">
        <w:rPr>
          <w:color w:val="000000"/>
        </w:rPr>
        <w:t>Regarding veracity check items, the specific items that we used</w:t>
      </w:r>
      <w:r w:rsidR="007123C0" w:rsidRPr="007123C0">
        <w:rPr>
          <w:color w:val="000000"/>
        </w:rPr>
        <w:t xml:space="preserve"> included “I am answering this questionnaire using an electronic device,” “I have been to every country in the world,” and “I do not understand a word of English.” Previous research has demonstrated that these items effectively flag inattentive participants (Meade &amp; Craig, 2012).</w:t>
      </w:r>
      <w:r w:rsidR="00C42741">
        <w:rPr>
          <w:color w:val="000000"/>
        </w:rPr>
        <w:t xml:space="preserve"> Additionally, a</w:t>
      </w:r>
      <w:r w:rsidR="007123C0" w:rsidRPr="007123C0">
        <w:rPr>
          <w:color w:val="000000"/>
        </w:rPr>
        <w:t xml:space="preserve"> bolded statement was included in the informed consent form to make participants aware that safeguards are embedded in the survey to detect those who make insufficient effort while responding, such as not paying attention to the instructions or not reading the questions. Respondents who incorrectly responded to any one of the three veracity checks received a message indicating that they will be exited from the survey without payment due to inattentive responding. This message was displayed immediately following their incorrect response and was followed by the final page of the survey.</w:t>
      </w:r>
    </w:p>
    <w:p w14:paraId="5223E605" w14:textId="2F46CE5E" w:rsidR="007123C0" w:rsidRDefault="007123C0" w:rsidP="007123C0">
      <w:pPr>
        <w:spacing w:line="480" w:lineRule="auto"/>
        <w:ind w:firstLine="720"/>
        <w:rPr>
          <w:color w:val="000000"/>
        </w:rPr>
      </w:pPr>
      <w:r w:rsidRPr="007123C0">
        <w:rPr>
          <w:color w:val="000000"/>
        </w:rPr>
        <w:t xml:space="preserve">The survey link was opened 1,780 times; however, there were only a total of 903 participants who completed the survey and passed the inattentive responding checks and whose data were analyzed further. Third, we examined the data from participants whose patterns of responding showed the same response option for every question (with the exception of the inattentive-responding checks) and who also failed to provide a single RGB code. Two responses met these criteria for removal from the analysis. An additional 87 responses were deleted for </w:t>
      </w:r>
      <w:r w:rsidRPr="007123C0">
        <w:rPr>
          <w:color w:val="000000"/>
        </w:rPr>
        <w:lastRenderedPageBreak/>
        <w:t>failure to complete the survey. In total, 103 responses were eliminated from the final dataset of submitted surveys leaving 800 remaining for analysis. Generalized Cook’s distance led us to identify and screen out seven more influential outliers (see Aguinis et al., 2013). </w:t>
      </w:r>
    </w:p>
    <w:p w14:paraId="1765E645" w14:textId="085AC5AE" w:rsidR="00A43002" w:rsidRDefault="00A43002" w:rsidP="00A43002">
      <w:pPr>
        <w:spacing w:line="480" w:lineRule="auto"/>
      </w:pPr>
      <w:r>
        <w:rPr>
          <w:b/>
          <w:bCs/>
        </w:rPr>
        <w:tab/>
      </w:r>
      <w:r w:rsidR="00C85395">
        <w:rPr>
          <w:b/>
          <w:bCs/>
        </w:rPr>
        <w:t xml:space="preserve">Measures. </w:t>
      </w:r>
      <w:r>
        <w:t>Two measures were also gathered but excluded for reasons explained below.</w:t>
      </w:r>
      <w:r w:rsidR="00C85395">
        <w:t xml:space="preserve"> First, t</w:t>
      </w:r>
      <w:r w:rsidRPr="00866AD6">
        <w:t>he</w:t>
      </w:r>
      <w:r>
        <w:t xml:space="preserve"> Reversal Theory State Measure –  Bundled Version (RTSM; Desselles, </w:t>
      </w:r>
      <w:r w:rsidR="000D490C">
        <w:t>Murphy</w:t>
      </w:r>
      <w:r>
        <w:t xml:space="preserve">, &amp; Theys, 2014) was administered to assess respondents’ psychological state. A single item on this measure reflects the participant’s presence in the telic or paratelic state. The item asks respondents to choose one of two groups of statements (“bundles”) that describe what is motivating them at a particular moment. For example, the participant would choose between the telic bundle containing “accomplish something for the future,” “do something serious,” and “do something crucial” and the paratelic bundle containing “enjoy myself at the moment,” “do something playful,” and “do something of no great concern.” We chose to </w:t>
      </w:r>
      <w:r w:rsidR="001555C9">
        <w:t>exclude</w:t>
      </w:r>
      <w:r>
        <w:t xml:space="preserve"> this measures from our analysis because of issues related to the unreliability of</w:t>
      </w:r>
      <w:r w:rsidR="001555C9">
        <w:t xml:space="preserve"> the</w:t>
      </w:r>
      <w:r>
        <w:t xml:space="preserve"> single item </w:t>
      </w:r>
      <w:r w:rsidR="001555C9">
        <w:t>approach</w:t>
      </w:r>
      <w:r>
        <w:t>.</w:t>
      </w:r>
    </w:p>
    <w:p w14:paraId="37095E16" w14:textId="6D476929" w:rsidR="00A43002" w:rsidRPr="00EB703D" w:rsidRDefault="00A43002" w:rsidP="00EB703D">
      <w:pPr>
        <w:spacing w:line="480" w:lineRule="auto"/>
        <w:rPr>
          <w:rFonts w:eastAsiaTheme="minorHAnsi"/>
        </w:rPr>
      </w:pPr>
      <w:r>
        <w:tab/>
      </w:r>
      <w:r w:rsidR="00C85395">
        <w:t>Second, the d</w:t>
      </w:r>
      <w:r>
        <w:t xml:space="preserve">esire to respond </w:t>
      </w:r>
      <w:r w:rsidR="00C85395">
        <w:t xml:space="preserve">to feedback was </w:t>
      </w:r>
      <w:r>
        <w:t xml:space="preserve">measured with four items: “After reading the feedback, I am looking forward to improving on the next trial,” “I think that the feedback I received will </w:t>
      </w:r>
      <w:r w:rsidR="000D490C">
        <w:t>help</w:t>
      </w:r>
      <w:r>
        <w:t xml:space="preserve"> me to do better next time,” “After seeing my feedback, I have some ideas about how to improve,” and “I have no intention of using the feedback to guide my performance on the next task.” Response options were on a 5-point Likert-type scale </w:t>
      </w:r>
      <w:r w:rsidR="000D490C">
        <w:t>ranging</w:t>
      </w:r>
      <w:r>
        <w:t xml:space="preserve"> from 1 (</w:t>
      </w:r>
      <w:r>
        <w:rPr>
          <w:i/>
          <w:iCs/>
        </w:rPr>
        <w:t>strongly disagree</w:t>
      </w:r>
      <w:r>
        <w:t>) to 5 (</w:t>
      </w:r>
      <w:r>
        <w:rPr>
          <w:i/>
          <w:iCs/>
        </w:rPr>
        <w:t>strongly agree</w:t>
      </w:r>
      <w:r>
        <w:t xml:space="preserve">). The fourth item was reverse-coded. This measure has demonstrated satisfactory construct validity through confirmatory factor analysis as well as high reliability (see Waples, 2015). </w:t>
      </w:r>
      <w:r w:rsidR="00EB703D">
        <w:t>Though we initially posited this factor as indirectly linking affect to goal setting</w:t>
      </w:r>
      <w:r w:rsidR="00C85395">
        <w:t>,</w:t>
      </w:r>
      <w:r w:rsidR="00EB703D">
        <w:t xml:space="preserve"> we chose to omit this measure from our </w:t>
      </w:r>
      <w:r w:rsidR="00C85395">
        <w:t>report</w:t>
      </w:r>
      <w:r w:rsidR="00EB703D">
        <w:t xml:space="preserve"> </w:t>
      </w:r>
      <w:r w:rsidR="001555C9">
        <w:t>for the sake of brevity</w:t>
      </w:r>
      <w:r w:rsidR="00E2376D">
        <w:t xml:space="preserve"> as our conclusions remain unchanged</w:t>
      </w:r>
      <w:r w:rsidR="00EB703D">
        <w:t xml:space="preserve">. We can make this analysis available upon request. </w:t>
      </w:r>
    </w:p>
    <w:p w14:paraId="07993567" w14:textId="2E33BBED" w:rsidR="00C42741" w:rsidRDefault="00C42741" w:rsidP="00C42741">
      <w:pPr>
        <w:spacing w:line="480" w:lineRule="auto"/>
        <w:rPr>
          <w:b/>
          <w:bCs/>
        </w:rPr>
      </w:pPr>
      <w:r>
        <w:rPr>
          <w:b/>
          <w:bCs/>
        </w:rPr>
        <w:lastRenderedPageBreak/>
        <w:t>Data Analysis Details</w:t>
      </w:r>
    </w:p>
    <w:p w14:paraId="1E89D9C9" w14:textId="23B0D95F" w:rsidR="00C42741" w:rsidRPr="00C42741" w:rsidRDefault="00C42741" w:rsidP="00C42741">
      <w:pPr>
        <w:spacing w:line="480" w:lineRule="auto"/>
        <w:ind w:firstLine="720"/>
        <w:rPr>
          <w:color w:val="000000"/>
        </w:rPr>
      </w:pPr>
      <w:r w:rsidRPr="00C42741">
        <w:rPr>
          <w:color w:val="000000"/>
        </w:rPr>
        <w:t>After data screening, we tested whether our data violated the assumption of multivariate normality utilizing Mardia’s Multivariate Normality (MVN) test and Henze-Zirkler’s MVN test. These tests indicated that the multivariate normality assumption did not hold (</w:t>
      </w:r>
      <w:r w:rsidRPr="00C42741">
        <w:rPr>
          <w:i/>
          <w:iCs/>
          <w:color w:val="000000"/>
        </w:rPr>
        <w:t>p</w:t>
      </w:r>
      <w:r w:rsidRPr="00C42741">
        <w:rPr>
          <w:color w:val="000000"/>
        </w:rPr>
        <w:t xml:space="preserve"> &lt; .001). Therefore, we opted for diagonally weighted least squares (DWLS) estimation, which is more optimal for our Likert data (see Finch &amp; French, 2015).</w:t>
      </w:r>
      <w:r>
        <w:rPr>
          <w:color w:val="000000"/>
        </w:rPr>
        <w:t xml:space="preserve"> </w:t>
      </w:r>
      <w:r w:rsidRPr="00C42741">
        <w:rPr>
          <w:color w:val="000000"/>
        </w:rPr>
        <w:t>Convergent-discriminant validity for the Likert-type measures of our model was examined using confirmatory factor analysis (CFA) via the approach established by Henseler, Ringle, and Sarstedt (2015)</w:t>
      </w:r>
      <w:r>
        <w:rPr>
          <w:color w:val="000000"/>
        </w:rPr>
        <w:t>.</w:t>
      </w:r>
      <w:r w:rsidRPr="00C42741">
        <w:rPr>
          <w:color w:val="000000"/>
        </w:rPr>
        <w:t xml:space="preserve"> </w:t>
      </w:r>
      <w:r>
        <w:rPr>
          <w:color w:val="000000"/>
        </w:rPr>
        <w:t>After establishing our measurement model, we</w:t>
      </w:r>
      <w:r w:rsidRPr="00C42741">
        <w:rPr>
          <w:color w:val="000000"/>
        </w:rPr>
        <w:t xml:space="preserve"> then included our other measures (e.g., goal setting, performance, conditions, the interaction between feedback accuracy and information type) and used structural equation modeling (SEM) to test our proposed model and hypotheses. </w:t>
      </w:r>
    </w:p>
    <w:p w14:paraId="1D188328" w14:textId="5C217D8E" w:rsidR="009B0BC7" w:rsidRDefault="009B0BC7" w:rsidP="009B0BC7">
      <w:pPr>
        <w:spacing w:line="480" w:lineRule="auto"/>
        <w:rPr>
          <w:b/>
          <w:bCs/>
          <w:color w:val="000000"/>
        </w:rPr>
      </w:pPr>
      <w:r>
        <w:rPr>
          <w:b/>
          <w:bCs/>
          <w:color w:val="000000"/>
        </w:rPr>
        <w:t>Procedural Details</w:t>
      </w:r>
      <w:r w:rsidR="00924920">
        <w:rPr>
          <w:b/>
          <w:bCs/>
          <w:color w:val="000000"/>
        </w:rPr>
        <w:t xml:space="preserve"> Regarding </w:t>
      </w:r>
      <w:r w:rsidR="00554D22">
        <w:rPr>
          <w:b/>
          <w:bCs/>
          <w:color w:val="000000"/>
        </w:rPr>
        <w:t xml:space="preserve">the Operationalization of </w:t>
      </w:r>
      <w:r w:rsidR="00924920">
        <w:rPr>
          <w:b/>
          <w:bCs/>
          <w:color w:val="000000"/>
        </w:rPr>
        <w:t>Goal Setting</w:t>
      </w:r>
      <w:r w:rsidR="00554D22">
        <w:rPr>
          <w:b/>
          <w:bCs/>
          <w:color w:val="000000"/>
        </w:rPr>
        <w:t xml:space="preserve"> </w:t>
      </w:r>
    </w:p>
    <w:p w14:paraId="6B8D6352" w14:textId="24F28FBC" w:rsidR="00924920" w:rsidRPr="00924920" w:rsidRDefault="00924920" w:rsidP="009B0BC7">
      <w:pPr>
        <w:spacing w:line="480" w:lineRule="auto"/>
        <w:rPr>
          <w:color w:val="000000"/>
        </w:rPr>
      </w:pPr>
      <w:r>
        <w:rPr>
          <w:b/>
          <w:bCs/>
          <w:color w:val="000000"/>
        </w:rPr>
        <w:tab/>
      </w:r>
      <w:r w:rsidRPr="00924920">
        <w:rPr>
          <w:color w:val="000000"/>
        </w:rPr>
        <w:t>Participants had some discretion over the goal level they set, with the restriction that the goal set is above a predefined minimum. The minimum goal for the relative condition was 40%, and the minimum goal for the nominal condition was calculated based on how many university RGB codes were identified by the pilot participants at the 40th percentile. The participants set their goals by selecting a choice out of a set of options in the survey with the lowest option being the minimum goal. In the goal-setting instructions, participants were told that they must select at least a minimum goal in order to receive the baseline payment for participation in the study. The reasoning behind the minimum goal communicated to the respondents was that a minimum goal discourages participants from getting the baseline payment without effort.</w:t>
      </w:r>
    </w:p>
    <w:p w14:paraId="7CA8FD5D" w14:textId="0F220BA6" w:rsidR="009B0BC7" w:rsidRPr="009B0BC7" w:rsidRDefault="009B0BC7" w:rsidP="009B0BC7">
      <w:pPr>
        <w:spacing w:line="480" w:lineRule="auto"/>
        <w:ind w:firstLine="720"/>
        <w:rPr>
          <w:b/>
          <w:bCs/>
          <w:color w:val="000000"/>
        </w:rPr>
      </w:pPr>
      <w:r w:rsidRPr="009B0BC7">
        <w:rPr>
          <w:b/>
          <w:bCs/>
          <w:color w:val="000000"/>
        </w:rPr>
        <w:t xml:space="preserve">Characteristics of </w:t>
      </w:r>
      <w:r w:rsidRPr="009B0BC7">
        <w:rPr>
          <w:b/>
          <w:bCs/>
          <w:color w:val="000000"/>
        </w:rPr>
        <w:t>f</w:t>
      </w:r>
      <w:r w:rsidRPr="009B0BC7">
        <w:rPr>
          <w:b/>
          <w:bCs/>
          <w:color w:val="000000"/>
        </w:rPr>
        <w:t xml:space="preserve">eedback </w:t>
      </w:r>
      <w:r w:rsidRPr="009B0BC7">
        <w:rPr>
          <w:b/>
          <w:bCs/>
          <w:color w:val="000000"/>
        </w:rPr>
        <w:t>m</w:t>
      </w:r>
      <w:r w:rsidRPr="009B0BC7">
        <w:rPr>
          <w:b/>
          <w:bCs/>
          <w:color w:val="000000"/>
        </w:rPr>
        <w:t>essages</w:t>
      </w:r>
      <w:r w:rsidRPr="009B0BC7">
        <w:rPr>
          <w:b/>
          <w:bCs/>
          <w:color w:val="000000"/>
        </w:rPr>
        <w:t>.</w:t>
      </w:r>
      <w:r>
        <w:rPr>
          <w:b/>
          <w:bCs/>
          <w:color w:val="000000"/>
        </w:rPr>
        <w:t xml:space="preserve"> </w:t>
      </w:r>
      <w:r>
        <w:rPr>
          <w:color w:val="000000"/>
        </w:rPr>
        <w:t>Table 1 contains the feedback messages provided to participants in each condition.</w:t>
      </w:r>
    </w:p>
    <w:p w14:paraId="7A0CC906" w14:textId="77777777" w:rsidR="009B0BC7" w:rsidRDefault="009B0BC7" w:rsidP="009B0BC7">
      <w:pPr>
        <w:rPr>
          <w:color w:val="000000"/>
        </w:rPr>
      </w:pPr>
    </w:p>
    <w:p w14:paraId="5788EF47" w14:textId="77777777" w:rsidR="009B0BC7" w:rsidRPr="0008676D" w:rsidRDefault="009B0BC7" w:rsidP="009B0BC7">
      <w:pPr>
        <w:spacing w:after="160" w:line="480" w:lineRule="auto"/>
      </w:pPr>
      <w:r w:rsidRPr="0008676D">
        <w:rPr>
          <w:color w:val="222222"/>
          <w:shd w:val="clear" w:color="auto" w:fill="FFFFFF"/>
        </w:rPr>
        <w:t xml:space="preserve">Table </w:t>
      </w:r>
      <w:r>
        <w:rPr>
          <w:color w:val="222222"/>
          <w:shd w:val="clear" w:color="auto" w:fill="FFFFFF"/>
        </w:rPr>
        <w:t>1</w:t>
      </w:r>
    </w:p>
    <w:p w14:paraId="3B5059A0" w14:textId="77777777" w:rsidR="009B0BC7" w:rsidRPr="0008676D" w:rsidRDefault="009B0BC7" w:rsidP="009B0BC7">
      <w:pPr>
        <w:spacing w:line="480" w:lineRule="auto"/>
      </w:pPr>
      <w:r w:rsidRPr="0008676D">
        <w:rPr>
          <w:color w:val="222222"/>
          <w:shd w:val="clear" w:color="auto" w:fill="FFFFFF"/>
        </w:rPr>
        <w:t> </w:t>
      </w:r>
      <w:r w:rsidRPr="0008676D">
        <w:rPr>
          <w:i/>
          <w:iCs/>
          <w:color w:val="222222"/>
          <w:shd w:val="clear" w:color="auto" w:fill="FFFFFF"/>
        </w:rPr>
        <w:t>Feedback Messages Provided to Each Condition</w:t>
      </w:r>
    </w:p>
    <w:tbl>
      <w:tblPr>
        <w:tblW w:w="0" w:type="auto"/>
        <w:tblCellMar>
          <w:top w:w="15" w:type="dxa"/>
          <w:left w:w="15" w:type="dxa"/>
          <w:bottom w:w="15" w:type="dxa"/>
          <w:right w:w="15" w:type="dxa"/>
        </w:tblCellMar>
        <w:tblLook w:val="04A0" w:firstRow="1" w:lastRow="0" w:firstColumn="1" w:lastColumn="0" w:noHBand="0" w:noVBand="1"/>
      </w:tblPr>
      <w:tblGrid>
        <w:gridCol w:w="2340"/>
        <w:gridCol w:w="7020"/>
      </w:tblGrid>
      <w:tr w:rsidR="009B0BC7" w:rsidRPr="0008676D" w14:paraId="5708F718" w14:textId="77777777" w:rsidTr="00BF328B">
        <w:trPr>
          <w:trHeight w:val="710"/>
        </w:trPr>
        <w:tc>
          <w:tcPr>
            <w:tcW w:w="2340" w:type="dxa"/>
            <w:tcBorders>
              <w:top w:val="single" w:sz="8" w:space="0" w:color="000000"/>
              <w:bottom w:val="single" w:sz="8" w:space="0" w:color="000000"/>
            </w:tcBorders>
            <w:shd w:val="clear" w:color="auto" w:fill="FFFFFF"/>
            <w:tcMar>
              <w:top w:w="100" w:type="dxa"/>
              <w:left w:w="100" w:type="dxa"/>
              <w:bottom w:w="100" w:type="dxa"/>
              <w:right w:w="100" w:type="dxa"/>
            </w:tcMar>
            <w:hideMark/>
          </w:tcPr>
          <w:p w14:paraId="148B1902" w14:textId="77777777" w:rsidR="009B0BC7" w:rsidRPr="0008676D" w:rsidRDefault="009B0BC7" w:rsidP="00BF328B">
            <w:pPr>
              <w:ind w:left="100" w:right="-440"/>
            </w:pPr>
            <w:r w:rsidRPr="0008676D">
              <w:rPr>
                <w:b/>
                <w:bCs/>
                <w:color w:val="222222"/>
                <w:shd w:val="clear" w:color="auto" w:fill="FFFFFF"/>
              </w:rPr>
              <w:t>Condition</w:t>
            </w:r>
          </w:p>
        </w:tc>
        <w:tc>
          <w:tcPr>
            <w:tcW w:w="7020" w:type="dxa"/>
            <w:tcBorders>
              <w:top w:val="single" w:sz="8" w:space="0" w:color="000000"/>
              <w:bottom w:val="single" w:sz="8" w:space="0" w:color="000000"/>
            </w:tcBorders>
            <w:shd w:val="clear" w:color="auto" w:fill="FFFFFF"/>
            <w:tcMar>
              <w:top w:w="100" w:type="dxa"/>
              <w:left w:w="100" w:type="dxa"/>
              <w:bottom w:w="100" w:type="dxa"/>
              <w:right w:w="100" w:type="dxa"/>
            </w:tcMar>
            <w:hideMark/>
          </w:tcPr>
          <w:p w14:paraId="374B18F3" w14:textId="77777777" w:rsidR="009B0BC7" w:rsidRPr="0008676D" w:rsidRDefault="009B0BC7" w:rsidP="00BF328B">
            <w:pPr>
              <w:ind w:left="100"/>
            </w:pPr>
            <w:r w:rsidRPr="0008676D">
              <w:rPr>
                <w:b/>
                <w:bCs/>
                <w:color w:val="222222"/>
                <w:shd w:val="clear" w:color="auto" w:fill="FFFFFF"/>
              </w:rPr>
              <w:t>Feedback Message Shown</w:t>
            </w:r>
          </w:p>
        </w:tc>
      </w:tr>
      <w:tr w:rsidR="009B0BC7" w:rsidRPr="0008676D" w14:paraId="66129A99" w14:textId="77777777" w:rsidTr="00BF328B">
        <w:trPr>
          <w:trHeight w:val="525"/>
        </w:trPr>
        <w:tc>
          <w:tcPr>
            <w:tcW w:w="2340" w:type="dxa"/>
            <w:tcBorders>
              <w:top w:val="single" w:sz="8" w:space="0" w:color="000000"/>
            </w:tcBorders>
            <w:shd w:val="clear" w:color="auto" w:fill="FFFFFF"/>
            <w:tcMar>
              <w:top w:w="100" w:type="dxa"/>
              <w:left w:w="100" w:type="dxa"/>
              <w:bottom w:w="100" w:type="dxa"/>
              <w:right w:w="100" w:type="dxa"/>
            </w:tcMar>
            <w:hideMark/>
          </w:tcPr>
          <w:p w14:paraId="0DFC453D" w14:textId="77777777" w:rsidR="009B0BC7" w:rsidRPr="0008676D" w:rsidRDefault="009B0BC7" w:rsidP="00BF328B">
            <w:pPr>
              <w:ind w:left="100" w:right="-440"/>
            </w:pPr>
            <w:r w:rsidRPr="0008676D">
              <w:rPr>
                <w:b/>
                <w:bCs/>
                <w:color w:val="222222"/>
                <w:shd w:val="clear" w:color="auto" w:fill="FFFFFF"/>
              </w:rPr>
              <w:t>Nominal-Positive</w:t>
            </w:r>
          </w:p>
        </w:tc>
        <w:tc>
          <w:tcPr>
            <w:tcW w:w="7020" w:type="dxa"/>
            <w:tcBorders>
              <w:top w:val="single" w:sz="8" w:space="0" w:color="000000"/>
            </w:tcBorders>
            <w:shd w:val="clear" w:color="auto" w:fill="FFFFFF"/>
            <w:tcMar>
              <w:top w:w="100" w:type="dxa"/>
              <w:left w:w="100" w:type="dxa"/>
              <w:bottom w:w="100" w:type="dxa"/>
              <w:right w:w="100" w:type="dxa"/>
            </w:tcMar>
            <w:hideMark/>
          </w:tcPr>
          <w:p w14:paraId="21F8EFC2" w14:textId="77777777" w:rsidR="009B0BC7" w:rsidRPr="0008676D" w:rsidRDefault="009B0BC7" w:rsidP="00BF328B">
            <w:pPr>
              <w:ind w:left="100" w:right="-20"/>
            </w:pPr>
            <w:r w:rsidRPr="0008676D">
              <w:rPr>
                <w:color w:val="222222"/>
                <w:shd w:val="clear" w:color="auto" w:fill="FFFFFF"/>
              </w:rPr>
              <w:t>“Good job. You have reached your goal. You correctly identified the primary color RGB numbers for (your set/#) universities.”</w:t>
            </w:r>
          </w:p>
        </w:tc>
      </w:tr>
      <w:tr w:rsidR="009B0BC7" w:rsidRPr="0008676D" w14:paraId="25B3BCE7" w14:textId="77777777" w:rsidTr="00BF328B">
        <w:trPr>
          <w:trHeight w:val="705"/>
        </w:trPr>
        <w:tc>
          <w:tcPr>
            <w:tcW w:w="2340" w:type="dxa"/>
            <w:shd w:val="clear" w:color="auto" w:fill="FFFFFF"/>
            <w:tcMar>
              <w:top w:w="100" w:type="dxa"/>
              <w:left w:w="100" w:type="dxa"/>
              <w:bottom w:w="100" w:type="dxa"/>
              <w:right w:w="100" w:type="dxa"/>
            </w:tcMar>
            <w:hideMark/>
          </w:tcPr>
          <w:p w14:paraId="72C1D777" w14:textId="77777777" w:rsidR="009B0BC7" w:rsidRPr="0008676D" w:rsidRDefault="009B0BC7" w:rsidP="00BF328B">
            <w:pPr>
              <w:ind w:left="100" w:right="-440"/>
            </w:pPr>
            <w:r w:rsidRPr="0008676D">
              <w:rPr>
                <w:b/>
                <w:bCs/>
                <w:color w:val="222222"/>
                <w:shd w:val="clear" w:color="auto" w:fill="FFFFFF"/>
              </w:rPr>
              <w:t>Nominal-Negative</w:t>
            </w:r>
          </w:p>
        </w:tc>
        <w:tc>
          <w:tcPr>
            <w:tcW w:w="7020" w:type="dxa"/>
            <w:shd w:val="clear" w:color="auto" w:fill="FFFFFF"/>
            <w:tcMar>
              <w:top w:w="100" w:type="dxa"/>
              <w:left w:w="100" w:type="dxa"/>
              <w:bottom w:w="100" w:type="dxa"/>
              <w:right w:w="100" w:type="dxa"/>
            </w:tcMar>
            <w:hideMark/>
          </w:tcPr>
          <w:p w14:paraId="1173E20D" w14:textId="77777777" w:rsidR="009B0BC7" w:rsidRPr="0008676D" w:rsidRDefault="009B0BC7" w:rsidP="00BF328B">
            <w:pPr>
              <w:ind w:left="100"/>
            </w:pPr>
            <w:r w:rsidRPr="0008676D">
              <w:rPr>
                <w:color w:val="222222"/>
                <w:shd w:val="clear" w:color="auto" w:fill="FFFFFF"/>
              </w:rPr>
              <w:t>“Unfortunately, you failed to reach your goal. You failed to identify the primary color RGB numbers for (your set/#) universities.”</w:t>
            </w:r>
          </w:p>
        </w:tc>
      </w:tr>
      <w:tr w:rsidR="009B0BC7" w:rsidRPr="0008676D" w14:paraId="3DC30BC0" w14:textId="77777777" w:rsidTr="00BF328B">
        <w:tc>
          <w:tcPr>
            <w:tcW w:w="2340" w:type="dxa"/>
            <w:shd w:val="clear" w:color="auto" w:fill="FFFFFF"/>
            <w:tcMar>
              <w:top w:w="100" w:type="dxa"/>
              <w:left w:w="100" w:type="dxa"/>
              <w:bottom w:w="100" w:type="dxa"/>
              <w:right w:w="100" w:type="dxa"/>
            </w:tcMar>
            <w:hideMark/>
          </w:tcPr>
          <w:p w14:paraId="7B62BBE3" w14:textId="77777777" w:rsidR="009B0BC7" w:rsidRPr="0008676D" w:rsidRDefault="009B0BC7" w:rsidP="00BF328B">
            <w:pPr>
              <w:ind w:left="100" w:right="-440"/>
            </w:pPr>
            <w:r w:rsidRPr="0008676D">
              <w:rPr>
                <w:b/>
                <w:bCs/>
                <w:color w:val="222222"/>
                <w:shd w:val="clear" w:color="auto" w:fill="FFFFFF"/>
              </w:rPr>
              <w:t>Relative-Positive</w:t>
            </w:r>
          </w:p>
        </w:tc>
        <w:tc>
          <w:tcPr>
            <w:tcW w:w="7020" w:type="dxa"/>
            <w:shd w:val="clear" w:color="auto" w:fill="FFFFFF"/>
            <w:tcMar>
              <w:top w:w="100" w:type="dxa"/>
              <w:left w:w="100" w:type="dxa"/>
              <w:bottom w:w="100" w:type="dxa"/>
              <w:right w:w="100" w:type="dxa"/>
            </w:tcMar>
            <w:hideMark/>
          </w:tcPr>
          <w:p w14:paraId="15CEE8BB" w14:textId="77777777" w:rsidR="009B0BC7" w:rsidRPr="0008676D" w:rsidRDefault="009B0BC7" w:rsidP="00BF328B">
            <w:pPr>
              <w:ind w:left="100"/>
            </w:pPr>
            <w:r w:rsidRPr="0008676D">
              <w:rPr>
                <w:color w:val="222222"/>
                <w:shd w:val="clear" w:color="auto" w:fill="FFFFFF"/>
              </w:rPr>
              <w:t>“Good job. You have reached your goal. You performed better than X% of the participants.”</w:t>
            </w:r>
          </w:p>
        </w:tc>
      </w:tr>
      <w:tr w:rsidR="009B0BC7" w:rsidRPr="0008676D" w14:paraId="40C486B5" w14:textId="77777777" w:rsidTr="00BF328B">
        <w:tc>
          <w:tcPr>
            <w:tcW w:w="2340" w:type="dxa"/>
            <w:tcBorders>
              <w:bottom w:val="single" w:sz="8" w:space="0" w:color="000000"/>
            </w:tcBorders>
            <w:shd w:val="clear" w:color="auto" w:fill="FFFFFF"/>
            <w:tcMar>
              <w:top w:w="100" w:type="dxa"/>
              <w:left w:w="100" w:type="dxa"/>
              <w:bottom w:w="100" w:type="dxa"/>
              <w:right w:w="100" w:type="dxa"/>
            </w:tcMar>
            <w:hideMark/>
          </w:tcPr>
          <w:p w14:paraId="7EA698F7" w14:textId="77777777" w:rsidR="009B0BC7" w:rsidRPr="0008676D" w:rsidRDefault="009B0BC7" w:rsidP="00BF328B">
            <w:pPr>
              <w:ind w:left="100" w:right="-440"/>
            </w:pPr>
            <w:r w:rsidRPr="0008676D">
              <w:rPr>
                <w:b/>
                <w:bCs/>
                <w:color w:val="222222"/>
                <w:shd w:val="clear" w:color="auto" w:fill="FFFFFF"/>
              </w:rPr>
              <w:t>Relative-Negative</w:t>
            </w:r>
          </w:p>
        </w:tc>
        <w:tc>
          <w:tcPr>
            <w:tcW w:w="7020" w:type="dxa"/>
            <w:tcBorders>
              <w:bottom w:val="single" w:sz="8" w:space="0" w:color="000000"/>
            </w:tcBorders>
            <w:shd w:val="clear" w:color="auto" w:fill="FFFFFF"/>
            <w:tcMar>
              <w:top w:w="100" w:type="dxa"/>
              <w:left w:w="100" w:type="dxa"/>
              <w:bottom w:w="100" w:type="dxa"/>
              <w:right w:w="100" w:type="dxa"/>
            </w:tcMar>
            <w:hideMark/>
          </w:tcPr>
          <w:p w14:paraId="5847423A" w14:textId="77777777" w:rsidR="009B0BC7" w:rsidRPr="0008676D" w:rsidRDefault="009B0BC7" w:rsidP="00BF328B">
            <w:pPr>
              <w:ind w:left="100"/>
            </w:pPr>
            <w:r w:rsidRPr="0008676D">
              <w:rPr>
                <w:color w:val="222222"/>
                <w:shd w:val="clear" w:color="auto" w:fill="FFFFFF"/>
              </w:rPr>
              <w:t>“Unfortunately, you failed to reach your goal. You failed to perform better than X% of the participants.”</w:t>
            </w:r>
          </w:p>
        </w:tc>
      </w:tr>
    </w:tbl>
    <w:p w14:paraId="0A5B46C5" w14:textId="77777777" w:rsidR="009B0BC7" w:rsidRPr="009B0BC7" w:rsidRDefault="009B0BC7" w:rsidP="009B0BC7">
      <w:pPr>
        <w:spacing w:line="480" w:lineRule="auto"/>
        <w:rPr>
          <w:b/>
          <w:bCs/>
          <w:color w:val="000000"/>
        </w:rPr>
      </w:pPr>
    </w:p>
    <w:p w14:paraId="7CDB0682" w14:textId="73EBA42B" w:rsidR="0008676D" w:rsidRDefault="0008676D" w:rsidP="0008676D">
      <w:pPr>
        <w:spacing w:line="480" w:lineRule="auto"/>
        <w:rPr>
          <w:color w:val="000000"/>
        </w:rPr>
      </w:pPr>
      <w:r>
        <w:rPr>
          <w:color w:val="000000"/>
        </w:rPr>
        <w:tab/>
        <w:t>The percentage of participants who selected each goal level at time 1 and time 2 is described by tables 2 and 3, which reveal a fairly uniform distribution of chosen goal levels.</w:t>
      </w:r>
      <w:r w:rsidR="006E1B09">
        <w:rPr>
          <w:color w:val="000000"/>
        </w:rPr>
        <w:t xml:space="preserve"> Table 4 reveals how goal levels were equated across nominal and relative goal setting conditions. </w:t>
      </w:r>
    </w:p>
    <w:p w14:paraId="2EE2F4D7" w14:textId="082B417C" w:rsidR="0008676D" w:rsidRPr="0008676D" w:rsidRDefault="0008676D" w:rsidP="0008676D">
      <w:pPr>
        <w:spacing w:line="480" w:lineRule="auto"/>
      </w:pPr>
      <w:r w:rsidRPr="0008676D">
        <w:rPr>
          <w:color w:val="000000"/>
        </w:rPr>
        <w:t xml:space="preserve">Table </w:t>
      </w:r>
      <w:r>
        <w:rPr>
          <w:color w:val="000000"/>
        </w:rPr>
        <w:t>2</w:t>
      </w:r>
    </w:p>
    <w:p w14:paraId="53D7AC47" w14:textId="77777777" w:rsidR="0008676D" w:rsidRPr="0008676D" w:rsidRDefault="0008676D" w:rsidP="0008676D">
      <w:pPr>
        <w:spacing w:line="480" w:lineRule="auto"/>
      </w:pPr>
      <w:r w:rsidRPr="0008676D">
        <w:rPr>
          <w:i/>
          <w:iCs/>
          <w:color w:val="000000"/>
          <w:sz w:val="22"/>
          <w:szCs w:val="22"/>
        </w:rPr>
        <w:t>Percentage of Participants Who Selected Each Goal 1 Level</w:t>
      </w:r>
    </w:p>
    <w:tbl>
      <w:tblPr>
        <w:tblW w:w="0" w:type="auto"/>
        <w:tblCellMar>
          <w:top w:w="15" w:type="dxa"/>
          <w:left w:w="15" w:type="dxa"/>
          <w:bottom w:w="15" w:type="dxa"/>
          <w:right w:w="15" w:type="dxa"/>
        </w:tblCellMar>
        <w:tblLook w:val="04A0" w:firstRow="1" w:lastRow="0" w:firstColumn="1" w:lastColumn="0" w:noHBand="0" w:noVBand="1"/>
      </w:tblPr>
      <w:tblGrid>
        <w:gridCol w:w="1553"/>
        <w:gridCol w:w="1280"/>
      </w:tblGrid>
      <w:tr w:rsidR="0008676D" w:rsidRPr="0008676D" w14:paraId="248A6F2C" w14:textId="77777777" w:rsidTr="0008676D">
        <w:trPr>
          <w:trHeight w:val="515"/>
        </w:trPr>
        <w:tc>
          <w:tcPr>
            <w:tcW w:w="0" w:type="auto"/>
            <w:tcBorders>
              <w:top w:val="single" w:sz="8" w:space="0" w:color="000000"/>
              <w:bottom w:val="single" w:sz="8" w:space="0" w:color="000000"/>
            </w:tcBorders>
            <w:shd w:val="clear" w:color="auto" w:fill="FFFFFF"/>
            <w:tcMar>
              <w:top w:w="100" w:type="dxa"/>
              <w:left w:w="100" w:type="dxa"/>
              <w:bottom w:w="100" w:type="dxa"/>
              <w:right w:w="100" w:type="dxa"/>
            </w:tcMar>
            <w:hideMark/>
          </w:tcPr>
          <w:p w14:paraId="13F90746" w14:textId="77777777" w:rsidR="0008676D" w:rsidRPr="0008676D" w:rsidRDefault="0008676D" w:rsidP="0008676D">
            <w:pPr>
              <w:ind w:left="100"/>
              <w:jc w:val="center"/>
            </w:pPr>
            <w:r w:rsidRPr="0008676D">
              <w:rPr>
                <w:color w:val="000000"/>
              </w:rPr>
              <w:t>Goal 1 Level</w:t>
            </w:r>
          </w:p>
        </w:tc>
        <w:tc>
          <w:tcPr>
            <w:tcW w:w="0" w:type="auto"/>
            <w:tcBorders>
              <w:top w:val="single" w:sz="8" w:space="0" w:color="000000"/>
              <w:bottom w:val="single" w:sz="8" w:space="0" w:color="000000"/>
            </w:tcBorders>
            <w:shd w:val="clear" w:color="auto" w:fill="FFFFFF"/>
            <w:tcMar>
              <w:top w:w="100" w:type="dxa"/>
              <w:left w:w="100" w:type="dxa"/>
              <w:bottom w:w="100" w:type="dxa"/>
              <w:right w:w="100" w:type="dxa"/>
            </w:tcMar>
            <w:hideMark/>
          </w:tcPr>
          <w:p w14:paraId="5398B5FC" w14:textId="77777777" w:rsidR="0008676D" w:rsidRPr="0008676D" w:rsidRDefault="0008676D" w:rsidP="0008676D">
            <w:pPr>
              <w:ind w:left="100"/>
              <w:jc w:val="center"/>
            </w:pPr>
            <w:r w:rsidRPr="0008676D">
              <w:rPr>
                <w:color w:val="000000"/>
              </w:rPr>
              <w:t>% Chosen</w:t>
            </w:r>
          </w:p>
        </w:tc>
      </w:tr>
      <w:tr w:rsidR="0008676D" w:rsidRPr="0008676D" w14:paraId="78FD9906" w14:textId="77777777" w:rsidTr="0008676D">
        <w:tc>
          <w:tcPr>
            <w:tcW w:w="0" w:type="auto"/>
            <w:tcBorders>
              <w:top w:val="single" w:sz="8" w:space="0" w:color="000000"/>
            </w:tcBorders>
            <w:shd w:val="clear" w:color="auto" w:fill="FFFFFF"/>
            <w:tcMar>
              <w:top w:w="100" w:type="dxa"/>
              <w:left w:w="100" w:type="dxa"/>
              <w:bottom w:w="100" w:type="dxa"/>
              <w:right w:w="100" w:type="dxa"/>
            </w:tcMar>
            <w:hideMark/>
          </w:tcPr>
          <w:p w14:paraId="6DD7B0AA" w14:textId="77777777" w:rsidR="0008676D" w:rsidRPr="0008676D" w:rsidRDefault="0008676D" w:rsidP="0008676D">
            <w:pPr>
              <w:ind w:left="100"/>
              <w:jc w:val="center"/>
            </w:pPr>
            <w:r w:rsidRPr="0008676D">
              <w:rPr>
                <w:color w:val="000000"/>
              </w:rPr>
              <w:t>1</w:t>
            </w:r>
          </w:p>
        </w:tc>
        <w:tc>
          <w:tcPr>
            <w:tcW w:w="0" w:type="auto"/>
            <w:tcBorders>
              <w:top w:val="single" w:sz="8" w:space="0" w:color="000000"/>
            </w:tcBorders>
            <w:shd w:val="clear" w:color="auto" w:fill="FFFFFF"/>
            <w:tcMar>
              <w:top w:w="100" w:type="dxa"/>
              <w:left w:w="100" w:type="dxa"/>
              <w:bottom w:w="100" w:type="dxa"/>
              <w:right w:w="100" w:type="dxa"/>
            </w:tcMar>
            <w:hideMark/>
          </w:tcPr>
          <w:p w14:paraId="06A1671E" w14:textId="77777777" w:rsidR="0008676D" w:rsidRPr="0008676D" w:rsidRDefault="0008676D" w:rsidP="0008676D">
            <w:pPr>
              <w:ind w:left="100"/>
              <w:jc w:val="center"/>
            </w:pPr>
            <w:r w:rsidRPr="0008676D">
              <w:rPr>
                <w:color w:val="000000"/>
              </w:rPr>
              <w:t>20.0</w:t>
            </w:r>
          </w:p>
        </w:tc>
      </w:tr>
      <w:tr w:rsidR="0008676D" w:rsidRPr="0008676D" w14:paraId="4CEA22B7" w14:textId="77777777" w:rsidTr="0008676D">
        <w:tc>
          <w:tcPr>
            <w:tcW w:w="0" w:type="auto"/>
            <w:shd w:val="clear" w:color="auto" w:fill="FFFFFF"/>
            <w:tcMar>
              <w:top w:w="100" w:type="dxa"/>
              <w:left w:w="100" w:type="dxa"/>
              <w:bottom w:w="100" w:type="dxa"/>
              <w:right w:w="100" w:type="dxa"/>
            </w:tcMar>
            <w:hideMark/>
          </w:tcPr>
          <w:p w14:paraId="33E4850C" w14:textId="77777777" w:rsidR="0008676D" w:rsidRPr="0008676D" w:rsidRDefault="0008676D" w:rsidP="0008676D">
            <w:pPr>
              <w:ind w:left="100"/>
              <w:jc w:val="center"/>
            </w:pPr>
            <w:r w:rsidRPr="0008676D">
              <w:rPr>
                <w:color w:val="000000"/>
              </w:rPr>
              <w:t>2</w:t>
            </w:r>
          </w:p>
        </w:tc>
        <w:tc>
          <w:tcPr>
            <w:tcW w:w="0" w:type="auto"/>
            <w:shd w:val="clear" w:color="auto" w:fill="FFFFFF"/>
            <w:tcMar>
              <w:top w:w="100" w:type="dxa"/>
              <w:left w:w="100" w:type="dxa"/>
              <w:bottom w:w="100" w:type="dxa"/>
              <w:right w:w="100" w:type="dxa"/>
            </w:tcMar>
            <w:hideMark/>
          </w:tcPr>
          <w:p w14:paraId="60D0FF97" w14:textId="77777777" w:rsidR="0008676D" w:rsidRPr="0008676D" w:rsidRDefault="0008676D" w:rsidP="0008676D">
            <w:pPr>
              <w:ind w:left="100"/>
              <w:jc w:val="center"/>
            </w:pPr>
            <w:r w:rsidRPr="0008676D">
              <w:rPr>
                <w:color w:val="000000"/>
              </w:rPr>
              <w:t>10.0</w:t>
            </w:r>
          </w:p>
        </w:tc>
      </w:tr>
      <w:tr w:rsidR="0008676D" w:rsidRPr="0008676D" w14:paraId="6CA1DDA9" w14:textId="77777777" w:rsidTr="0008676D">
        <w:tc>
          <w:tcPr>
            <w:tcW w:w="0" w:type="auto"/>
            <w:shd w:val="clear" w:color="auto" w:fill="FFFFFF"/>
            <w:tcMar>
              <w:top w:w="100" w:type="dxa"/>
              <w:left w:w="100" w:type="dxa"/>
              <w:bottom w:w="100" w:type="dxa"/>
              <w:right w:w="100" w:type="dxa"/>
            </w:tcMar>
            <w:hideMark/>
          </w:tcPr>
          <w:p w14:paraId="4D429EAC" w14:textId="77777777" w:rsidR="0008676D" w:rsidRPr="0008676D" w:rsidRDefault="0008676D" w:rsidP="0008676D">
            <w:pPr>
              <w:ind w:left="100"/>
              <w:jc w:val="center"/>
            </w:pPr>
            <w:r w:rsidRPr="0008676D">
              <w:rPr>
                <w:color w:val="000000"/>
              </w:rPr>
              <w:t>3</w:t>
            </w:r>
          </w:p>
        </w:tc>
        <w:tc>
          <w:tcPr>
            <w:tcW w:w="0" w:type="auto"/>
            <w:shd w:val="clear" w:color="auto" w:fill="FFFFFF"/>
            <w:tcMar>
              <w:top w:w="100" w:type="dxa"/>
              <w:left w:w="100" w:type="dxa"/>
              <w:bottom w:w="100" w:type="dxa"/>
              <w:right w:w="100" w:type="dxa"/>
            </w:tcMar>
            <w:hideMark/>
          </w:tcPr>
          <w:p w14:paraId="0FCDFE4F" w14:textId="77777777" w:rsidR="0008676D" w:rsidRPr="0008676D" w:rsidRDefault="0008676D" w:rsidP="0008676D">
            <w:pPr>
              <w:ind w:left="100"/>
              <w:jc w:val="center"/>
            </w:pPr>
            <w:r w:rsidRPr="0008676D">
              <w:rPr>
                <w:color w:val="000000"/>
              </w:rPr>
              <w:t>16.7</w:t>
            </w:r>
          </w:p>
        </w:tc>
      </w:tr>
      <w:tr w:rsidR="0008676D" w:rsidRPr="0008676D" w14:paraId="62BE98B7" w14:textId="77777777" w:rsidTr="0008676D">
        <w:trPr>
          <w:trHeight w:val="45"/>
        </w:trPr>
        <w:tc>
          <w:tcPr>
            <w:tcW w:w="0" w:type="auto"/>
            <w:shd w:val="clear" w:color="auto" w:fill="FFFFFF"/>
            <w:tcMar>
              <w:top w:w="100" w:type="dxa"/>
              <w:left w:w="100" w:type="dxa"/>
              <w:bottom w:w="100" w:type="dxa"/>
              <w:right w:w="100" w:type="dxa"/>
            </w:tcMar>
            <w:hideMark/>
          </w:tcPr>
          <w:p w14:paraId="18C188BE" w14:textId="77777777" w:rsidR="0008676D" w:rsidRPr="0008676D" w:rsidRDefault="0008676D" w:rsidP="0008676D">
            <w:pPr>
              <w:ind w:left="100"/>
              <w:jc w:val="center"/>
            </w:pPr>
            <w:r w:rsidRPr="0008676D">
              <w:rPr>
                <w:color w:val="000000"/>
              </w:rPr>
              <w:t>4</w:t>
            </w:r>
          </w:p>
        </w:tc>
        <w:tc>
          <w:tcPr>
            <w:tcW w:w="0" w:type="auto"/>
            <w:shd w:val="clear" w:color="auto" w:fill="FFFFFF"/>
            <w:tcMar>
              <w:top w:w="100" w:type="dxa"/>
              <w:left w:w="100" w:type="dxa"/>
              <w:bottom w:w="100" w:type="dxa"/>
              <w:right w:w="100" w:type="dxa"/>
            </w:tcMar>
            <w:hideMark/>
          </w:tcPr>
          <w:p w14:paraId="53A7ADAD" w14:textId="77777777" w:rsidR="0008676D" w:rsidRPr="0008676D" w:rsidRDefault="0008676D" w:rsidP="0008676D">
            <w:pPr>
              <w:ind w:left="100"/>
              <w:jc w:val="center"/>
            </w:pPr>
            <w:r w:rsidRPr="0008676D">
              <w:rPr>
                <w:color w:val="000000"/>
              </w:rPr>
              <w:t>10.0</w:t>
            </w:r>
          </w:p>
        </w:tc>
      </w:tr>
      <w:tr w:rsidR="0008676D" w:rsidRPr="0008676D" w14:paraId="5BFEB72E" w14:textId="77777777" w:rsidTr="0008676D">
        <w:tc>
          <w:tcPr>
            <w:tcW w:w="0" w:type="auto"/>
            <w:shd w:val="clear" w:color="auto" w:fill="FFFFFF"/>
            <w:tcMar>
              <w:top w:w="100" w:type="dxa"/>
              <w:left w:w="100" w:type="dxa"/>
              <w:bottom w:w="100" w:type="dxa"/>
              <w:right w:w="100" w:type="dxa"/>
            </w:tcMar>
            <w:hideMark/>
          </w:tcPr>
          <w:p w14:paraId="44F5A0A3" w14:textId="77777777" w:rsidR="0008676D" w:rsidRPr="0008676D" w:rsidRDefault="0008676D" w:rsidP="0008676D">
            <w:pPr>
              <w:ind w:left="100"/>
              <w:jc w:val="center"/>
            </w:pPr>
            <w:r w:rsidRPr="0008676D">
              <w:rPr>
                <w:color w:val="000000"/>
              </w:rPr>
              <w:t>5</w:t>
            </w:r>
          </w:p>
        </w:tc>
        <w:tc>
          <w:tcPr>
            <w:tcW w:w="0" w:type="auto"/>
            <w:shd w:val="clear" w:color="auto" w:fill="FFFFFF"/>
            <w:tcMar>
              <w:top w:w="100" w:type="dxa"/>
              <w:left w:w="100" w:type="dxa"/>
              <w:bottom w:w="100" w:type="dxa"/>
              <w:right w:w="100" w:type="dxa"/>
            </w:tcMar>
            <w:hideMark/>
          </w:tcPr>
          <w:p w14:paraId="1E20663B" w14:textId="77777777" w:rsidR="0008676D" w:rsidRPr="0008676D" w:rsidRDefault="0008676D" w:rsidP="0008676D">
            <w:pPr>
              <w:ind w:left="100"/>
              <w:jc w:val="center"/>
            </w:pPr>
            <w:r w:rsidRPr="0008676D">
              <w:rPr>
                <w:color w:val="000000"/>
              </w:rPr>
              <w:t>23.3</w:t>
            </w:r>
          </w:p>
        </w:tc>
      </w:tr>
      <w:tr w:rsidR="0008676D" w:rsidRPr="0008676D" w14:paraId="3215D212" w14:textId="77777777" w:rsidTr="0008676D">
        <w:tc>
          <w:tcPr>
            <w:tcW w:w="0" w:type="auto"/>
            <w:tcBorders>
              <w:bottom w:val="single" w:sz="8" w:space="0" w:color="000000"/>
            </w:tcBorders>
            <w:shd w:val="clear" w:color="auto" w:fill="FFFFFF"/>
            <w:tcMar>
              <w:top w:w="100" w:type="dxa"/>
              <w:left w:w="100" w:type="dxa"/>
              <w:bottom w:w="100" w:type="dxa"/>
              <w:right w:w="100" w:type="dxa"/>
            </w:tcMar>
            <w:hideMark/>
          </w:tcPr>
          <w:p w14:paraId="55C64011" w14:textId="77777777" w:rsidR="0008676D" w:rsidRPr="0008676D" w:rsidRDefault="0008676D" w:rsidP="0008676D">
            <w:pPr>
              <w:ind w:left="100"/>
              <w:jc w:val="center"/>
            </w:pPr>
            <w:r w:rsidRPr="0008676D">
              <w:rPr>
                <w:color w:val="000000"/>
              </w:rPr>
              <w:t>6</w:t>
            </w:r>
          </w:p>
        </w:tc>
        <w:tc>
          <w:tcPr>
            <w:tcW w:w="0" w:type="auto"/>
            <w:tcBorders>
              <w:bottom w:val="single" w:sz="8" w:space="0" w:color="000000"/>
            </w:tcBorders>
            <w:shd w:val="clear" w:color="auto" w:fill="FFFFFF"/>
            <w:tcMar>
              <w:top w:w="100" w:type="dxa"/>
              <w:left w:w="100" w:type="dxa"/>
              <w:bottom w:w="100" w:type="dxa"/>
              <w:right w:w="100" w:type="dxa"/>
            </w:tcMar>
            <w:hideMark/>
          </w:tcPr>
          <w:p w14:paraId="3194BCA5" w14:textId="77777777" w:rsidR="0008676D" w:rsidRPr="0008676D" w:rsidRDefault="0008676D" w:rsidP="0008676D">
            <w:pPr>
              <w:ind w:left="100"/>
              <w:jc w:val="center"/>
            </w:pPr>
            <w:r w:rsidRPr="0008676D">
              <w:rPr>
                <w:color w:val="000000"/>
              </w:rPr>
              <w:t>20.0</w:t>
            </w:r>
          </w:p>
        </w:tc>
      </w:tr>
    </w:tbl>
    <w:p w14:paraId="0A28C500" w14:textId="77777777" w:rsidR="0008676D" w:rsidRPr="0008676D" w:rsidRDefault="0008676D" w:rsidP="0008676D"/>
    <w:p w14:paraId="6A328526" w14:textId="38ECD66B" w:rsidR="0008676D" w:rsidRPr="0008676D" w:rsidRDefault="0008676D" w:rsidP="0008676D">
      <w:pPr>
        <w:spacing w:line="480" w:lineRule="auto"/>
      </w:pPr>
      <w:r w:rsidRPr="0008676D">
        <w:rPr>
          <w:color w:val="000000"/>
        </w:rPr>
        <w:lastRenderedPageBreak/>
        <w:t xml:space="preserve">Table </w:t>
      </w:r>
      <w:r>
        <w:rPr>
          <w:color w:val="000000"/>
        </w:rPr>
        <w:t>3</w:t>
      </w:r>
    </w:p>
    <w:p w14:paraId="2F2AF61F" w14:textId="77777777" w:rsidR="0008676D" w:rsidRPr="0008676D" w:rsidRDefault="0008676D" w:rsidP="0008676D">
      <w:pPr>
        <w:spacing w:line="480" w:lineRule="auto"/>
      </w:pPr>
      <w:r w:rsidRPr="0008676D">
        <w:rPr>
          <w:i/>
          <w:iCs/>
          <w:color w:val="000000"/>
        </w:rPr>
        <w:t>Percentage of Participants Who Selected Each Goal 2 Level</w:t>
      </w:r>
    </w:p>
    <w:tbl>
      <w:tblPr>
        <w:tblW w:w="0" w:type="auto"/>
        <w:tblCellMar>
          <w:top w:w="15" w:type="dxa"/>
          <w:left w:w="15" w:type="dxa"/>
          <w:bottom w:w="15" w:type="dxa"/>
          <w:right w:w="15" w:type="dxa"/>
        </w:tblCellMar>
        <w:tblLook w:val="04A0" w:firstRow="1" w:lastRow="0" w:firstColumn="1" w:lastColumn="0" w:noHBand="0" w:noVBand="1"/>
      </w:tblPr>
      <w:tblGrid>
        <w:gridCol w:w="1553"/>
        <w:gridCol w:w="1280"/>
      </w:tblGrid>
      <w:tr w:rsidR="0008676D" w:rsidRPr="0008676D" w14:paraId="37BDF7C4" w14:textId="77777777" w:rsidTr="0008676D">
        <w:trPr>
          <w:trHeight w:val="515"/>
        </w:trPr>
        <w:tc>
          <w:tcPr>
            <w:tcW w:w="0" w:type="auto"/>
            <w:tcBorders>
              <w:top w:val="single" w:sz="8" w:space="0" w:color="000000"/>
              <w:bottom w:val="single" w:sz="8" w:space="0" w:color="000000"/>
            </w:tcBorders>
            <w:shd w:val="clear" w:color="auto" w:fill="FFFFFF"/>
            <w:tcMar>
              <w:top w:w="100" w:type="dxa"/>
              <w:left w:w="100" w:type="dxa"/>
              <w:bottom w:w="100" w:type="dxa"/>
              <w:right w:w="100" w:type="dxa"/>
            </w:tcMar>
            <w:hideMark/>
          </w:tcPr>
          <w:p w14:paraId="1E30CBA5" w14:textId="77777777" w:rsidR="0008676D" w:rsidRPr="0008676D" w:rsidRDefault="0008676D" w:rsidP="0008676D">
            <w:pPr>
              <w:ind w:left="100"/>
              <w:jc w:val="center"/>
            </w:pPr>
            <w:r w:rsidRPr="0008676D">
              <w:rPr>
                <w:color w:val="000000"/>
              </w:rPr>
              <w:t>Goal 2 Level</w:t>
            </w:r>
          </w:p>
        </w:tc>
        <w:tc>
          <w:tcPr>
            <w:tcW w:w="0" w:type="auto"/>
            <w:tcBorders>
              <w:top w:val="single" w:sz="8" w:space="0" w:color="000000"/>
              <w:bottom w:val="single" w:sz="8" w:space="0" w:color="000000"/>
            </w:tcBorders>
            <w:shd w:val="clear" w:color="auto" w:fill="FFFFFF"/>
            <w:tcMar>
              <w:top w:w="100" w:type="dxa"/>
              <w:left w:w="100" w:type="dxa"/>
              <w:bottom w:w="100" w:type="dxa"/>
              <w:right w:w="100" w:type="dxa"/>
            </w:tcMar>
            <w:hideMark/>
          </w:tcPr>
          <w:p w14:paraId="51013E40" w14:textId="77777777" w:rsidR="0008676D" w:rsidRPr="0008676D" w:rsidRDefault="0008676D" w:rsidP="0008676D">
            <w:pPr>
              <w:ind w:left="100"/>
              <w:jc w:val="center"/>
            </w:pPr>
            <w:r w:rsidRPr="0008676D">
              <w:rPr>
                <w:color w:val="000000"/>
              </w:rPr>
              <w:t>% Chosen</w:t>
            </w:r>
          </w:p>
        </w:tc>
      </w:tr>
      <w:tr w:rsidR="0008676D" w:rsidRPr="0008676D" w14:paraId="2F90D8E0" w14:textId="77777777" w:rsidTr="0008676D">
        <w:tc>
          <w:tcPr>
            <w:tcW w:w="0" w:type="auto"/>
            <w:tcBorders>
              <w:top w:val="single" w:sz="8" w:space="0" w:color="000000"/>
            </w:tcBorders>
            <w:shd w:val="clear" w:color="auto" w:fill="FFFFFF"/>
            <w:tcMar>
              <w:top w:w="100" w:type="dxa"/>
              <w:left w:w="100" w:type="dxa"/>
              <w:bottom w:w="100" w:type="dxa"/>
              <w:right w:w="100" w:type="dxa"/>
            </w:tcMar>
            <w:hideMark/>
          </w:tcPr>
          <w:p w14:paraId="0DD6DDDE" w14:textId="77777777" w:rsidR="0008676D" w:rsidRPr="0008676D" w:rsidRDefault="0008676D" w:rsidP="0008676D">
            <w:pPr>
              <w:ind w:left="100"/>
              <w:jc w:val="center"/>
            </w:pPr>
            <w:r w:rsidRPr="0008676D">
              <w:rPr>
                <w:color w:val="000000"/>
              </w:rPr>
              <w:t>1</w:t>
            </w:r>
          </w:p>
        </w:tc>
        <w:tc>
          <w:tcPr>
            <w:tcW w:w="0" w:type="auto"/>
            <w:tcBorders>
              <w:top w:val="single" w:sz="8" w:space="0" w:color="000000"/>
            </w:tcBorders>
            <w:shd w:val="clear" w:color="auto" w:fill="FFFFFF"/>
            <w:tcMar>
              <w:top w:w="100" w:type="dxa"/>
              <w:left w:w="100" w:type="dxa"/>
              <w:bottom w:w="100" w:type="dxa"/>
              <w:right w:w="100" w:type="dxa"/>
            </w:tcMar>
            <w:hideMark/>
          </w:tcPr>
          <w:p w14:paraId="070A41F4" w14:textId="77777777" w:rsidR="0008676D" w:rsidRPr="0008676D" w:rsidRDefault="0008676D" w:rsidP="0008676D">
            <w:pPr>
              <w:ind w:left="100"/>
              <w:jc w:val="center"/>
            </w:pPr>
            <w:r w:rsidRPr="0008676D">
              <w:rPr>
                <w:color w:val="000000"/>
              </w:rPr>
              <w:t>23.3</w:t>
            </w:r>
          </w:p>
        </w:tc>
      </w:tr>
      <w:tr w:rsidR="0008676D" w:rsidRPr="0008676D" w14:paraId="7CD09AE1" w14:textId="77777777" w:rsidTr="0008676D">
        <w:tc>
          <w:tcPr>
            <w:tcW w:w="0" w:type="auto"/>
            <w:shd w:val="clear" w:color="auto" w:fill="FFFFFF"/>
            <w:tcMar>
              <w:top w:w="100" w:type="dxa"/>
              <w:left w:w="100" w:type="dxa"/>
              <w:bottom w:w="100" w:type="dxa"/>
              <w:right w:w="100" w:type="dxa"/>
            </w:tcMar>
            <w:hideMark/>
          </w:tcPr>
          <w:p w14:paraId="62DCDBCB" w14:textId="77777777" w:rsidR="0008676D" w:rsidRPr="0008676D" w:rsidRDefault="0008676D" w:rsidP="0008676D">
            <w:pPr>
              <w:ind w:left="100"/>
              <w:jc w:val="center"/>
            </w:pPr>
            <w:r w:rsidRPr="0008676D">
              <w:rPr>
                <w:color w:val="000000"/>
              </w:rPr>
              <w:t>2</w:t>
            </w:r>
          </w:p>
        </w:tc>
        <w:tc>
          <w:tcPr>
            <w:tcW w:w="0" w:type="auto"/>
            <w:shd w:val="clear" w:color="auto" w:fill="FFFFFF"/>
            <w:tcMar>
              <w:top w:w="100" w:type="dxa"/>
              <w:left w:w="100" w:type="dxa"/>
              <w:bottom w:w="100" w:type="dxa"/>
              <w:right w:w="100" w:type="dxa"/>
            </w:tcMar>
            <w:hideMark/>
          </w:tcPr>
          <w:p w14:paraId="4DE8F374" w14:textId="77777777" w:rsidR="0008676D" w:rsidRPr="0008676D" w:rsidRDefault="0008676D" w:rsidP="0008676D">
            <w:pPr>
              <w:ind w:left="100"/>
              <w:jc w:val="center"/>
            </w:pPr>
            <w:r w:rsidRPr="0008676D">
              <w:rPr>
                <w:color w:val="000000"/>
              </w:rPr>
              <w:t>20.0</w:t>
            </w:r>
          </w:p>
        </w:tc>
      </w:tr>
      <w:tr w:rsidR="0008676D" w:rsidRPr="0008676D" w14:paraId="018FB30F" w14:textId="77777777" w:rsidTr="0008676D">
        <w:tc>
          <w:tcPr>
            <w:tcW w:w="0" w:type="auto"/>
            <w:shd w:val="clear" w:color="auto" w:fill="FFFFFF"/>
            <w:tcMar>
              <w:top w:w="100" w:type="dxa"/>
              <w:left w:w="100" w:type="dxa"/>
              <w:bottom w:w="100" w:type="dxa"/>
              <w:right w:w="100" w:type="dxa"/>
            </w:tcMar>
            <w:hideMark/>
          </w:tcPr>
          <w:p w14:paraId="69D29F99" w14:textId="77777777" w:rsidR="0008676D" w:rsidRPr="0008676D" w:rsidRDefault="0008676D" w:rsidP="0008676D">
            <w:pPr>
              <w:ind w:left="100"/>
              <w:jc w:val="center"/>
            </w:pPr>
            <w:r w:rsidRPr="0008676D">
              <w:rPr>
                <w:color w:val="000000"/>
              </w:rPr>
              <w:t>3</w:t>
            </w:r>
          </w:p>
        </w:tc>
        <w:tc>
          <w:tcPr>
            <w:tcW w:w="0" w:type="auto"/>
            <w:shd w:val="clear" w:color="auto" w:fill="FFFFFF"/>
            <w:tcMar>
              <w:top w:w="100" w:type="dxa"/>
              <w:left w:w="100" w:type="dxa"/>
              <w:bottom w:w="100" w:type="dxa"/>
              <w:right w:w="100" w:type="dxa"/>
            </w:tcMar>
            <w:hideMark/>
          </w:tcPr>
          <w:p w14:paraId="5041A625" w14:textId="77777777" w:rsidR="0008676D" w:rsidRPr="0008676D" w:rsidRDefault="0008676D" w:rsidP="0008676D">
            <w:pPr>
              <w:ind w:left="100"/>
              <w:jc w:val="center"/>
            </w:pPr>
            <w:r w:rsidRPr="0008676D">
              <w:rPr>
                <w:color w:val="000000"/>
              </w:rPr>
              <w:t>20.0</w:t>
            </w:r>
          </w:p>
        </w:tc>
      </w:tr>
      <w:tr w:rsidR="0008676D" w:rsidRPr="0008676D" w14:paraId="3C7F16E6" w14:textId="77777777" w:rsidTr="0008676D">
        <w:tc>
          <w:tcPr>
            <w:tcW w:w="0" w:type="auto"/>
            <w:shd w:val="clear" w:color="auto" w:fill="FFFFFF"/>
            <w:tcMar>
              <w:top w:w="100" w:type="dxa"/>
              <w:left w:w="100" w:type="dxa"/>
              <w:bottom w:w="100" w:type="dxa"/>
              <w:right w:w="100" w:type="dxa"/>
            </w:tcMar>
            <w:hideMark/>
          </w:tcPr>
          <w:p w14:paraId="00D50338" w14:textId="77777777" w:rsidR="0008676D" w:rsidRPr="0008676D" w:rsidRDefault="0008676D" w:rsidP="0008676D">
            <w:pPr>
              <w:ind w:left="100"/>
              <w:jc w:val="center"/>
            </w:pPr>
            <w:r w:rsidRPr="0008676D">
              <w:rPr>
                <w:color w:val="000000"/>
              </w:rPr>
              <w:t>4</w:t>
            </w:r>
          </w:p>
        </w:tc>
        <w:tc>
          <w:tcPr>
            <w:tcW w:w="0" w:type="auto"/>
            <w:shd w:val="clear" w:color="auto" w:fill="FFFFFF"/>
            <w:tcMar>
              <w:top w:w="100" w:type="dxa"/>
              <w:left w:w="100" w:type="dxa"/>
              <w:bottom w:w="100" w:type="dxa"/>
              <w:right w:w="100" w:type="dxa"/>
            </w:tcMar>
            <w:hideMark/>
          </w:tcPr>
          <w:p w14:paraId="06E93ABD" w14:textId="77777777" w:rsidR="0008676D" w:rsidRPr="0008676D" w:rsidRDefault="0008676D" w:rsidP="0008676D">
            <w:pPr>
              <w:ind w:left="100"/>
              <w:jc w:val="center"/>
            </w:pPr>
            <w:r w:rsidRPr="0008676D">
              <w:rPr>
                <w:color w:val="000000"/>
              </w:rPr>
              <w:t>6.7</w:t>
            </w:r>
          </w:p>
        </w:tc>
      </w:tr>
      <w:tr w:rsidR="0008676D" w:rsidRPr="0008676D" w14:paraId="314955D5" w14:textId="77777777" w:rsidTr="0008676D">
        <w:tc>
          <w:tcPr>
            <w:tcW w:w="0" w:type="auto"/>
            <w:shd w:val="clear" w:color="auto" w:fill="FFFFFF"/>
            <w:tcMar>
              <w:top w:w="100" w:type="dxa"/>
              <w:left w:w="100" w:type="dxa"/>
              <w:bottom w:w="100" w:type="dxa"/>
              <w:right w:w="100" w:type="dxa"/>
            </w:tcMar>
            <w:hideMark/>
          </w:tcPr>
          <w:p w14:paraId="729E4386" w14:textId="77777777" w:rsidR="0008676D" w:rsidRPr="0008676D" w:rsidRDefault="0008676D" w:rsidP="0008676D">
            <w:pPr>
              <w:ind w:left="100"/>
              <w:jc w:val="center"/>
            </w:pPr>
            <w:r w:rsidRPr="0008676D">
              <w:rPr>
                <w:color w:val="000000"/>
              </w:rPr>
              <w:t>5</w:t>
            </w:r>
          </w:p>
        </w:tc>
        <w:tc>
          <w:tcPr>
            <w:tcW w:w="0" w:type="auto"/>
            <w:shd w:val="clear" w:color="auto" w:fill="FFFFFF"/>
            <w:tcMar>
              <w:top w:w="100" w:type="dxa"/>
              <w:left w:w="100" w:type="dxa"/>
              <w:bottom w:w="100" w:type="dxa"/>
              <w:right w:w="100" w:type="dxa"/>
            </w:tcMar>
            <w:hideMark/>
          </w:tcPr>
          <w:p w14:paraId="3C9167D6" w14:textId="77777777" w:rsidR="0008676D" w:rsidRPr="0008676D" w:rsidRDefault="0008676D" w:rsidP="0008676D">
            <w:pPr>
              <w:ind w:left="100"/>
              <w:jc w:val="center"/>
            </w:pPr>
            <w:r w:rsidRPr="0008676D">
              <w:rPr>
                <w:color w:val="000000"/>
              </w:rPr>
              <w:t>13.3</w:t>
            </w:r>
          </w:p>
        </w:tc>
      </w:tr>
      <w:tr w:rsidR="0008676D" w:rsidRPr="0008676D" w14:paraId="5014327B" w14:textId="77777777" w:rsidTr="0008676D">
        <w:tc>
          <w:tcPr>
            <w:tcW w:w="0" w:type="auto"/>
            <w:tcBorders>
              <w:bottom w:val="single" w:sz="8" w:space="0" w:color="000000"/>
            </w:tcBorders>
            <w:shd w:val="clear" w:color="auto" w:fill="FFFFFF"/>
            <w:tcMar>
              <w:top w:w="100" w:type="dxa"/>
              <w:left w:w="100" w:type="dxa"/>
              <w:bottom w:w="100" w:type="dxa"/>
              <w:right w:w="100" w:type="dxa"/>
            </w:tcMar>
            <w:hideMark/>
          </w:tcPr>
          <w:p w14:paraId="656EA518" w14:textId="77777777" w:rsidR="0008676D" w:rsidRPr="0008676D" w:rsidRDefault="0008676D" w:rsidP="0008676D">
            <w:pPr>
              <w:ind w:left="100"/>
              <w:jc w:val="center"/>
            </w:pPr>
            <w:r w:rsidRPr="0008676D">
              <w:rPr>
                <w:color w:val="000000"/>
              </w:rPr>
              <w:t>6</w:t>
            </w:r>
          </w:p>
        </w:tc>
        <w:tc>
          <w:tcPr>
            <w:tcW w:w="0" w:type="auto"/>
            <w:tcBorders>
              <w:bottom w:val="single" w:sz="8" w:space="0" w:color="000000"/>
            </w:tcBorders>
            <w:shd w:val="clear" w:color="auto" w:fill="FFFFFF"/>
            <w:tcMar>
              <w:top w:w="100" w:type="dxa"/>
              <w:left w:w="100" w:type="dxa"/>
              <w:bottom w:w="100" w:type="dxa"/>
              <w:right w:w="100" w:type="dxa"/>
            </w:tcMar>
            <w:hideMark/>
          </w:tcPr>
          <w:p w14:paraId="60C065F4" w14:textId="77777777" w:rsidR="0008676D" w:rsidRPr="0008676D" w:rsidRDefault="0008676D" w:rsidP="0008676D">
            <w:pPr>
              <w:ind w:left="100"/>
              <w:jc w:val="center"/>
            </w:pPr>
            <w:r w:rsidRPr="0008676D">
              <w:rPr>
                <w:color w:val="000000"/>
              </w:rPr>
              <w:t>16.7</w:t>
            </w:r>
          </w:p>
        </w:tc>
      </w:tr>
    </w:tbl>
    <w:p w14:paraId="31E187A7" w14:textId="77777777" w:rsidR="0008676D" w:rsidRPr="0008676D" w:rsidRDefault="0008676D" w:rsidP="0008676D">
      <w:r w:rsidRPr="0008676D">
        <w:rPr>
          <w:color w:val="000000"/>
        </w:rPr>
        <w:t> </w:t>
      </w:r>
    </w:p>
    <w:p w14:paraId="341DEBE2" w14:textId="77777777" w:rsidR="0008676D" w:rsidRPr="0008676D" w:rsidRDefault="0008676D" w:rsidP="0008676D"/>
    <w:p w14:paraId="10B0EA7D" w14:textId="138BA833" w:rsidR="006E1B09" w:rsidRPr="006E1B09" w:rsidRDefault="006E1B09" w:rsidP="006E1B09">
      <w:pPr>
        <w:spacing w:line="480" w:lineRule="auto"/>
      </w:pPr>
      <w:r w:rsidRPr="006E1B09">
        <w:rPr>
          <w:color w:val="000000"/>
        </w:rPr>
        <w:t xml:space="preserve">Table </w:t>
      </w:r>
      <w:r>
        <w:rPr>
          <w:color w:val="000000"/>
        </w:rPr>
        <w:t>4</w:t>
      </w:r>
    </w:p>
    <w:p w14:paraId="6E206784" w14:textId="77777777" w:rsidR="006E1B09" w:rsidRPr="006E1B09" w:rsidRDefault="006E1B09" w:rsidP="006E1B09">
      <w:r w:rsidRPr="006E1B09">
        <w:rPr>
          <w:i/>
          <w:iCs/>
          <w:color w:val="000000"/>
        </w:rPr>
        <w:t>Number of RGB Code Pairs Found at Each Performance Percentile</w:t>
      </w:r>
    </w:p>
    <w:p w14:paraId="6C30364D" w14:textId="77777777" w:rsidR="006E1B09" w:rsidRPr="006E1B09" w:rsidRDefault="006E1B09" w:rsidP="006E1B09">
      <w:r w:rsidRPr="006E1B09">
        <w:rPr>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353"/>
        <w:gridCol w:w="1707"/>
      </w:tblGrid>
      <w:tr w:rsidR="006E1B09" w:rsidRPr="006E1B09" w14:paraId="1DDBEDA9" w14:textId="77777777" w:rsidTr="006E1B09">
        <w:trPr>
          <w:trHeight w:val="500"/>
        </w:trPr>
        <w:tc>
          <w:tcPr>
            <w:tcW w:w="0" w:type="auto"/>
            <w:tcBorders>
              <w:bottom w:val="single" w:sz="8" w:space="0" w:color="000000"/>
            </w:tcBorders>
            <w:shd w:val="clear" w:color="auto" w:fill="FFFFFF"/>
            <w:tcMar>
              <w:top w:w="100" w:type="dxa"/>
              <w:left w:w="100" w:type="dxa"/>
              <w:bottom w:w="100" w:type="dxa"/>
              <w:right w:w="100" w:type="dxa"/>
            </w:tcMar>
            <w:hideMark/>
          </w:tcPr>
          <w:p w14:paraId="10A011D9" w14:textId="77777777" w:rsidR="006E1B09" w:rsidRPr="006E1B09" w:rsidRDefault="006E1B09" w:rsidP="006E1B09">
            <w:pPr>
              <w:ind w:left="100"/>
              <w:jc w:val="center"/>
            </w:pPr>
            <w:r w:rsidRPr="006E1B09">
              <w:rPr>
                <w:color w:val="000000"/>
              </w:rPr>
              <w:t>Percentiles</w:t>
            </w:r>
          </w:p>
        </w:tc>
        <w:tc>
          <w:tcPr>
            <w:tcW w:w="0" w:type="auto"/>
            <w:tcBorders>
              <w:bottom w:val="single" w:sz="8" w:space="0" w:color="000000"/>
            </w:tcBorders>
            <w:shd w:val="clear" w:color="auto" w:fill="FFFFFF"/>
            <w:tcMar>
              <w:top w:w="100" w:type="dxa"/>
              <w:left w:w="100" w:type="dxa"/>
              <w:bottom w:w="100" w:type="dxa"/>
              <w:right w:w="100" w:type="dxa"/>
            </w:tcMar>
            <w:hideMark/>
          </w:tcPr>
          <w:p w14:paraId="67D97EA2" w14:textId="77777777" w:rsidR="006E1B09" w:rsidRPr="006E1B09" w:rsidRDefault="006E1B09" w:rsidP="006E1B09">
            <w:pPr>
              <w:ind w:left="100"/>
              <w:jc w:val="center"/>
            </w:pPr>
            <w:r w:rsidRPr="006E1B09">
              <w:rPr>
                <w:color w:val="000000"/>
              </w:rPr>
              <w:t>Number found</w:t>
            </w:r>
          </w:p>
        </w:tc>
      </w:tr>
      <w:tr w:rsidR="006E1B09" w:rsidRPr="006E1B09" w14:paraId="5A4F27EA" w14:textId="77777777" w:rsidTr="006E1B09">
        <w:trPr>
          <w:trHeight w:val="500"/>
        </w:trPr>
        <w:tc>
          <w:tcPr>
            <w:tcW w:w="0" w:type="auto"/>
            <w:tcBorders>
              <w:top w:val="single" w:sz="8" w:space="0" w:color="000000"/>
            </w:tcBorders>
            <w:shd w:val="clear" w:color="auto" w:fill="FFFFFF"/>
            <w:tcMar>
              <w:top w:w="100" w:type="dxa"/>
              <w:left w:w="100" w:type="dxa"/>
              <w:bottom w:w="100" w:type="dxa"/>
              <w:right w:w="100" w:type="dxa"/>
            </w:tcMar>
            <w:hideMark/>
          </w:tcPr>
          <w:p w14:paraId="193939F3" w14:textId="77777777" w:rsidR="006E1B09" w:rsidRPr="006E1B09" w:rsidRDefault="006E1B09" w:rsidP="006E1B09">
            <w:pPr>
              <w:ind w:left="100"/>
              <w:jc w:val="center"/>
            </w:pPr>
            <w:r w:rsidRPr="006E1B09">
              <w:rPr>
                <w:color w:val="000000"/>
              </w:rPr>
              <w:t>1%</w:t>
            </w:r>
          </w:p>
        </w:tc>
        <w:tc>
          <w:tcPr>
            <w:tcW w:w="0" w:type="auto"/>
            <w:tcBorders>
              <w:top w:val="single" w:sz="8" w:space="0" w:color="000000"/>
            </w:tcBorders>
            <w:shd w:val="clear" w:color="auto" w:fill="FFFFFF"/>
            <w:tcMar>
              <w:top w:w="100" w:type="dxa"/>
              <w:left w:w="100" w:type="dxa"/>
              <w:bottom w:w="100" w:type="dxa"/>
              <w:right w:w="100" w:type="dxa"/>
            </w:tcMar>
            <w:hideMark/>
          </w:tcPr>
          <w:p w14:paraId="4370D2AE" w14:textId="77777777" w:rsidR="006E1B09" w:rsidRPr="006E1B09" w:rsidRDefault="006E1B09" w:rsidP="006E1B09">
            <w:pPr>
              <w:ind w:left="100"/>
              <w:jc w:val="center"/>
            </w:pPr>
            <w:r w:rsidRPr="006E1B09">
              <w:rPr>
                <w:color w:val="000000"/>
              </w:rPr>
              <w:t>0</w:t>
            </w:r>
          </w:p>
        </w:tc>
      </w:tr>
      <w:tr w:rsidR="006E1B09" w:rsidRPr="006E1B09" w14:paraId="5E3B2DE5" w14:textId="77777777" w:rsidTr="006E1B09">
        <w:trPr>
          <w:trHeight w:val="500"/>
        </w:trPr>
        <w:tc>
          <w:tcPr>
            <w:tcW w:w="0" w:type="auto"/>
            <w:shd w:val="clear" w:color="auto" w:fill="FFFFFF"/>
            <w:tcMar>
              <w:top w:w="100" w:type="dxa"/>
              <w:left w:w="100" w:type="dxa"/>
              <w:bottom w:w="100" w:type="dxa"/>
              <w:right w:w="100" w:type="dxa"/>
            </w:tcMar>
            <w:hideMark/>
          </w:tcPr>
          <w:p w14:paraId="29BB1985" w14:textId="77777777" w:rsidR="006E1B09" w:rsidRPr="006E1B09" w:rsidRDefault="006E1B09" w:rsidP="006E1B09">
            <w:pPr>
              <w:ind w:left="100"/>
              <w:jc w:val="center"/>
            </w:pPr>
            <w:r w:rsidRPr="006E1B09">
              <w:rPr>
                <w:color w:val="000000"/>
              </w:rPr>
              <w:t>20%</w:t>
            </w:r>
          </w:p>
        </w:tc>
        <w:tc>
          <w:tcPr>
            <w:tcW w:w="0" w:type="auto"/>
            <w:shd w:val="clear" w:color="auto" w:fill="FFFFFF"/>
            <w:tcMar>
              <w:top w:w="100" w:type="dxa"/>
              <w:left w:w="100" w:type="dxa"/>
              <w:bottom w:w="100" w:type="dxa"/>
              <w:right w:w="100" w:type="dxa"/>
            </w:tcMar>
            <w:hideMark/>
          </w:tcPr>
          <w:p w14:paraId="09CED12C" w14:textId="77777777" w:rsidR="006E1B09" w:rsidRPr="006E1B09" w:rsidRDefault="006E1B09" w:rsidP="006E1B09">
            <w:pPr>
              <w:ind w:left="100"/>
              <w:jc w:val="center"/>
            </w:pPr>
            <w:r w:rsidRPr="006E1B09">
              <w:rPr>
                <w:color w:val="000000"/>
              </w:rPr>
              <w:t>1</w:t>
            </w:r>
          </w:p>
        </w:tc>
      </w:tr>
      <w:tr w:rsidR="006E1B09" w:rsidRPr="006E1B09" w14:paraId="31AB5951" w14:textId="77777777" w:rsidTr="006E1B09">
        <w:trPr>
          <w:trHeight w:val="500"/>
        </w:trPr>
        <w:tc>
          <w:tcPr>
            <w:tcW w:w="0" w:type="auto"/>
            <w:shd w:val="clear" w:color="auto" w:fill="FFFFFF"/>
            <w:tcMar>
              <w:top w:w="100" w:type="dxa"/>
              <w:left w:w="100" w:type="dxa"/>
              <w:bottom w:w="100" w:type="dxa"/>
              <w:right w:w="100" w:type="dxa"/>
            </w:tcMar>
            <w:hideMark/>
          </w:tcPr>
          <w:p w14:paraId="1F5C8AC7" w14:textId="77777777" w:rsidR="006E1B09" w:rsidRPr="006E1B09" w:rsidRDefault="006E1B09" w:rsidP="006E1B09">
            <w:pPr>
              <w:ind w:left="100"/>
              <w:jc w:val="center"/>
            </w:pPr>
            <w:r w:rsidRPr="006E1B09">
              <w:rPr>
                <w:color w:val="000000"/>
              </w:rPr>
              <w:t>40%</w:t>
            </w:r>
          </w:p>
        </w:tc>
        <w:tc>
          <w:tcPr>
            <w:tcW w:w="0" w:type="auto"/>
            <w:shd w:val="clear" w:color="auto" w:fill="FFFFFF"/>
            <w:tcMar>
              <w:top w:w="100" w:type="dxa"/>
              <w:left w:w="100" w:type="dxa"/>
              <w:bottom w:w="100" w:type="dxa"/>
              <w:right w:w="100" w:type="dxa"/>
            </w:tcMar>
            <w:hideMark/>
          </w:tcPr>
          <w:p w14:paraId="3C44ACF0" w14:textId="77777777" w:rsidR="006E1B09" w:rsidRPr="006E1B09" w:rsidRDefault="006E1B09" w:rsidP="006E1B09">
            <w:pPr>
              <w:ind w:left="100"/>
              <w:jc w:val="center"/>
            </w:pPr>
            <w:r w:rsidRPr="006E1B09">
              <w:rPr>
                <w:color w:val="000000"/>
              </w:rPr>
              <w:t>2</w:t>
            </w:r>
          </w:p>
        </w:tc>
      </w:tr>
      <w:tr w:rsidR="006E1B09" w:rsidRPr="006E1B09" w14:paraId="105B95FE" w14:textId="77777777" w:rsidTr="006E1B09">
        <w:trPr>
          <w:trHeight w:val="500"/>
        </w:trPr>
        <w:tc>
          <w:tcPr>
            <w:tcW w:w="0" w:type="auto"/>
            <w:shd w:val="clear" w:color="auto" w:fill="FFFFFF"/>
            <w:tcMar>
              <w:top w:w="100" w:type="dxa"/>
              <w:left w:w="100" w:type="dxa"/>
              <w:bottom w:w="100" w:type="dxa"/>
              <w:right w:w="100" w:type="dxa"/>
            </w:tcMar>
            <w:hideMark/>
          </w:tcPr>
          <w:p w14:paraId="158E4202" w14:textId="77777777" w:rsidR="006E1B09" w:rsidRPr="006E1B09" w:rsidRDefault="006E1B09" w:rsidP="006E1B09">
            <w:pPr>
              <w:ind w:left="100"/>
              <w:jc w:val="center"/>
            </w:pPr>
            <w:r w:rsidRPr="006E1B09">
              <w:rPr>
                <w:color w:val="000000"/>
              </w:rPr>
              <w:t>60%</w:t>
            </w:r>
          </w:p>
        </w:tc>
        <w:tc>
          <w:tcPr>
            <w:tcW w:w="0" w:type="auto"/>
            <w:shd w:val="clear" w:color="auto" w:fill="FFFFFF"/>
            <w:tcMar>
              <w:top w:w="100" w:type="dxa"/>
              <w:left w:w="100" w:type="dxa"/>
              <w:bottom w:w="100" w:type="dxa"/>
              <w:right w:w="100" w:type="dxa"/>
            </w:tcMar>
            <w:hideMark/>
          </w:tcPr>
          <w:p w14:paraId="0D870871" w14:textId="77777777" w:rsidR="006E1B09" w:rsidRPr="006E1B09" w:rsidRDefault="006E1B09" w:rsidP="006E1B09">
            <w:pPr>
              <w:ind w:left="100"/>
              <w:jc w:val="center"/>
            </w:pPr>
            <w:r w:rsidRPr="006E1B09">
              <w:rPr>
                <w:color w:val="000000"/>
              </w:rPr>
              <w:t>2</w:t>
            </w:r>
          </w:p>
        </w:tc>
      </w:tr>
      <w:tr w:rsidR="006E1B09" w:rsidRPr="006E1B09" w14:paraId="26115743" w14:textId="77777777" w:rsidTr="006E1B09">
        <w:trPr>
          <w:trHeight w:val="500"/>
        </w:trPr>
        <w:tc>
          <w:tcPr>
            <w:tcW w:w="0" w:type="auto"/>
            <w:shd w:val="clear" w:color="auto" w:fill="FFFFFF"/>
            <w:tcMar>
              <w:top w:w="100" w:type="dxa"/>
              <w:left w:w="100" w:type="dxa"/>
              <w:bottom w:w="100" w:type="dxa"/>
              <w:right w:w="100" w:type="dxa"/>
            </w:tcMar>
            <w:hideMark/>
          </w:tcPr>
          <w:p w14:paraId="2495FAEE" w14:textId="77777777" w:rsidR="006E1B09" w:rsidRPr="006E1B09" w:rsidRDefault="006E1B09" w:rsidP="006E1B09">
            <w:pPr>
              <w:ind w:left="100"/>
              <w:jc w:val="center"/>
            </w:pPr>
            <w:r w:rsidRPr="006E1B09">
              <w:rPr>
                <w:color w:val="000000"/>
              </w:rPr>
              <w:t>80%</w:t>
            </w:r>
          </w:p>
        </w:tc>
        <w:tc>
          <w:tcPr>
            <w:tcW w:w="0" w:type="auto"/>
            <w:shd w:val="clear" w:color="auto" w:fill="FFFFFF"/>
            <w:tcMar>
              <w:top w:w="100" w:type="dxa"/>
              <w:left w:w="100" w:type="dxa"/>
              <w:bottom w:w="100" w:type="dxa"/>
              <w:right w:w="100" w:type="dxa"/>
            </w:tcMar>
            <w:hideMark/>
          </w:tcPr>
          <w:p w14:paraId="28C84525" w14:textId="77777777" w:rsidR="006E1B09" w:rsidRPr="006E1B09" w:rsidRDefault="006E1B09" w:rsidP="006E1B09">
            <w:pPr>
              <w:ind w:left="100"/>
              <w:jc w:val="center"/>
            </w:pPr>
            <w:r w:rsidRPr="006E1B09">
              <w:rPr>
                <w:color w:val="000000"/>
              </w:rPr>
              <w:t>3</w:t>
            </w:r>
          </w:p>
        </w:tc>
      </w:tr>
      <w:tr w:rsidR="006E1B09" w:rsidRPr="006E1B09" w14:paraId="40DB1710" w14:textId="77777777" w:rsidTr="006E1B09">
        <w:trPr>
          <w:trHeight w:val="500"/>
        </w:trPr>
        <w:tc>
          <w:tcPr>
            <w:tcW w:w="0" w:type="auto"/>
            <w:tcBorders>
              <w:bottom w:val="single" w:sz="8" w:space="0" w:color="000000"/>
            </w:tcBorders>
            <w:shd w:val="clear" w:color="auto" w:fill="FFFFFF"/>
            <w:tcMar>
              <w:top w:w="100" w:type="dxa"/>
              <w:left w:w="100" w:type="dxa"/>
              <w:bottom w:w="100" w:type="dxa"/>
              <w:right w:w="100" w:type="dxa"/>
            </w:tcMar>
            <w:hideMark/>
          </w:tcPr>
          <w:p w14:paraId="024D6F60" w14:textId="77777777" w:rsidR="006E1B09" w:rsidRPr="006E1B09" w:rsidRDefault="006E1B09" w:rsidP="006E1B09">
            <w:pPr>
              <w:ind w:left="100"/>
              <w:jc w:val="center"/>
            </w:pPr>
            <w:r w:rsidRPr="006E1B09">
              <w:rPr>
                <w:color w:val="000000"/>
              </w:rPr>
              <w:t>100%</w:t>
            </w:r>
          </w:p>
        </w:tc>
        <w:tc>
          <w:tcPr>
            <w:tcW w:w="0" w:type="auto"/>
            <w:tcBorders>
              <w:bottom w:val="single" w:sz="8" w:space="0" w:color="000000"/>
            </w:tcBorders>
            <w:shd w:val="clear" w:color="auto" w:fill="FFFFFF"/>
            <w:tcMar>
              <w:top w:w="100" w:type="dxa"/>
              <w:left w:w="100" w:type="dxa"/>
              <w:bottom w:w="100" w:type="dxa"/>
              <w:right w:w="100" w:type="dxa"/>
            </w:tcMar>
            <w:hideMark/>
          </w:tcPr>
          <w:p w14:paraId="6FB654AB" w14:textId="77777777" w:rsidR="006E1B09" w:rsidRPr="006E1B09" w:rsidRDefault="006E1B09" w:rsidP="006E1B09">
            <w:pPr>
              <w:ind w:left="100"/>
              <w:jc w:val="center"/>
            </w:pPr>
            <w:r w:rsidRPr="006E1B09">
              <w:rPr>
                <w:color w:val="000000"/>
              </w:rPr>
              <w:t>5</w:t>
            </w:r>
          </w:p>
        </w:tc>
      </w:tr>
    </w:tbl>
    <w:p w14:paraId="3010A3CB" w14:textId="77777777" w:rsidR="006E1B09" w:rsidRPr="006E1B09" w:rsidRDefault="006E1B09" w:rsidP="006E1B09"/>
    <w:p w14:paraId="09687A91" w14:textId="77777777" w:rsidR="006E1B09" w:rsidRPr="006E1B09" w:rsidRDefault="006E1B09" w:rsidP="006E1B09"/>
    <w:p w14:paraId="287E165F" w14:textId="3CCA7670" w:rsidR="00924920" w:rsidRPr="00554D22" w:rsidRDefault="00554D22" w:rsidP="00924920">
      <w:pPr>
        <w:spacing w:line="480" w:lineRule="auto"/>
        <w:rPr>
          <w:color w:val="000000"/>
        </w:rPr>
      </w:pPr>
      <w:r>
        <w:rPr>
          <w:b/>
          <w:bCs/>
          <w:color w:val="000000"/>
        </w:rPr>
        <w:tab/>
      </w:r>
      <w:r>
        <w:rPr>
          <w:color w:val="000000"/>
        </w:rPr>
        <w:t xml:space="preserve">Lastly, since individuals were randomly assigned to one of eight conditions based on the pairing of (i) nominal or relative feedback, (ii) positive or negative feedback, and (iii) accurate or </w:t>
      </w:r>
      <w:r>
        <w:rPr>
          <w:color w:val="000000"/>
        </w:rPr>
        <w:lastRenderedPageBreak/>
        <w:t xml:space="preserve">inaccurate feedback, we are making the distribution available for review. Notably, accuracy and valence were associated, reflecting to some extent the relative difficulty of our task, which made for an uneven distribution of participants across the eight conditions. However, it should be kept in mind that our interest was in examining the interaction between feedback information type and feedback accuracy (which was adequately sampled), not a three-way interaction (which was not adequately sampled). </w:t>
      </w:r>
    </w:p>
    <w:p w14:paraId="3E7F1AB5" w14:textId="627E44FD" w:rsidR="00554D22" w:rsidRDefault="00554D22" w:rsidP="00554D22">
      <w:pPr>
        <w:pStyle w:val="NormalWeb"/>
        <w:spacing w:before="0" w:beforeAutospacing="0" w:after="0" w:afterAutospacing="0" w:line="480" w:lineRule="auto"/>
      </w:pPr>
      <w:r>
        <w:rPr>
          <w:i/>
          <w:iCs/>
          <w:color w:val="000000"/>
        </w:rPr>
        <w:t xml:space="preserve">Table </w:t>
      </w:r>
      <w:r>
        <w:rPr>
          <w:i/>
          <w:iCs/>
          <w:color w:val="000000"/>
        </w:rPr>
        <w:t>5</w:t>
      </w:r>
    </w:p>
    <w:p w14:paraId="2D3066B9" w14:textId="77777777" w:rsidR="00554D22" w:rsidRDefault="00554D22" w:rsidP="00554D22">
      <w:pPr>
        <w:pStyle w:val="NormalWeb"/>
        <w:spacing w:before="0" w:beforeAutospacing="0" w:after="0" w:afterAutospacing="0" w:line="480" w:lineRule="auto"/>
      </w:pPr>
      <w:r>
        <w:rPr>
          <w:i/>
          <w:iCs/>
          <w:color w:val="000000"/>
        </w:rPr>
        <w:t>n per cell breakdown</w:t>
      </w:r>
    </w:p>
    <w:tbl>
      <w:tblPr>
        <w:tblW w:w="0" w:type="auto"/>
        <w:tblCellMar>
          <w:top w:w="15" w:type="dxa"/>
          <w:left w:w="15" w:type="dxa"/>
          <w:bottom w:w="15" w:type="dxa"/>
          <w:right w:w="15" w:type="dxa"/>
        </w:tblCellMar>
        <w:tblLook w:val="04A0" w:firstRow="1" w:lastRow="0" w:firstColumn="1" w:lastColumn="0" w:noHBand="0" w:noVBand="1"/>
      </w:tblPr>
      <w:tblGrid>
        <w:gridCol w:w="2880"/>
        <w:gridCol w:w="2179"/>
        <w:gridCol w:w="2179"/>
        <w:gridCol w:w="560"/>
      </w:tblGrid>
      <w:tr w:rsidR="00554D22" w14:paraId="198C33CF" w14:textId="77777777" w:rsidTr="00554D22">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34E1A04C" w14:textId="77777777" w:rsidR="00554D22" w:rsidRDefault="00554D22">
            <w:pPr>
              <w:pStyle w:val="NormalWeb"/>
              <w:spacing w:before="0" w:beforeAutospacing="0" w:after="0" w:afterAutospacing="0"/>
            </w:pPr>
            <w:r>
              <w:rPr>
                <w:color w:val="000000"/>
              </w:rPr>
              <w:t>Feedback Information Type</w:t>
            </w:r>
          </w:p>
        </w:tc>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4ECF5C53" w14:textId="77777777" w:rsidR="00554D22" w:rsidRDefault="00554D22">
            <w:pPr>
              <w:pStyle w:val="NormalWeb"/>
              <w:spacing w:before="0" w:beforeAutospacing="0" w:after="0" w:afterAutospacing="0"/>
            </w:pPr>
            <w:r>
              <w:rPr>
                <w:color w:val="000000"/>
              </w:rPr>
              <w:t>Feedback Valence</w:t>
            </w:r>
          </w:p>
        </w:tc>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0415B865" w14:textId="77777777" w:rsidR="00554D22" w:rsidRDefault="00554D22">
            <w:pPr>
              <w:pStyle w:val="NormalWeb"/>
              <w:spacing w:before="0" w:beforeAutospacing="0" w:after="0" w:afterAutospacing="0"/>
            </w:pPr>
            <w:r>
              <w:rPr>
                <w:color w:val="000000"/>
              </w:rPr>
              <w:t>Feedback Accuracy</w:t>
            </w:r>
          </w:p>
        </w:tc>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504F9ECE" w14:textId="77777777" w:rsidR="00554D22" w:rsidRDefault="00554D22">
            <w:pPr>
              <w:pStyle w:val="NormalWeb"/>
              <w:spacing w:before="0" w:beforeAutospacing="0" w:after="0" w:afterAutospacing="0"/>
              <w:jc w:val="right"/>
            </w:pPr>
            <w:r>
              <w:rPr>
                <w:i/>
                <w:iCs/>
                <w:color w:val="000000"/>
              </w:rPr>
              <w:t>n</w:t>
            </w:r>
          </w:p>
        </w:tc>
      </w:tr>
      <w:tr w:rsidR="00554D22" w14:paraId="71D71AC7" w14:textId="77777777" w:rsidTr="00554D22">
        <w:trPr>
          <w:trHeight w:val="240"/>
        </w:trPr>
        <w:tc>
          <w:tcPr>
            <w:tcW w:w="0" w:type="auto"/>
            <w:tcBorders>
              <w:top w:val="single" w:sz="6" w:space="0" w:color="000000"/>
            </w:tcBorders>
            <w:shd w:val="clear" w:color="auto" w:fill="FFFFFF"/>
            <w:tcMar>
              <w:top w:w="40" w:type="dxa"/>
              <w:left w:w="100" w:type="dxa"/>
              <w:bottom w:w="40" w:type="dxa"/>
              <w:right w:w="100" w:type="dxa"/>
            </w:tcMar>
            <w:vAlign w:val="bottom"/>
            <w:hideMark/>
          </w:tcPr>
          <w:p w14:paraId="32AC400D" w14:textId="77777777" w:rsidR="00554D22" w:rsidRDefault="00554D22">
            <w:pPr>
              <w:pStyle w:val="NormalWeb"/>
              <w:spacing w:before="0" w:beforeAutospacing="0" w:after="0" w:afterAutospacing="0"/>
            </w:pPr>
            <w:r>
              <w:rPr>
                <w:color w:val="000000"/>
              </w:rPr>
              <w:t>Relative Feedback</w:t>
            </w:r>
          </w:p>
        </w:tc>
        <w:tc>
          <w:tcPr>
            <w:tcW w:w="0" w:type="auto"/>
            <w:tcBorders>
              <w:top w:val="single" w:sz="6" w:space="0" w:color="000000"/>
            </w:tcBorders>
            <w:shd w:val="clear" w:color="auto" w:fill="FFFFFF"/>
            <w:tcMar>
              <w:top w:w="40" w:type="dxa"/>
              <w:left w:w="100" w:type="dxa"/>
              <w:bottom w:w="40" w:type="dxa"/>
              <w:right w:w="100" w:type="dxa"/>
            </w:tcMar>
            <w:vAlign w:val="bottom"/>
            <w:hideMark/>
          </w:tcPr>
          <w:p w14:paraId="152200E0" w14:textId="77777777" w:rsidR="00554D22" w:rsidRDefault="00554D22">
            <w:pPr>
              <w:pStyle w:val="NormalWeb"/>
              <w:spacing w:before="0" w:beforeAutospacing="0" w:after="0" w:afterAutospacing="0"/>
            </w:pPr>
            <w:r>
              <w:rPr>
                <w:color w:val="000000"/>
              </w:rPr>
              <w:t>Negative Valence</w:t>
            </w:r>
          </w:p>
        </w:tc>
        <w:tc>
          <w:tcPr>
            <w:tcW w:w="0" w:type="auto"/>
            <w:tcBorders>
              <w:top w:val="single" w:sz="6" w:space="0" w:color="000000"/>
            </w:tcBorders>
            <w:shd w:val="clear" w:color="auto" w:fill="FFFFFF"/>
            <w:tcMar>
              <w:top w:w="40" w:type="dxa"/>
              <w:left w:w="100" w:type="dxa"/>
              <w:bottom w:w="40" w:type="dxa"/>
              <w:right w:w="100" w:type="dxa"/>
            </w:tcMar>
            <w:vAlign w:val="bottom"/>
            <w:hideMark/>
          </w:tcPr>
          <w:p w14:paraId="54885629" w14:textId="77777777" w:rsidR="00554D22" w:rsidRDefault="00554D22">
            <w:pPr>
              <w:pStyle w:val="NormalWeb"/>
              <w:spacing w:before="0" w:beforeAutospacing="0" w:after="0" w:afterAutospacing="0"/>
            </w:pPr>
            <w:r>
              <w:rPr>
                <w:color w:val="000000"/>
              </w:rPr>
              <w:t>Inaccurate Feedback</w:t>
            </w:r>
          </w:p>
        </w:tc>
        <w:tc>
          <w:tcPr>
            <w:tcW w:w="0" w:type="auto"/>
            <w:tcBorders>
              <w:top w:val="single" w:sz="6" w:space="0" w:color="000000"/>
            </w:tcBorders>
            <w:shd w:val="clear" w:color="auto" w:fill="FFFFFF"/>
            <w:tcMar>
              <w:top w:w="40" w:type="dxa"/>
              <w:left w:w="100" w:type="dxa"/>
              <w:bottom w:w="40" w:type="dxa"/>
              <w:right w:w="100" w:type="dxa"/>
            </w:tcMar>
            <w:vAlign w:val="bottom"/>
            <w:hideMark/>
          </w:tcPr>
          <w:p w14:paraId="0D5E32FF" w14:textId="77777777" w:rsidR="00554D22" w:rsidRDefault="00554D22">
            <w:pPr>
              <w:pStyle w:val="NormalWeb"/>
              <w:spacing w:before="0" w:beforeAutospacing="0" w:after="0" w:afterAutospacing="0"/>
              <w:jc w:val="right"/>
            </w:pPr>
            <w:r>
              <w:rPr>
                <w:color w:val="000000"/>
              </w:rPr>
              <w:t>41</w:t>
            </w:r>
          </w:p>
        </w:tc>
      </w:tr>
      <w:tr w:rsidR="00554D22" w14:paraId="6BCE72BA" w14:textId="77777777" w:rsidTr="00554D22">
        <w:trPr>
          <w:trHeight w:val="240"/>
        </w:trPr>
        <w:tc>
          <w:tcPr>
            <w:tcW w:w="0" w:type="auto"/>
            <w:shd w:val="clear" w:color="auto" w:fill="FFFFFF"/>
            <w:tcMar>
              <w:top w:w="40" w:type="dxa"/>
              <w:left w:w="100" w:type="dxa"/>
              <w:bottom w:w="40" w:type="dxa"/>
              <w:right w:w="100" w:type="dxa"/>
            </w:tcMar>
            <w:vAlign w:val="bottom"/>
            <w:hideMark/>
          </w:tcPr>
          <w:p w14:paraId="642B42B2" w14:textId="77777777" w:rsidR="00554D22" w:rsidRDefault="00554D22">
            <w:pPr>
              <w:pStyle w:val="NormalWeb"/>
              <w:spacing w:before="0" w:beforeAutospacing="0" w:after="0" w:afterAutospacing="0"/>
            </w:pPr>
            <w:r>
              <w:rPr>
                <w:color w:val="000000"/>
              </w:rPr>
              <w:t>Relative Feedback</w:t>
            </w:r>
          </w:p>
        </w:tc>
        <w:tc>
          <w:tcPr>
            <w:tcW w:w="0" w:type="auto"/>
            <w:shd w:val="clear" w:color="auto" w:fill="FFFFFF"/>
            <w:tcMar>
              <w:top w:w="40" w:type="dxa"/>
              <w:left w:w="100" w:type="dxa"/>
              <w:bottom w:w="40" w:type="dxa"/>
              <w:right w:w="100" w:type="dxa"/>
            </w:tcMar>
            <w:vAlign w:val="bottom"/>
            <w:hideMark/>
          </w:tcPr>
          <w:p w14:paraId="6AAA90FC" w14:textId="77777777" w:rsidR="00554D22" w:rsidRDefault="00554D22">
            <w:pPr>
              <w:pStyle w:val="NormalWeb"/>
              <w:spacing w:before="0" w:beforeAutospacing="0" w:after="0" w:afterAutospacing="0"/>
            </w:pPr>
            <w:r>
              <w:rPr>
                <w:color w:val="000000"/>
              </w:rPr>
              <w:t>Negative Valence</w:t>
            </w:r>
          </w:p>
        </w:tc>
        <w:tc>
          <w:tcPr>
            <w:tcW w:w="0" w:type="auto"/>
            <w:shd w:val="clear" w:color="auto" w:fill="FFFFFF"/>
            <w:tcMar>
              <w:top w:w="40" w:type="dxa"/>
              <w:left w:w="100" w:type="dxa"/>
              <w:bottom w:w="40" w:type="dxa"/>
              <w:right w:w="100" w:type="dxa"/>
            </w:tcMar>
            <w:vAlign w:val="bottom"/>
            <w:hideMark/>
          </w:tcPr>
          <w:p w14:paraId="2C890A16" w14:textId="77777777" w:rsidR="00554D22" w:rsidRDefault="00554D22">
            <w:pPr>
              <w:pStyle w:val="NormalWeb"/>
              <w:spacing w:before="0" w:beforeAutospacing="0" w:after="0" w:afterAutospacing="0"/>
            </w:pPr>
            <w:r>
              <w:rPr>
                <w:color w:val="000000"/>
              </w:rPr>
              <w:t>Accurate Feedback</w:t>
            </w:r>
          </w:p>
        </w:tc>
        <w:tc>
          <w:tcPr>
            <w:tcW w:w="0" w:type="auto"/>
            <w:shd w:val="clear" w:color="auto" w:fill="FFFFFF"/>
            <w:tcMar>
              <w:top w:w="40" w:type="dxa"/>
              <w:left w:w="100" w:type="dxa"/>
              <w:bottom w:w="40" w:type="dxa"/>
              <w:right w:w="100" w:type="dxa"/>
            </w:tcMar>
            <w:vAlign w:val="bottom"/>
            <w:hideMark/>
          </w:tcPr>
          <w:p w14:paraId="2054AF1B" w14:textId="77777777" w:rsidR="00554D22" w:rsidRDefault="00554D22">
            <w:pPr>
              <w:pStyle w:val="NormalWeb"/>
              <w:spacing w:before="0" w:beforeAutospacing="0" w:after="0" w:afterAutospacing="0"/>
              <w:jc w:val="right"/>
            </w:pPr>
            <w:r>
              <w:rPr>
                <w:color w:val="000000"/>
              </w:rPr>
              <w:t>157</w:t>
            </w:r>
          </w:p>
        </w:tc>
      </w:tr>
      <w:tr w:rsidR="00554D22" w14:paraId="1EAD395B" w14:textId="77777777" w:rsidTr="00554D22">
        <w:trPr>
          <w:trHeight w:val="240"/>
        </w:trPr>
        <w:tc>
          <w:tcPr>
            <w:tcW w:w="0" w:type="auto"/>
            <w:shd w:val="clear" w:color="auto" w:fill="FFFFFF"/>
            <w:tcMar>
              <w:top w:w="40" w:type="dxa"/>
              <w:left w:w="100" w:type="dxa"/>
              <w:bottom w:w="40" w:type="dxa"/>
              <w:right w:w="100" w:type="dxa"/>
            </w:tcMar>
            <w:vAlign w:val="bottom"/>
            <w:hideMark/>
          </w:tcPr>
          <w:p w14:paraId="6A143431" w14:textId="77777777" w:rsidR="00554D22" w:rsidRDefault="00554D22">
            <w:pPr>
              <w:pStyle w:val="NormalWeb"/>
              <w:spacing w:before="0" w:beforeAutospacing="0" w:after="0" w:afterAutospacing="0"/>
            </w:pPr>
            <w:r>
              <w:rPr>
                <w:color w:val="000000"/>
              </w:rPr>
              <w:t>Relative Feedback</w:t>
            </w:r>
          </w:p>
        </w:tc>
        <w:tc>
          <w:tcPr>
            <w:tcW w:w="0" w:type="auto"/>
            <w:shd w:val="clear" w:color="auto" w:fill="FFFFFF"/>
            <w:tcMar>
              <w:top w:w="40" w:type="dxa"/>
              <w:left w:w="100" w:type="dxa"/>
              <w:bottom w:w="40" w:type="dxa"/>
              <w:right w:w="100" w:type="dxa"/>
            </w:tcMar>
            <w:vAlign w:val="bottom"/>
            <w:hideMark/>
          </w:tcPr>
          <w:p w14:paraId="242327ED" w14:textId="77777777" w:rsidR="00554D22" w:rsidRDefault="00554D22">
            <w:pPr>
              <w:pStyle w:val="NormalWeb"/>
              <w:spacing w:before="0" w:beforeAutospacing="0" w:after="0" w:afterAutospacing="0"/>
            </w:pPr>
            <w:r>
              <w:rPr>
                <w:color w:val="000000"/>
              </w:rPr>
              <w:t>Positive Valence</w:t>
            </w:r>
          </w:p>
        </w:tc>
        <w:tc>
          <w:tcPr>
            <w:tcW w:w="0" w:type="auto"/>
            <w:shd w:val="clear" w:color="auto" w:fill="FFFFFF"/>
            <w:tcMar>
              <w:top w:w="40" w:type="dxa"/>
              <w:left w:w="100" w:type="dxa"/>
              <w:bottom w:w="40" w:type="dxa"/>
              <w:right w:w="100" w:type="dxa"/>
            </w:tcMar>
            <w:vAlign w:val="bottom"/>
            <w:hideMark/>
          </w:tcPr>
          <w:p w14:paraId="73BF66B1" w14:textId="77777777" w:rsidR="00554D22" w:rsidRDefault="00554D22">
            <w:pPr>
              <w:pStyle w:val="NormalWeb"/>
              <w:spacing w:before="0" w:beforeAutospacing="0" w:after="0" w:afterAutospacing="0"/>
            </w:pPr>
            <w:r>
              <w:rPr>
                <w:color w:val="000000"/>
              </w:rPr>
              <w:t>Inaccurate Feedback</w:t>
            </w:r>
          </w:p>
        </w:tc>
        <w:tc>
          <w:tcPr>
            <w:tcW w:w="0" w:type="auto"/>
            <w:shd w:val="clear" w:color="auto" w:fill="FFFFFF"/>
            <w:tcMar>
              <w:top w:w="40" w:type="dxa"/>
              <w:left w:w="100" w:type="dxa"/>
              <w:bottom w:w="40" w:type="dxa"/>
              <w:right w:w="100" w:type="dxa"/>
            </w:tcMar>
            <w:vAlign w:val="bottom"/>
            <w:hideMark/>
          </w:tcPr>
          <w:p w14:paraId="10D38BF7" w14:textId="77777777" w:rsidR="00554D22" w:rsidRDefault="00554D22">
            <w:pPr>
              <w:pStyle w:val="NormalWeb"/>
              <w:spacing w:before="0" w:beforeAutospacing="0" w:after="0" w:afterAutospacing="0"/>
              <w:jc w:val="right"/>
            </w:pPr>
            <w:r>
              <w:rPr>
                <w:color w:val="000000"/>
              </w:rPr>
              <w:t>167</w:t>
            </w:r>
          </w:p>
        </w:tc>
      </w:tr>
      <w:tr w:rsidR="00554D22" w14:paraId="1399742F" w14:textId="77777777" w:rsidTr="00554D22">
        <w:trPr>
          <w:trHeight w:val="240"/>
        </w:trPr>
        <w:tc>
          <w:tcPr>
            <w:tcW w:w="0" w:type="auto"/>
            <w:shd w:val="clear" w:color="auto" w:fill="FFFFFF"/>
            <w:tcMar>
              <w:top w:w="40" w:type="dxa"/>
              <w:left w:w="100" w:type="dxa"/>
              <w:bottom w:w="40" w:type="dxa"/>
              <w:right w:w="100" w:type="dxa"/>
            </w:tcMar>
            <w:vAlign w:val="bottom"/>
            <w:hideMark/>
          </w:tcPr>
          <w:p w14:paraId="767E1B7E" w14:textId="77777777" w:rsidR="00554D22" w:rsidRDefault="00554D22">
            <w:pPr>
              <w:pStyle w:val="NormalWeb"/>
              <w:spacing w:before="0" w:beforeAutospacing="0" w:after="0" w:afterAutospacing="0"/>
            </w:pPr>
            <w:r>
              <w:rPr>
                <w:color w:val="000000"/>
              </w:rPr>
              <w:t>Relative Feedback</w:t>
            </w:r>
          </w:p>
        </w:tc>
        <w:tc>
          <w:tcPr>
            <w:tcW w:w="0" w:type="auto"/>
            <w:shd w:val="clear" w:color="auto" w:fill="FFFFFF"/>
            <w:tcMar>
              <w:top w:w="40" w:type="dxa"/>
              <w:left w:w="100" w:type="dxa"/>
              <w:bottom w:w="40" w:type="dxa"/>
              <w:right w:w="100" w:type="dxa"/>
            </w:tcMar>
            <w:vAlign w:val="bottom"/>
            <w:hideMark/>
          </w:tcPr>
          <w:p w14:paraId="5EF19CE5" w14:textId="77777777" w:rsidR="00554D22" w:rsidRDefault="00554D22">
            <w:pPr>
              <w:pStyle w:val="NormalWeb"/>
              <w:spacing w:before="0" w:beforeAutospacing="0" w:after="0" w:afterAutospacing="0"/>
            </w:pPr>
            <w:r>
              <w:rPr>
                <w:color w:val="000000"/>
              </w:rPr>
              <w:t>Positive Valence</w:t>
            </w:r>
          </w:p>
        </w:tc>
        <w:tc>
          <w:tcPr>
            <w:tcW w:w="0" w:type="auto"/>
            <w:shd w:val="clear" w:color="auto" w:fill="FFFFFF"/>
            <w:tcMar>
              <w:top w:w="40" w:type="dxa"/>
              <w:left w:w="100" w:type="dxa"/>
              <w:bottom w:w="40" w:type="dxa"/>
              <w:right w:w="100" w:type="dxa"/>
            </w:tcMar>
            <w:vAlign w:val="bottom"/>
            <w:hideMark/>
          </w:tcPr>
          <w:p w14:paraId="761CDB39" w14:textId="77777777" w:rsidR="00554D22" w:rsidRDefault="00554D22">
            <w:pPr>
              <w:pStyle w:val="NormalWeb"/>
              <w:spacing w:before="0" w:beforeAutospacing="0" w:after="0" w:afterAutospacing="0"/>
            </w:pPr>
            <w:r>
              <w:rPr>
                <w:color w:val="000000"/>
              </w:rPr>
              <w:t>Accurate Feedback</w:t>
            </w:r>
          </w:p>
        </w:tc>
        <w:tc>
          <w:tcPr>
            <w:tcW w:w="0" w:type="auto"/>
            <w:shd w:val="clear" w:color="auto" w:fill="FFFFFF"/>
            <w:tcMar>
              <w:top w:w="40" w:type="dxa"/>
              <w:left w:w="100" w:type="dxa"/>
              <w:bottom w:w="40" w:type="dxa"/>
              <w:right w:w="100" w:type="dxa"/>
            </w:tcMar>
            <w:vAlign w:val="bottom"/>
            <w:hideMark/>
          </w:tcPr>
          <w:p w14:paraId="4C131856" w14:textId="77777777" w:rsidR="00554D22" w:rsidRDefault="00554D22">
            <w:pPr>
              <w:pStyle w:val="NormalWeb"/>
              <w:spacing w:before="0" w:beforeAutospacing="0" w:after="0" w:afterAutospacing="0"/>
              <w:jc w:val="right"/>
            </w:pPr>
            <w:r>
              <w:rPr>
                <w:color w:val="000000"/>
              </w:rPr>
              <w:t>34</w:t>
            </w:r>
          </w:p>
        </w:tc>
      </w:tr>
      <w:tr w:rsidR="00554D22" w14:paraId="3A9CDED5" w14:textId="77777777" w:rsidTr="00554D22">
        <w:trPr>
          <w:trHeight w:val="240"/>
        </w:trPr>
        <w:tc>
          <w:tcPr>
            <w:tcW w:w="0" w:type="auto"/>
            <w:shd w:val="clear" w:color="auto" w:fill="FFFFFF"/>
            <w:tcMar>
              <w:top w:w="40" w:type="dxa"/>
              <w:left w:w="100" w:type="dxa"/>
              <w:bottom w:w="40" w:type="dxa"/>
              <w:right w:w="100" w:type="dxa"/>
            </w:tcMar>
            <w:vAlign w:val="bottom"/>
            <w:hideMark/>
          </w:tcPr>
          <w:p w14:paraId="010AF9DB" w14:textId="77777777" w:rsidR="00554D22" w:rsidRDefault="00554D22">
            <w:pPr>
              <w:pStyle w:val="NormalWeb"/>
              <w:spacing w:before="0" w:beforeAutospacing="0" w:after="0" w:afterAutospacing="0"/>
            </w:pPr>
            <w:r>
              <w:rPr>
                <w:color w:val="000000"/>
              </w:rPr>
              <w:t>Nominal Feedback</w:t>
            </w:r>
          </w:p>
        </w:tc>
        <w:tc>
          <w:tcPr>
            <w:tcW w:w="0" w:type="auto"/>
            <w:shd w:val="clear" w:color="auto" w:fill="FFFFFF"/>
            <w:tcMar>
              <w:top w:w="40" w:type="dxa"/>
              <w:left w:w="100" w:type="dxa"/>
              <w:bottom w:w="40" w:type="dxa"/>
              <w:right w:w="100" w:type="dxa"/>
            </w:tcMar>
            <w:vAlign w:val="bottom"/>
            <w:hideMark/>
          </w:tcPr>
          <w:p w14:paraId="1D2004AD" w14:textId="77777777" w:rsidR="00554D22" w:rsidRDefault="00554D22">
            <w:pPr>
              <w:pStyle w:val="NormalWeb"/>
              <w:spacing w:before="0" w:beforeAutospacing="0" w:after="0" w:afterAutospacing="0"/>
            </w:pPr>
            <w:r>
              <w:rPr>
                <w:color w:val="000000"/>
              </w:rPr>
              <w:t>Negative Valence</w:t>
            </w:r>
          </w:p>
        </w:tc>
        <w:tc>
          <w:tcPr>
            <w:tcW w:w="0" w:type="auto"/>
            <w:shd w:val="clear" w:color="auto" w:fill="FFFFFF"/>
            <w:tcMar>
              <w:top w:w="40" w:type="dxa"/>
              <w:left w:w="100" w:type="dxa"/>
              <w:bottom w:w="40" w:type="dxa"/>
              <w:right w:w="100" w:type="dxa"/>
            </w:tcMar>
            <w:vAlign w:val="bottom"/>
            <w:hideMark/>
          </w:tcPr>
          <w:p w14:paraId="70602A93" w14:textId="77777777" w:rsidR="00554D22" w:rsidRDefault="00554D22">
            <w:pPr>
              <w:pStyle w:val="NormalWeb"/>
              <w:spacing w:before="0" w:beforeAutospacing="0" w:after="0" w:afterAutospacing="0"/>
            </w:pPr>
            <w:r>
              <w:rPr>
                <w:color w:val="000000"/>
              </w:rPr>
              <w:t>Inaccurate Feedback</w:t>
            </w:r>
          </w:p>
        </w:tc>
        <w:tc>
          <w:tcPr>
            <w:tcW w:w="0" w:type="auto"/>
            <w:shd w:val="clear" w:color="auto" w:fill="FFFFFF"/>
            <w:tcMar>
              <w:top w:w="40" w:type="dxa"/>
              <w:left w:w="100" w:type="dxa"/>
              <w:bottom w:w="40" w:type="dxa"/>
              <w:right w:w="100" w:type="dxa"/>
            </w:tcMar>
            <w:vAlign w:val="bottom"/>
            <w:hideMark/>
          </w:tcPr>
          <w:p w14:paraId="344E4AEB" w14:textId="77777777" w:rsidR="00554D22" w:rsidRDefault="00554D22">
            <w:pPr>
              <w:pStyle w:val="NormalWeb"/>
              <w:spacing w:before="0" w:beforeAutospacing="0" w:after="0" w:afterAutospacing="0"/>
              <w:jc w:val="right"/>
            </w:pPr>
            <w:r>
              <w:rPr>
                <w:color w:val="000000"/>
              </w:rPr>
              <w:t>33</w:t>
            </w:r>
          </w:p>
        </w:tc>
      </w:tr>
      <w:tr w:rsidR="00554D22" w14:paraId="7B51AF71" w14:textId="77777777" w:rsidTr="00554D22">
        <w:trPr>
          <w:trHeight w:val="240"/>
        </w:trPr>
        <w:tc>
          <w:tcPr>
            <w:tcW w:w="0" w:type="auto"/>
            <w:shd w:val="clear" w:color="auto" w:fill="FFFFFF"/>
            <w:tcMar>
              <w:top w:w="40" w:type="dxa"/>
              <w:left w:w="100" w:type="dxa"/>
              <w:bottom w:w="40" w:type="dxa"/>
              <w:right w:w="100" w:type="dxa"/>
            </w:tcMar>
            <w:vAlign w:val="bottom"/>
            <w:hideMark/>
          </w:tcPr>
          <w:p w14:paraId="2F1D5378" w14:textId="77777777" w:rsidR="00554D22" w:rsidRDefault="00554D22">
            <w:pPr>
              <w:pStyle w:val="NormalWeb"/>
              <w:spacing w:before="0" w:beforeAutospacing="0" w:after="0" w:afterAutospacing="0"/>
            </w:pPr>
            <w:r>
              <w:rPr>
                <w:color w:val="000000"/>
              </w:rPr>
              <w:t>Nominal Feedback</w:t>
            </w:r>
          </w:p>
        </w:tc>
        <w:tc>
          <w:tcPr>
            <w:tcW w:w="0" w:type="auto"/>
            <w:shd w:val="clear" w:color="auto" w:fill="FFFFFF"/>
            <w:tcMar>
              <w:top w:w="40" w:type="dxa"/>
              <w:left w:w="100" w:type="dxa"/>
              <w:bottom w:w="40" w:type="dxa"/>
              <w:right w:w="100" w:type="dxa"/>
            </w:tcMar>
            <w:vAlign w:val="bottom"/>
            <w:hideMark/>
          </w:tcPr>
          <w:p w14:paraId="1317DE04" w14:textId="77777777" w:rsidR="00554D22" w:rsidRDefault="00554D22">
            <w:pPr>
              <w:pStyle w:val="NormalWeb"/>
              <w:spacing w:before="0" w:beforeAutospacing="0" w:after="0" w:afterAutospacing="0"/>
            </w:pPr>
            <w:r>
              <w:rPr>
                <w:color w:val="000000"/>
              </w:rPr>
              <w:t>Negative Valence</w:t>
            </w:r>
          </w:p>
        </w:tc>
        <w:tc>
          <w:tcPr>
            <w:tcW w:w="0" w:type="auto"/>
            <w:shd w:val="clear" w:color="auto" w:fill="FFFFFF"/>
            <w:tcMar>
              <w:top w:w="40" w:type="dxa"/>
              <w:left w:w="100" w:type="dxa"/>
              <w:bottom w:w="40" w:type="dxa"/>
              <w:right w:w="100" w:type="dxa"/>
            </w:tcMar>
            <w:vAlign w:val="bottom"/>
            <w:hideMark/>
          </w:tcPr>
          <w:p w14:paraId="15ACF481" w14:textId="77777777" w:rsidR="00554D22" w:rsidRDefault="00554D22">
            <w:pPr>
              <w:pStyle w:val="NormalWeb"/>
              <w:spacing w:before="0" w:beforeAutospacing="0" w:after="0" w:afterAutospacing="0"/>
            </w:pPr>
            <w:r>
              <w:rPr>
                <w:color w:val="000000"/>
              </w:rPr>
              <w:t>Accurate Feedback</w:t>
            </w:r>
          </w:p>
        </w:tc>
        <w:tc>
          <w:tcPr>
            <w:tcW w:w="0" w:type="auto"/>
            <w:shd w:val="clear" w:color="auto" w:fill="FFFFFF"/>
            <w:tcMar>
              <w:top w:w="40" w:type="dxa"/>
              <w:left w:w="100" w:type="dxa"/>
              <w:bottom w:w="40" w:type="dxa"/>
              <w:right w:w="100" w:type="dxa"/>
            </w:tcMar>
            <w:vAlign w:val="bottom"/>
            <w:hideMark/>
          </w:tcPr>
          <w:p w14:paraId="272CC36B" w14:textId="77777777" w:rsidR="00554D22" w:rsidRDefault="00554D22">
            <w:pPr>
              <w:pStyle w:val="NormalWeb"/>
              <w:spacing w:before="0" w:beforeAutospacing="0" w:after="0" w:afterAutospacing="0"/>
              <w:jc w:val="right"/>
            </w:pPr>
            <w:r>
              <w:rPr>
                <w:color w:val="000000"/>
              </w:rPr>
              <w:t>171</w:t>
            </w:r>
          </w:p>
        </w:tc>
      </w:tr>
      <w:tr w:rsidR="00554D22" w14:paraId="40AD0C98" w14:textId="77777777" w:rsidTr="00554D22">
        <w:trPr>
          <w:trHeight w:val="240"/>
        </w:trPr>
        <w:tc>
          <w:tcPr>
            <w:tcW w:w="0" w:type="auto"/>
            <w:shd w:val="clear" w:color="auto" w:fill="FFFFFF"/>
            <w:tcMar>
              <w:top w:w="40" w:type="dxa"/>
              <w:left w:w="100" w:type="dxa"/>
              <w:bottom w:w="40" w:type="dxa"/>
              <w:right w:w="100" w:type="dxa"/>
            </w:tcMar>
            <w:vAlign w:val="bottom"/>
            <w:hideMark/>
          </w:tcPr>
          <w:p w14:paraId="07C47E83" w14:textId="77777777" w:rsidR="00554D22" w:rsidRDefault="00554D22">
            <w:pPr>
              <w:pStyle w:val="NormalWeb"/>
              <w:spacing w:before="0" w:beforeAutospacing="0" w:after="0" w:afterAutospacing="0"/>
            </w:pPr>
            <w:r>
              <w:rPr>
                <w:color w:val="000000"/>
              </w:rPr>
              <w:t>Nominal Feedback</w:t>
            </w:r>
          </w:p>
        </w:tc>
        <w:tc>
          <w:tcPr>
            <w:tcW w:w="0" w:type="auto"/>
            <w:shd w:val="clear" w:color="auto" w:fill="FFFFFF"/>
            <w:tcMar>
              <w:top w:w="40" w:type="dxa"/>
              <w:left w:w="100" w:type="dxa"/>
              <w:bottom w:w="40" w:type="dxa"/>
              <w:right w:w="100" w:type="dxa"/>
            </w:tcMar>
            <w:vAlign w:val="bottom"/>
            <w:hideMark/>
          </w:tcPr>
          <w:p w14:paraId="18360FD4" w14:textId="77777777" w:rsidR="00554D22" w:rsidRDefault="00554D22">
            <w:pPr>
              <w:pStyle w:val="NormalWeb"/>
              <w:spacing w:before="0" w:beforeAutospacing="0" w:after="0" w:afterAutospacing="0"/>
            </w:pPr>
            <w:r>
              <w:rPr>
                <w:color w:val="000000"/>
              </w:rPr>
              <w:t>Positive Valence</w:t>
            </w:r>
          </w:p>
        </w:tc>
        <w:tc>
          <w:tcPr>
            <w:tcW w:w="0" w:type="auto"/>
            <w:shd w:val="clear" w:color="auto" w:fill="FFFFFF"/>
            <w:tcMar>
              <w:top w:w="40" w:type="dxa"/>
              <w:left w:w="100" w:type="dxa"/>
              <w:bottom w:w="40" w:type="dxa"/>
              <w:right w:w="100" w:type="dxa"/>
            </w:tcMar>
            <w:vAlign w:val="bottom"/>
            <w:hideMark/>
          </w:tcPr>
          <w:p w14:paraId="6D0A003E" w14:textId="77777777" w:rsidR="00554D22" w:rsidRDefault="00554D22">
            <w:pPr>
              <w:pStyle w:val="NormalWeb"/>
              <w:spacing w:before="0" w:beforeAutospacing="0" w:after="0" w:afterAutospacing="0"/>
            </w:pPr>
            <w:r>
              <w:rPr>
                <w:color w:val="000000"/>
              </w:rPr>
              <w:t>Inaccurate Feedback</w:t>
            </w:r>
          </w:p>
        </w:tc>
        <w:tc>
          <w:tcPr>
            <w:tcW w:w="0" w:type="auto"/>
            <w:shd w:val="clear" w:color="auto" w:fill="FFFFFF"/>
            <w:tcMar>
              <w:top w:w="40" w:type="dxa"/>
              <w:left w:w="100" w:type="dxa"/>
              <w:bottom w:w="40" w:type="dxa"/>
              <w:right w:w="100" w:type="dxa"/>
            </w:tcMar>
            <w:vAlign w:val="bottom"/>
            <w:hideMark/>
          </w:tcPr>
          <w:p w14:paraId="33B84EA0" w14:textId="77777777" w:rsidR="00554D22" w:rsidRDefault="00554D22">
            <w:pPr>
              <w:pStyle w:val="NormalWeb"/>
              <w:spacing w:before="0" w:beforeAutospacing="0" w:after="0" w:afterAutospacing="0"/>
              <w:jc w:val="right"/>
            </w:pPr>
            <w:r>
              <w:rPr>
                <w:color w:val="000000"/>
              </w:rPr>
              <w:t>161</w:t>
            </w:r>
          </w:p>
        </w:tc>
      </w:tr>
      <w:tr w:rsidR="00554D22" w14:paraId="48C8BF59" w14:textId="77777777" w:rsidTr="00554D22">
        <w:trPr>
          <w:trHeight w:val="240"/>
        </w:trPr>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49C8ED19" w14:textId="77777777" w:rsidR="00554D22" w:rsidRDefault="00554D22">
            <w:pPr>
              <w:pStyle w:val="NormalWeb"/>
              <w:spacing w:before="0" w:beforeAutospacing="0" w:after="0" w:afterAutospacing="0"/>
            </w:pPr>
            <w:r>
              <w:rPr>
                <w:color w:val="000000"/>
              </w:rPr>
              <w:t>Nominal Feedback</w:t>
            </w:r>
          </w:p>
        </w:tc>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3C3CB5AB" w14:textId="77777777" w:rsidR="00554D22" w:rsidRDefault="00554D22">
            <w:pPr>
              <w:pStyle w:val="NormalWeb"/>
              <w:spacing w:before="0" w:beforeAutospacing="0" w:after="0" w:afterAutospacing="0"/>
            </w:pPr>
            <w:r>
              <w:rPr>
                <w:color w:val="000000"/>
              </w:rPr>
              <w:t>Positive Valence</w:t>
            </w:r>
          </w:p>
        </w:tc>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001235F2" w14:textId="77777777" w:rsidR="00554D22" w:rsidRDefault="00554D22">
            <w:pPr>
              <w:pStyle w:val="NormalWeb"/>
              <w:spacing w:before="0" w:beforeAutospacing="0" w:after="0" w:afterAutospacing="0"/>
            </w:pPr>
            <w:r>
              <w:rPr>
                <w:color w:val="000000"/>
              </w:rPr>
              <w:t>Accurate Feedback</w:t>
            </w:r>
          </w:p>
        </w:tc>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55AC29B4" w14:textId="77777777" w:rsidR="00554D22" w:rsidRDefault="00554D22">
            <w:pPr>
              <w:pStyle w:val="NormalWeb"/>
              <w:spacing w:before="0" w:beforeAutospacing="0" w:after="0" w:afterAutospacing="0"/>
              <w:jc w:val="right"/>
            </w:pPr>
            <w:r>
              <w:rPr>
                <w:color w:val="000000"/>
              </w:rPr>
              <w:t>29</w:t>
            </w:r>
          </w:p>
        </w:tc>
      </w:tr>
      <w:tr w:rsidR="00554D22" w14:paraId="6DDFC8E4" w14:textId="77777777" w:rsidTr="00554D22">
        <w:trPr>
          <w:trHeight w:val="240"/>
        </w:trPr>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5861A275" w14:textId="77777777" w:rsidR="00554D22" w:rsidRDefault="00554D22">
            <w:pPr>
              <w:pStyle w:val="NormalWeb"/>
              <w:spacing w:before="0" w:beforeAutospacing="0" w:after="0" w:afterAutospacing="0"/>
            </w:pPr>
            <w:r>
              <w:rPr>
                <w:color w:val="000000"/>
              </w:rPr>
              <w:t>Feedback Information Type</w:t>
            </w:r>
          </w:p>
        </w:tc>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34A23646" w14:textId="77777777" w:rsidR="00554D22" w:rsidRDefault="00554D22">
            <w:pPr>
              <w:pStyle w:val="NormalWeb"/>
              <w:spacing w:before="0" w:beforeAutospacing="0" w:after="0" w:afterAutospacing="0"/>
            </w:pPr>
            <w:r>
              <w:rPr>
                <w:color w:val="000000"/>
              </w:rPr>
              <w:t>Feedback Accuracy</w:t>
            </w:r>
          </w:p>
        </w:tc>
        <w:tc>
          <w:tcPr>
            <w:tcW w:w="0" w:type="auto"/>
            <w:tcBorders>
              <w:top w:val="single" w:sz="8" w:space="0" w:color="000000"/>
              <w:bottom w:val="single" w:sz="6" w:space="0" w:color="000000"/>
            </w:tcBorders>
            <w:shd w:val="clear" w:color="auto" w:fill="FFFFFF"/>
            <w:tcMar>
              <w:top w:w="0" w:type="dxa"/>
              <w:left w:w="100" w:type="dxa"/>
              <w:bottom w:w="40" w:type="dxa"/>
              <w:right w:w="100" w:type="dxa"/>
            </w:tcMar>
            <w:vAlign w:val="bottom"/>
            <w:hideMark/>
          </w:tcPr>
          <w:p w14:paraId="4E08F81E" w14:textId="77777777" w:rsidR="00554D22" w:rsidRDefault="00554D22">
            <w:pPr>
              <w:pStyle w:val="NormalWeb"/>
              <w:spacing w:before="0" w:beforeAutospacing="0" w:after="0" w:afterAutospacing="0"/>
              <w:jc w:val="right"/>
            </w:pPr>
            <w:r>
              <w:rPr>
                <w:i/>
                <w:iCs/>
                <w:color w:val="000000"/>
              </w:rPr>
              <w:t>n</w:t>
            </w:r>
          </w:p>
        </w:tc>
        <w:tc>
          <w:tcPr>
            <w:tcW w:w="0" w:type="auto"/>
            <w:tcBorders>
              <w:top w:val="single" w:sz="8" w:space="0" w:color="000000"/>
              <w:bottom w:val="single" w:sz="8" w:space="0" w:color="FFFFFF"/>
            </w:tcBorders>
            <w:shd w:val="clear" w:color="auto" w:fill="FFFFFF"/>
            <w:tcMar>
              <w:top w:w="40" w:type="dxa"/>
              <w:left w:w="100" w:type="dxa"/>
              <w:bottom w:w="40" w:type="dxa"/>
              <w:right w:w="100" w:type="dxa"/>
            </w:tcMar>
            <w:vAlign w:val="bottom"/>
            <w:hideMark/>
          </w:tcPr>
          <w:p w14:paraId="492364D3" w14:textId="77777777" w:rsidR="00554D22" w:rsidRDefault="00554D22"/>
        </w:tc>
      </w:tr>
      <w:tr w:rsidR="00554D22" w14:paraId="5EC8E28C" w14:textId="77777777" w:rsidTr="00554D22">
        <w:trPr>
          <w:trHeight w:val="240"/>
        </w:trPr>
        <w:tc>
          <w:tcPr>
            <w:tcW w:w="0" w:type="auto"/>
            <w:tcBorders>
              <w:top w:val="single" w:sz="6" w:space="0" w:color="000000"/>
            </w:tcBorders>
            <w:shd w:val="clear" w:color="auto" w:fill="FFFFFF"/>
            <w:tcMar>
              <w:top w:w="40" w:type="dxa"/>
              <w:left w:w="100" w:type="dxa"/>
              <w:bottom w:w="40" w:type="dxa"/>
              <w:right w:w="100" w:type="dxa"/>
            </w:tcMar>
            <w:vAlign w:val="bottom"/>
            <w:hideMark/>
          </w:tcPr>
          <w:p w14:paraId="3D2AD5A7" w14:textId="77777777" w:rsidR="00554D22" w:rsidRDefault="00554D22">
            <w:pPr>
              <w:pStyle w:val="NormalWeb"/>
              <w:spacing w:before="0" w:beforeAutospacing="0" w:after="0" w:afterAutospacing="0"/>
            </w:pPr>
            <w:r>
              <w:rPr>
                <w:color w:val="000000"/>
              </w:rPr>
              <w:t>Relative Feedback</w:t>
            </w:r>
          </w:p>
        </w:tc>
        <w:tc>
          <w:tcPr>
            <w:tcW w:w="0" w:type="auto"/>
            <w:tcBorders>
              <w:top w:val="single" w:sz="6" w:space="0" w:color="000000"/>
            </w:tcBorders>
            <w:shd w:val="clear" w:color="auto" w:fill="FFFFFF"/>
            <w:tcMar>
              <w:top w:w="40" w:type="dxa"/>
              <w:left w:w="100" w:type="dxa"/>
              <w:bottom w:w="40" w:type="dxa"/>
              <w:right w:w="100" w:type="dxa"/>
            </w:tcMar>
            <w:vAlign w:val="bottom"/>
            <w:hideMark/>
          </w:tcPr>
          <w:p w14:paraId="2F534734" w14:textId="77777777" w:rsidR="00554D22" w:rsidRDefault="00554D22">
            <w:pPr>
              <w:pStyle w:val="NormalWeb"/>
              <w:spacing w:before="0" w:beforeAutospacing="0" w:after="0" w:afterAutospacing="0"/>
            </w:pPr>
            <w:r>
              <w:rPr>
                <w:color w:val="000000"/>
              </w:rPr>
              <w:t>Inaccurate Feedback</w:t>
            </w:r>
          </w:p>
        </w:tc>
        <w:tc>
          <w:tcPr>
            <w:tcW w:w="0" w:type="auto"/>
            <w:tcBorders>
              <w:top w:val="single" w:sz="6" w:space="0" w:color="000000"/>
            </w:tcBorders>
            <w:shd w:val="clear" w:color="auto" w:fill="FFFFFF"/>
            <w:tcMar>
              <w:top w:w="40" w:type="dxa"/>
              <w:left w:w="100" w:type="dxa"/>
              <w:bottom w:w="40" w:type="dxa"/>
              <w:right w:w="100" w:type="dxa"/>
            </w:tcMar>
            <w:vAlign w:val="bottom"/>
            <w:hideMark/>
          </w:tcPr>
          <w:p w14:paraId="28DF6012" w14:textId="77777777" w:rsidR="00554D22" w:rsidRDefault="00554D22">
            <w:pPr>
              <w:pStyle w:val="NormalWeb"/>
              <w:spacing w:before="0" w:beforeAutospacing="0" w:after="0" w:afterAutospacing="0"/>
              <w:jc w:val="right"/>
            </w:pPr>
            <w:r>
              <w:rPr>
                <w:color w:val="000000"/>
              </w:rPr>
              <w:t>208</w:t>
            </w:r>
          </w:p>
        </w:tc>
        <w:tc>
          <w:tcPr>
            <w:tcW w:w="0" w:type="auto"/>
            <w:tcBorders>
              <w:top w:val="single" w:sz="8" w:space="0" w:color="FFFFFF"/>
              <w:bottom w:val="single" w:sz="8" w:space="0" w:color="FFFFFF"/>
            </w:tcBorders>
            <w:shd w:val="clear" w:color="auto" w:fill="FFFFFF"/>
            <w:tcMar>
              <w:top w:w="40" w:type="dxa"/>
              <w:left w:w="100" w:type="dxa"/>
              <w:bottom w:w="40" w:type="dxa"/>
              <w:right w:w="100" w:type="dxa"/>
            </w:tcMar>
            <w:vAlign w:val="bottom"/>
            <w:hideMark/>
          </w:tcPr>
          <w:p w14:paraId="1C7565A3" w14:textId="77777777" w:rsidR="00554D22" w:rsidRDefault="00554D22"/>
        </w:tc>
      </w:tr>
      <w:tr w:rsidR="00554D22" w14:paraId="3072DFD1" w14:textId="77777777" w:rsidTr="00554D22">
        <w:trPr>
          <w:trHeight w:val="240"/>
        </w:trPr>
        <w:tc>
          <w:tcPr>
            <w:tcW w:w="0" w:type="auto"/>
            <w:shd w:val="clear" w:color="auto" w:fill="FFFFFF"/>
            <w:tcMar>
              <w:top w:w="40" w:type="dxa"/>
              <w:left w:w="100" w:type="dxa"/>
              <w:bottom w:w="40" w:type="dxa"/>
              <w:right w:w="100" w:type="dxa"/>
            </w:tcMar>
            <w:vAlign w:val="bottom"/>
            <w:hideMark/>
          </w:tcPr>
          <w:p w14:paraId="5BA807DF" w14:textId="77777777" w:rsidR="00554D22" w:rsidRDefault="00554D22">
            <w:pPr>
              <w:pStyle w:val="NormalWeb"/>
              <w:spacing w:before="0" w:beforeAutospacing="0" w:after="0" w:afterAutospacing="0"/>
            </w:pPr>
            <w:r>
              <w:rPr>
                <w:color w:val="000000"/>
              </w:rPr>
              <w:t>Relative Feedback</w:t>
            </w:r>
          </w:p>
        </w:tc>
        <w:tc>
          <w:tcPr>
            <w:tcW w:w="0" w:type="auto"/>
            <w:shd w:val="clear" w:color="auto" w:fill="FFFFFF"/>
            <w:tcMar>
              <w:top w:w="40" w:type="dxa"/>
              <w:left w:w="100" w:type="dxa"/>
              <w:bottom w:w="40" w:type="dxa"/>
              <w:right w:w="100" w:type="dxa"/>
            </w:tcMar>
            <w:vAlign w:val="bottom"/>
            <w:hideMark/>
          </w:tcPr>
          <w:p w14:paraId="5842EF3F" w14:textId="77777777" w:rsidR="00554D22" w:rsidRDefault="00554D22">
            <w:pPr>
              <w:pStyle w:val="NormalWeb"/>
              <w:spacing w:before="0" w:beforeAutospacing="0" w:after="0" w:afterAutospacing="0"/>
            </w:pPr>
            <w:r>
              <w:rPr>
                <w:color w:val="000000"/>
              </w:rPr>
              <w:t>Accurate Feedback</w:t>
            </w:r>
          </w:p>
        </w:tc>
        <w:tc>
          <w:tcPr>
            <w:tcW w:w="0" w:type="auto"/>
            <w:shd w:val="clear" w:color="auto" w:fill="FFFFFF"/>
            <w:tcMar>
              <w:top w:w="40" w:type="dxa"/>
              <w:left w:w="100" w:type="dxa"/>
              <w:bottom w:w="40" w:type="dxa"/>
              <w:right w:w="100" w:type="dxa"/>
            </w:tcMar>
            <w:vAlign w:val="bottom"/>
            <w:hideMark/>
          </w:tcPr>
          <w:p w14:paraId="1AE119AF" w14:textId="77777777" w:rsidR="00554D22" w:rsidRDefault="00554D22">
            <w:pPr>
              <w:pStyle w:val="NormalWeb"/>
              <w:spacing w:before="0" w:beforeAutospacing="0" w:after="0" w:afterAutospacing="0"/>
              <w:jc w:val="right"/>
            </w:pPr>
            <w:r>
              <w:rPr>
                <w:color w:val="000000"/>
              </w:rPr>
              <w:t>191</w:t>
            </w:r>
          </w:p>
        </w:tc>
        <w:tc>
          <w:tcPr>
            <w:tcW w:w="0" w:type="auto"/>
            <w:tcBorders>
              <w:top w:val="single" w:sz="8" w:space="0" w:color="FFFFFF"/>
              <w:bottom w:val="single" w:sz="8" w:space="0" w:color="FFFFFF"/>
            </w:tcBorders>
            <w:shd w:val="clear" w:color="auto" w:fill="FFFFFF"/>
            <w:tcMar>
              <w:top w:w="40" w:type="dxa"/>
              <w:left w:w="100" w:type="dxa"/>
              <w:bottom w:w="40" w:type="dxa"/>
              <w:right w:w="100" w:type="dxa"/>
            </w:tcMar>
            <w:vAlign w:val="bottom"/>
            <w:hideMark/>
          </w:tcPr>
          <w:p w14:paraId="48A3013A" w14:textId="77777777" w:rsidR="00554D22" w:rsidRDefault="00554D22"/>
        </w:tc>
      </w:tr>
      <w:tr w:rsidR="00554D22" w14:paraId="584589D1" w14:textId="77777777" w:rsidTr="00554D22">
        <w:trPr>
          <w:trHeight w:val="240"/>
        </w:trPr>
        <w:tc>
          <w:tcPr>
            <w:tcW w:w="0" w:type="auto"/>
            <w:shd w:val="clear" w:color="auto" w:fill="FFFFFF"/>
            <w:tcMar>
              <w:top w:w="40" w:type="dxa"/>
              <w:left w:w="100" w:type="dxa"/>
              <w:bottom w:w="40" w:type="dxa"/>
              <w:right w:w="100" w:type="dxa"/>
            </w:tcMar>
            <w:vAlign w:val="bottom"/>
            <w:hideMark/>
          </w:tcPr>
          <w:p w14:paraId="42013549" w14:textId="77777777" w:rsidR="00554D22" w:rsidRDefault="00554D22">
            <w:pPr>
              <w:pStyle w:val="NormalWeb"/>
              <w:spacing w:before="0" w:beforeAutospacing="0" w:after="0" w:afterAutospacing="0"/>
            </w:pPr>
            <w:r>
              <w:rPr>
                <w:color w:val="000000"/>
              </w:rPr>
              <w:t>Nominal Feedback</w:t>
            </w:r>
          </w:p>
        </w:tc>
        <w:tc>
          <w:tcPr>
            <w:tcW w:w="0" w:type="auto"/>
            <w:shd w:val="clear" w:color="auto" w:fill="FFFFFF"/>
            <w:tcMar>
              <w:top w:w="40" w:type="dxa"/>
              <w:left w:w="100" w:type="dxa"/>
              <w:bottom w:w="40" w:type="dxa"/>
              <w:right w:w="100" w:type="dxa"/>
            </w:tcMar>
            <w:vAlign w:val="bottom"/>
            <w:hideMark/>
          </w:tcPr>
          <w:p w14:paraId="4365FBA0" w14:textId="77777777" w:rsidR="00554D22" w:rsidRDefault="00554D22">
            <w:pPr>
              <w:pStyle w:val="NormalWeb"/>
              <w:spacing w:before="0" w:beforeAutospacing="0" w:after="0" w:afterAutospacing="0"/>
            </w:pPr>
            <w:r>
              <w:rPr>
                <w:color w:val="000000"/>
              </w:rPr>
              <w:t>Inaccurate Feedback</w:t>
            </w:r>
          </w:p>
        </w:tc>
        <w:tc>
          <w:tcPr>
            <w:tcW w:w="0" w:type="auto"/>
            <w:shd w:val="clear" w:color="auto" w:fill="FFFFFF"/>
            <w:tcMar>
              <w:top w:w="40" w:type="dxa"/>
              <w:left w:w="100" w:type="dxa"/>
              <w:bottom w:w="40" w:type="dxa"/>
              <w:right w:w="100" w:type="dxa"/>
            </w:tcMar>
            <w:vAlign w:val="bottom"/>
            <w:hideMark/>
          </w:tcPr>
          <w:p w14:paraId="3A72F541" w14:textId="77777777" w:rsidR="00554D22" w:rsidRDefault="00554D22">
            <w:pPr>
              <w:pStyle w:val="NormalWeb"/>
              <w:spacing w:before="0" w:beforeAutospacing="0" w:after="0" w:afterAutospacing="0"/>
              <w:jc w:val="right"/>
            </w:pPr>
            <w:r>
              <w:rPr>
                <w:color w:val="000000"/>
              </w:rPr>
              <w:t>194</w:t>
            </w:r>
          </w:p>
        </w:tc>
        <w:tc>
          <w:tcPr>
            <w:tcW w:w="0" w:type="auto"/>
            <w:tcBorders>
              <w:top w:val="single" w:sz="8" w:space="0" w:color="FFFFFF"/>
              <w:bottom w:val="single" w:sz="8" w:space="0" w:color="FFFFFF"/>
            </w:tcBorders>
            <w:shd w:val="clear" w:color="auto" w:fill="FFFFFF"/>
            <w:tcMar>
              <w:top w:w="40" w:type="dxa"/>
              <w:left w:w="100" w:type="dxa"/>
              <w:bottom w:w="40" w:type="dxa"/>
              <w:right w:w="100" w:type="dxa"/>
            </w:tcMar>
            <w:vAlign w:val="bottom"/>
            <w:hideMark/>
          </w:tcPr>
          <w:p w14:paraId="67378711" w14:textId="77777777" w:rsidR="00554D22" w:rsidRDefault="00554D22"/>
        </w:tc>
      </w:tr>
      <w:tr w:rsidR="00554D22" w14:paraId="059507BE" w14:textId="77777777" w:rsidTr="00554D22">
        <w:trPr>
          <w:trHeight w:val="240"/>
        </w:trPr>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7EC4ED51" w14:textId="77777777" w:rsidR="00554D22" w:rsidRDefault="00554D22">
            <w:pPr>
              <w:pStyle w:val="NormalWeb"/>
              <w:spacing w:before="0" w:beforeAutospacing="0" w:after="0" w:afterAutospacing="0"/>
            </w:pPr>
            <w:r>
              <w:rPr>
                <w:color w:val="000000"/>
              </w:rPr>
              <w:t>Nominal Feedback</w:t>
            </w:r>
          </w:p>
        </w:tc>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63D126D2" w14:textId="77777777" w:rsidR="00554D22" w:rsidRDefault="00554D22">
            <w:pPr>
              <w:pStyle w:val="NormalWeb"/>
              <w:spacing w:before="0" w:beforeAutospacing="0" w:after="0" w:afterAutospacing="0"/>
            </w:pPr>
            <w:r>
              <w:rPr>
                <w:color w:val="000000"/>
              </w:rPr>
              <w:t>Accurate Feedback</w:t>
            </w:r>
          </w:p>
        </w:tc>
        <w:tc>
          <w:tcPr>
            <w:tcW w:w="0" w:type="auto"/>
            <w:tcBorders>
              <w:bottom w:val="single" w:sz="8" w:space="0" w:color="000000"/>
            </w:tcBorders>
            <w:shd w:val="clear" w:color="auto" w:fill="FFFFFF"/>
            <w:tcMar>
              <w:top w:w="40" w:type="dxa"/>
              <w:left w:w="100" w:type="dxa"/>
              <w:bottom w:w="40" w:type="dxa"/>
              <w:right w:w="100" w:type="dxa"/>
            </w:tcMar>
            <w:vAlign w:val="bottom"/>
            <w:hideMark/>
          </w:tcPr>
          <w:p w14:paraId="69CB43CB" w14:textId="77777777" w:rsidR="00554D22" w:rsidRDefault="00554D22">
            <w:pPr>
              <w:pStyle w:val="NormalWeb"/>
              <w:spacing w:before="0" w:beforeAutospacing="0" w:after="0" w:afterAutospacing="0"/>
              <w:jc w:val="right"/>
            </w:pPr>
            <w:r>
              <w:rPr>
                <w:color w:val="000000"/>
              </w:rPr>
              <w:t>200</w:t>
            </w:r>
          </w:p>
        </w:tc>
        <w:tc>
          <w:tcPr>
            <w:tcW w:w="0" w:type="auto"/>
            <w:tcBorders>
              <w:top w:val="single" w:sz="8" w:space="0" w:color="FFFFFF"/>
              <w:bottom w:val="single" w:sz="8" w:space="0" w:color="FFFFFF"/>
            </w:tcBorders>
            <w:shd w:val="clear" w:color="auto" w:fill="FFFFFF"/>
            <w:tcMar>
              <w:top w:w="40" w:type="dxa"/>
              <w:left w:w="100" w:type="dxa"/>
              <w:bottom w:w="40" w:type="dxa"/>
              <w:right w:w="100" w:type="dxa"/>
            </w:tcMar>
            <w:vAlign w:val="bottom"/>
            <w:hideMark/>
          </w:tcPr>
          <w:p w14:paraId="35F4A61A" w14:textId="77777777" w:rsidR="00554D22" w:rsidRDefault="00554D22"/>
        </w:tc>
      </w:tr>
    </w:tbl>
    <w:p w14:paraId="1816F774" w14:textId="77777777" w:rsidR="00554D22" w:rsidRDefault="00554D22" w:rsidP="00924920">
      <w:pPr>
        <w:spacing w:line="480" w:lineRule="auto"/>
        <w:rPr>
          <w:b/>
          <w:bCs/>
          <w:color w:val="000000"/>
        </w:rPr>
      </w:pPr>
    </w:p>
    <w:p w14:paraId="080F4E4C" w14:textId="3E2E7A4F" w:rsidR="00924920" w:rsidRPr="00C42741" w:rsidRDefault="00924920" w:rsidP="00924920">
      <w:pPr>
        <w:spacing w:line="480" w:lineRule="auto"/>
        <w:rPr>
          <w:b/>
          <w:bCs/>
          <w:color w:val="000000"/>
        </w:rPr>
      </w:pPr>
      <w:r w:rsidRPr="00C42741">
        <w:rPr>
          <w:b/>
          <w:bCs/>
          <w:color w:val="000000"/>
        </w:rPr>
        <w:t>Deviations from Pre-Registration</w:t>
      </w:r>
    </w:p>
    <w:p w14:paraId="4E3B71BB" w14:textId="0C4B2670" w:rsidR="00924920" w:rsidRDefault="00924920" w:rsidP="00924920">
      <w:pPr>
        <w:spacing w:line="480" w:lineRule="auto"/>
        <w:ind w:firstLine="720"/>
        <w:rPr>
          <w:color w:val="000000"/>
        </w:rPr>
      </w:pPr>
      <w:r>
        <w:rPr>
          <w:color w:val="000000"/>
        </w:rPr>
        <w:t>Though this</w:t>
      </w:r>
      <w:r>
        <w:rPr>
          <w:color w:val="000000"/>
        </w:rPr>
        <w:t xml:space="preserve"> study was pre-registered as part of a conventional dissertation</w:t>
      </w:r>
      <w:r>
        <w:rPr>
          <w:color w:val="000000"/>
        </w:rPr>
        <w:t>, w</w:t>
      </w:r>
      <w:r w:rsidRPr="00C42741">
        <w:rPr>
          <w:color w:val="000000"/>
        </w:rPr>
        <w:t xml:space="preserve">e should note that when </w:t>
      </w:r>
      <w:r>
        <w:rPr>
          <w:color w:val="000000"/>
        </w:rPr>
        <w:t>our</w:t>
      </w:r>
      <w:r w:rsidRPr="00C42741">
        <w:rPr>
          <w:color w:val="000000"/>
        </w:rPr>
        <w:t xml:space="preserve"> model was first tested, residualized gain scores were</w:t>
      </w:r>
      <w:r>
        <w:rPr>
          <w:color w:val="000000"/>
        </w:rPr>
        <w:t xml:space="preserve"> examined (i.e., goal change and performance change were modeled as causal variables)</w:t>
      </w:r>
      <w:r>
        <w:rPr>
          <w:color w:val="000000"/>
        </w:rPr>
        <w:t xml:space="preserve">, which </w:t>
      </w:r>
      <w:r w:rsidR="00353318">
        <w:rPr>
          <w:color w:val="000000"/>
        </w:rPr>
        <w:t xml:space="preserve">as </w:t>
      </w:r>
      <w:r>
        <w:rPr>
          <w:color w:val="000000"/>
        </w:rPr>
        <w:t xml:space="preserve">we learned was fraught with unreliability (for a review, see </w:t>
      </w:r>
      <w:r w:rsidRPr="00924920">
        <w:t>Bezruczko, Fatani, &amp; Magari, 2016)</w:t>
      </w:r>
      <w:r>
        <w:rPr>
          <w:color w:val="000000"/>
        </w:rPr>
        <w:t>.</w:t>
      </w:r>
      <w:r w:rsidRPr="00C42741">
        <w:rPr>
          <w:color w:val="000000"/>
        </w:rPr>
        <w:t xml:space="preserve"> Hence, we </w:t>
      </w:r>
      <w:r w:rsidRPr="00C42741">
        <w:rPr>
          <w:color w:val="000000"/>
        </w:rPr>
        <w:lastRenderedPageBreak/>
        <w:t>modeled goal setting and performance at time 1 as causal factors of goal setting and performance at time 2, respectively</w:t>
      </w:r>
      <w:r>
        <w:rPr>
          <w:color w:val="000000"/>
        </w:rPr>
        <w:t xml:space="preserve">, which allowed us to model change. </w:t>
      </w:r>
    </w:p>
    <w:p w14:paraId="06F3A26E" w14:textId="07605475" w:rsidR="007123C0" w:rsidRDefault="007123C0" w:rsidP="00C42741">
      <w:pPr>
        <w:spacing w:line="480" w:lineRule="auto"/>
        <w:jc w:val="center"/>
        <w:rPr>
          <w:b/>
          <w:bCs/>
        </w:rPr>
      </w:pPr>
      <w:r>
        <w:rPr>
          <w:b/>
          <w:bCs/>
        </w:rPr>
        <w:t>References</w:t>
      </w:r>
    </w:p>
    <w:p w14:paraId="12542E79" w14:textId="77777777" w:rsidR="00924920" w:rsidRDefault="00C42741" w:rsidP="00924920">
      <w:pPr>
        <w:spacing w:line="480" w:lineRule="auto"/>
        <w:ind w:left="720" w:hanging="720"/>
        <w:rPr>
          <w:color w:val="000000"/>
        </w:rPr>
      </w:pPr>
      <w:r w:rsidRPr="00C42741">
        <w:rPr>
          <w:color w:val="000000"/>
        </w:rPr>
        <w:t xml:space="preserve">Aguinis, H., Gottfredson, R. K., &amp; Joo, H. (2013). Best-practice recommendations for defining, identifying, and handling outliers. </w:t>
      </w:r>
      <w:r w:rsidRPr="00C42741">
        <w:rPr>
          <w:i/>
          <w:iCs/>
          <w:color w:val="000000"/>
        </w:rPr>
        <w:t>Organizational Research Methods, 16</w:t>
      </w:r>
      <w:r w:rsidRPr="00C42741">
        <w:rPr>
          <w:color w:val="000000"/>
        </w:rPr>
        <w:t>(2), 270-301.</w:t>
      </w:r>
    </w:p>
    <w:p w14:paraId="05430056" w14:textId="4199AC39" w:rsidR="00924920" w:rsidRPr="00924920" w:rsidRDefault="00924920" w:rsidP="00924920">
      <w:pPr>
        <w:spacing w:line="480" w:lineRule="auto"/>
        <w:ind w:left="720" w:hanging="720"/>
        <w:rPr>
          <w:color w:val="000000"/>
        </w:rPr>
      </w:pPr>
      <w:r w:rsidRPr="00924920">
        <w:t xml:space="preserve">Bezruczko, N., Fatani, S. S., &amp; Magari, N. (2016). Three </w:t>
      </w:r>
      <w:r>
        <w:t>t</w:t>
      </w:r>
      <w:r w:rsidRPr="00924920">
        <w:t xml:space="preserve">ales of </w:t>
      </w:r>
      <w:r>
        <w:t>c</w:t>
      </w:r>
      <w:r w:rsidRPr="00924920">
        <w:t xml:space="preserve">hange: Ordinal </w:t>
      </w:r>
      <w:r>
        <w:t>s</w:t>
      </w:r>
      <w:r w:rsidRPr="00924920">
        <w:t xml:space="preserve">cores, </w:t>
      </w:r>
      <w:r>
        <w:t>r</w:t>
      </w:r>
      <w:r w:rsidRPr="00924920">
        <w:t xml:space="preserve">esidualized </w:t>
      </w:r>
      <w:r>
        <w:t>g</w:t>
      </w:r>
      <w:r w:rsidRPr="00924920">
        <w:t xml:space="preserve">ains, and </w:t>
      </w:r>
      <w:r>
        <w:t>r</w:t>
      </w:r>
      <w:r w:rsidRPr="00924920">
        <w:t xml:space="preserve">asch </w:t>
      </w:r>
      <w:r>
        <w:t>l</w:t>
      </w:r>
      <w:r w:rsidRPr="00924920">
        <w:t>ogits—</w:t>
      </w:r>
      <w:r>
        <w:t>w</w:t>
      </w:r>
      <w:r w:rsidRPr="00924920">
        <w:t xml:space="preserve">hen </w:t>
      </w:r>
      <w:r>
        <w:t>a</w:t>
      </w:r>
      <w:r w:rsidRPr="00924920">
        <w:t xml:space="preserve">re </w:t>
      </w:r>
      <w:r>
        <w:t>t</w:t>
      </w:r>
      <w:r w:rsidRPr="00924920">
        <w:t xml:space="preserve">hey </w:t>
      </w:r>
      <w:r>
        <w:t>i</w:t>
      </w:r>
      <w:r w:rsidRPr="00924920">
        <w:t xml:space="preserve">nterchangeable? </w:t>
      </w:r>
      <w:r w:rsidRPr="00924920">
        <w:rPr>
          <w:i/>
          <w:iCs/>
        </w:rPr>
        <w:t>SAGE Open</w:t>
      </w:r>
      <w:r w:rsidRPr="00924920">
        <w:t xml:space="preserve">, </w:t>
      </w:r>
      <w:r w:rsidRPr="00924920">
        <w:rPr>
          <w:i/>
          <w:iCs/>
        </w:rPr>
        <w:t>6</w:t>
      </w:r>
      <w:r w:rsidRPr="00924920">
        <w:t xml:space="preserve">(3), 215824401665990. </w:t>
      </w:r>
      <w:hyperlink r:id="rId6" w:history="1">
        <w:r w:rsidRPr="00924920">
          <w:rPr>
            <w:color w:val="0000FF"/>
            <w:u w:val="single"/>
          </w:rPr>
          <w:t>https://doi.org/10.1177/2158244016659905</w:t>
        </w:r>
      </w:hyperlink>
    </w:p>
    <w:p w14:paraId="366DFD00" w14:textId="74D0975F" w:rsidR="00446FF5" w:rsidRPr="00446FF5" w:rsidRDefault="00446FF5" w:rsidP="00C42741">
      <w:pPr>
        <w:spacing w:line="480" w:lineRule="auto"/>
        <w:ind w:left="720" w:hanging="720"/>
      </w:pPr>
      <w:r>
        <w:rPr>
          <w:color w:val="000000"/>
        </w:rPr>
        <w:t xml:space="preserve">Desselles, M. L., Murphy, S. L., &amp; Theys, E. R. (2014). The development of the reversal theory state measure. </w:t>
      </w:r>
      <w:r>
        <w:rPr>
          <w:i/>
          <w:iCs/>
          <w:color w:val="000000"/>
        </w:rPr>
        <w:t>Journal of Motivation, Emotion, and Personality, 2</w:t>
      </w:r>
      <w:r>
        <w:rPr>
          <w:color w:val="000000"/>
        </w:rPr>
        <w:t>(1), 10-21.</w:t>
      </w:r>
    </w:p>
    <w:p w14:paraId="5A4CB6FA" w14:textId="77777777" w:rsidR="00B37E2F" w:rsidRDefault="00C42741" w:rsidP="00B37E2F">
      <w:pPr>
        <w:spacing w:line="480" w:lineRule="auto"/>
        <w:ind w:left="720" w:hanging="720"/>
        <w:rPr>
          <w:color w:val="000000"/>
          <w:shd w:val="clear" w:color="auto" w:fill="FFFFFF"/>
        </w:rPr>
      </w:pPr>
      <w:r w:rsidRPr="00C42741">
        <w:rPr>
          <w:color w:val="000000"/>
          <w:shd w:val="clear" w:color="auto" w:fill="FFFFFF"/>
        </w:rPr>
        <w:t xml:space="preserve">Hair, J. F., Black, W. C., Babin, B. J., &amp; Anderson, R. E. (2010). </w:t>
      </w:r>
      <w:r w:rsidRPr="00C42741">
        <w:rPr>
          <w:i/>
          <w:iCs/>
          <w:color w:val="000000"/>
          <w:shd w:val="clear" w:color="auto" w:fill="FFFFFF"/>
        </w:rPr>
        <w:t xml:space="preserve">Multivariate data analysis </w:t>
      </w:r>
      <w:r w:rsidRPr="00C42741">
        <w:rPr>
          <w:color w:val="000000"/>
          <w:shd w:val="clear" w:color="auto" w:fill="FFFFFF"/>
        </w:rPr>
        <w:t>(7</w:t>
      </w:r>
      <w:r w:rsidRPr="00C42741">
        <w:rPr>
          <w:color w:val="000000"/>
          <w:sz w:val="14"/>
          <w:szCs w:val="14"/>
          <w:shd w:val="clear" w:color="auto" w:fill="FFFFFF"/>
          <w:vertAlign w:val="superscript"/>
        </w:rPr>
        <w:t>th</w:t>
      </w:r>
      <w:r w:rsidRPr="00C42741">
        <w:rPr>
          <w:color w:val="000000"/>
          <w:shd w:val="clear" w:color="auto" w:fill="FFFFFF"/>
        </w:rPr>
        <w:t xml:space="preserve"> ed.). Upper Saddle River, NJ: Prentice Hall.</w:t>
      </w:r>
    </w:p>
    <w:p w14:paraId="6122898F" w14:textId="1EF5E486" w:rsidR="00B37E2F" w:rsidRPr="00B37E2F" w:rsidRDefault="00B37E2F" w:rsidP="00B37E2F">
      <w:pPr>
        <w:spacing w:line="480" w:lineRule="auto"/>
        <w:ind w:left="720" w:hanging="720"/>
        <w:rPr>
          <w:color w:val="000000"/>
          <w:shd w:val="clear" w:color="auto" w:fill="FFFFFF"/>
        </w:rPr>
      </w:pPr>
      <w:r w:rsidRPr="00B37E2F">
        <w:rPr>
          <w:color w:val="000000"/>
          <w:shd w:val="clear" w:color="auto" w:fill="FFFFFF"/>
        </w:rPr>
        <w:t xml:space="preserve">Henseler, J., Ringle, C. M., &amp; Sarstedt, M. (2015). A new criterion for assessing discriminant validity in variance-based structural equation modeling. </w:t>
      </w:r>
      <w:r w:rsidRPr="00B37E2F">
        <w:rPr>
          <w:i/>
          <w:iCs/>
          <w:color w:val="000000"/>
          <w:shd w:val="clear" w:color="auto" w:fill="FFFFFF"/>
        </w:rPr>
        <w:t>Journal of the Academy of Marketing Science</w:t>
      </w:r>
      <w:r w:rsidRPr="00B37E2F">
        <w:rPr>
          <w:color w:val="000000"/>
          <w:shd w:val="clear" w:color="auto" w:fill="FFFFFF"/>
        </w:rPr>
        <w:t xml:space="preserve">, 43(1), 115–135. </w:t>
      </w:r>
      <w:hyperlink r:id="rId7" w:history="1">
        <w:r w:rsidRPr="00B37E2F">
          <w:rPr>
            <w:color w:val="000000"/>
            <w:u w:val="single"/>
            <w:shd w:val="clear" w:color="auto" w:fill="FFFFFF"/>
          </w:rPr>
          <w:t>https://doi.org/10.1007/s11747-014-0403-8</w:t>
        </w:r>
      </w:hyperlink>
    </w:p>
    <w:p w14:paraId="77A9CCF0" w14:textId="677E72CC" w:rsidR="00C42741" w:rsidRDefault="00C42741" w:rsidP="00C42741">
      <w:pPr>
        <w:spacing w:line="480" w:lineRule="auto"/>
        <w:ind w:left="720" w:hanging="720"/>
        <w:rPr>
          <w:color w:val="000000"/>
        </w:rPr>
      </w:pPr>
      <w:r w:rsidRPr="00C42741">
        <w:rPr>
          <w:color w:val="000000"/>
        </w:rPr>
        <w:t xml:space="preserve">Finch, W. H., &amp; French, B. F. (2015). </w:t>
      </w:r>
      <w:r w:rsidRPr="00C42741">
        <w:rPr>
          <w:i/>
          <w:iCs/>
          <w:color w:val="000000"/>
        </w:rPr>
        <w:t>Latent variable modeling with R</w:t>
      </w:r>
      <w:r w:rsidRPr="00C42741">
        <w:rPr>
          <w:color w:val="000000"/>
        </w:rPr>
        <w:t>. New York, NY: Taylor &amp; Frances/Routledge.</w:t>
      </w:r>
    </w:p>
    <w:p w14:paraId="1F7DB130" w14:textId="605A024E" w:rsidR="00C42741" w:rsidRDefault="00C42741" w:rsidP="00C42741">
      <w:pPr>
        <w:spacing w:line="480" w:lineRule="auto"/>
        <w:ind w:left="720" w:hanging="720"/>
        <w:rPr>
          <w:color w:val="000000"/>
          <w:shd w:val="clear" w:color="auto" w:fill="FFFFFF"/>
        </w:rPr>
      </w:pPr>
      <w:r w:rsidRPr="00C42741">
        <w:rPr>
          <w:color w:val="000000"/>
          <w:shd w:val="clear" w:color="auto" w:fill="FFFFFF"/>
        </w:rPr>
        <w:t xml:space="preserve">Meade, A. W., &amp; Craig, S. B. (2012). Identifying careless responses in survey data. </w:t>
      </w:r>
      <w:r w:rsidRPr="00C42741">
        <w:rPr>
          <w:i/>
          <w:iCs/>
          <w:color w:val="000000"/>
          <w:shd w:val="clear" w:color="auto" w:fill="FFFFFF"/>
        </w:rPr>
        <w:t>Psychological Methods, 17</w:t>
      </w:r>
      <w:r w:rsidRPr="00C42741">
        <w:rPr>
          <w:color w:val="000000"/>
          <w:shd w:val="clear" w:color="auto" w:fill="FFFFFF"/>
        </w:rPr>
        <w:t>(3), 437-455.</w:t>
      </w:r>
    </w:p>
    <w:p w14:paraId="78174705" w14:textId="44E794D9" w:rsidR="006E7DA3" w:rsidRPr="00C42741" w:rsidRDefault="006E7DA3" w:rsidP="00C42741">
      <w:pPr>
        <w:spacing w:line="480" w:lineRule="auto"/>
        <w:ind w:left="720" w:hanging="720"/>
        <w:rPr>
          <w:color w:val="000000"/>
          <w:shd w:val="clear" w:color="auto" w:fill="FFFFFF"/>
        </w:rPr>
      </w:pPr>
      <w:r>
        <w:rPr>
          <w:color w:val="000000"/>
          <w:shd w:val="clear" w:color="auto" w:fill="FFFFFF"/>
        </w:rPr>
        <w:t xml:space="preserve">Waples, C. J. (2015). </w:t>
      </w:r>
      <w:r>
        <w:rPr>
          <w:i/>
          <w:iCs/>
          <w:color w:val="000000"/>
          <w:shd w:val="clear" w:color="auto" w:fill="FFFFFF"/>
        </w:rPr>
        <w:t xml:space="preserve">Receptivity to feedback: An investigation of the influence of feedback sign, feedback specificity, and goal orientation. </w:t>
      </w:r>
      <w:r>
        <w:rPr>
          <w:color w:val="000000"/>
          <w:shd w:val="clear" w:color="auto" w:fill="FFFFFF"/>
        </w:rPr>
        <w:t>(Unpublished doctoral dissertation). Kansas State University, Manhattan, KS.</w:t>
      </w:r>
    </w:p>
    <w:p w14:paraId="04F3033E" w14:textId="77777777" w:rsidR="007123C0" w:rsidRPr="007123C0" w:rsidRDefault="007123C0" w:rsidP="00C42741">
      <w:pPr>
        <w:spacing w:line="480" w:lineRule="auto"/>
      </w:pPr>
    </w:p>
    <w:sectPr w:rsidR="007123C0" w:rsidRPr="007123C0" w:rsidSect="002849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26BF0" w14:textId="77777777" w:rsidR="003F10AD" w:rsidRDefault="003F10AD" w:rsidP="007123C0">
      <w:r>
        <w:separator/>
      </w:r>
    </w:p>
  </w:endnote>
  <w:endnote w:type="continuationSeparator" w:id="0">
    <w:p w14:paraId="7CA6B993" w14:textId="77777777" w:rsidR="003F10AD" w:rsidRDefault="003F10AD" w:rsidP="00712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CCA9E" w14:textId="77777777" w:rsidR="003F10AD" w:rsidRDefault="003F10AD" w:rsidP="007123C0">
      <w:r>
        <w:separator/>
      </w:r>
    </w:p>
  </w:footnote>
  <w:footnote w:type="continuationSeparator" w:id="0">
    <w:p w14:paraId="5ADDBC20" w14:textId="77777777" w:rsidR="003F10AD" w:rsidRDefault="003F10AD" w:rsidP="00712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B0038" w14:textId="1A8ACC9E" w:rsidR="007123C0" w:rsidRPr="007123C0" w:rsidRDefault="007123C0">
    <w:pPr>
      <w:pStyle w:val="Header"/>
      <w:rPr>
        <w:rFonts w:ascii="Times New Roman" w:hAnsi="Times New Roman" w:cs="Times New Roman"/>
      </w:rPr>
    </w:pPr>
    <w:r w:rsidRPr="007123C0">
      <w:rPr>
        <w:rFonts w:ascii="Times New Roman" w:hAnsi="Times New Roman" w:cs="Times New Roman"/>
      </w:rPr>
      <w:t>SUPPLEMENTAL MATERIALS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C0"/>
    <w:rsid w:val="00020042"/>
    <w:rsid w:val="000445CA"/>
    <w:rsid w:val="0008676D"/>
    <w:rsid w:val="000D490C"/>
    <w:rsid w:val="001555C9"/>
    <w:rsid w:val="00155812"/>
    <w:rsid w:val="00230294"/>
    <w:rsid w:val="002849C5"/>
    <w:rsid w:val="00353318"/>
    <w:rsid w:val="003F10AD"/>
    <w:rsid w:val="00446FF5"/>
    <w:rsid w:val="00456036"/>
    <w:rsid w:val="00485FC7"/>
    <w:rsid w:val="004B05D8"/>
    <w:rsid w:val="004C7C7A"/>
    <w:rsid w:val="004D4AF0"/>
    <w:rsid w:val="00554D22"/>
    <w:rsid w:val="005D0971"/>
    <w:rsid w:val="006429D9"/>
    <w:rsid w:val="006E1B09"/>
    <w:rsid w:val="006E7DA3"/>
    <w:rsid w:val="007123C0"/>
    <w:rsid w:val="00783B95"/>
    <w:rsid w:val="007A2F9C"/>
    <w:rsid w:val="007B32B9"/>
    <w:rsid w:val="008313DA"/>
    <w:rsid w:val="00866AD6"/>
    <w:rsid w:val="0090374E"/>
    <w:rsid w:val="00924920"/>
    <w:rsid w:val="009A7FB5"/>
    <w:rsid w:val="009B0BC7"/>
    <w:rsid w:val="009F492D"/>
    <w:rsid w:val="00A43002"/>
    <w:rsid w:val="00AC3338"/>
    <w:rsid w:val="00AF04D9"/>
    <w:rsid w:val="00B375C1"/>
    <w:rsid w:val="00B37E2F"/>
    <w:rsid w:val="00C42741"/>
    <w:rsid w:val="00C85395"/>
    <w:rsid w:val="00D077F4"/>
    <w:rsid w:val="00D53B91"/>
    <w:rsid w:val="00DD7075"/>
    <w:rsid w:val="00E2376D"/>
    <w:rsid w:val="00E74AC4"/>
    <w:rsid w:val="00EB703D"/>
    <w:rsid w:val="00ED2043"/>
    <w:rsid w:val="00EF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BB9EA"/>
  <w15:chartTrackingRefBased/>
  <w15:docId w15:val="{553C3341-7D34-994F-9EE2-E7D15EBAF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2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23C0"/>
    <w:rPr>
      <w:sz w:val="16"/>
      <w:szCs w:val="16"/>
    </w:rPr>
  </w:style>
  <w:style w:type="paragraph" w:styleId="CommentText">
    <w:name w:val="annotation text"/>
    <w:basedOn w:val="Normal"/>
    <w:link w:val="CommentTextChar"/>
    <w:uiPriority w:val="99"/>
    <w:semiHidden/>
    <w:unhideWhenUsed/>
    <w:rsid w:val="007123C0"/>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23C0"/>
    <w:rPr>
      <w:sz w:val="20"/>
      <w:szCs w:val="20"/>
    </w:rPr>
  </w:style>
  <w:style w:type="paragraph" w:styleId="CommentSubject">
    <w:name w:val="annotation subject"/>
    <w:basedOn w:val="CommentText"/>
    <w:next w:val="CommentText"/>
    <w:link w:val="CommentSubjectChar"/>
    <w:uiPriority w:val="99"/>
    <w:semiHidden/>
    <w:unhideWhenUsed/>
    <w:rsid w:val="007123C0"/>
    <w:rPr>
      <w:b/>
      <w:bCs/>
    </w:rPr>
  </w:style>
  <w:style w:type="character" w:customStyle="1" w:styleId="CommentSubjectChar">
    <w:name w:val="Comment Subject Char"/>
    <w:basedOn w:val="CommentTextChar"/>
    <w:link w:val="CommentSubject"/>
    <w:uiPriority w:val="99"/>
    <w:semiHidden/>
    <w:rsid w:val="007123C0"/>
    <w:rPr>
      <w:b/>
      <w:bCs/>
      <w:sz w:val="20"/>
      <w:szCs w:val="20"/>
    </w:rPr>
  </w:style>
  <w:style w:type="paragraph" w:styleId="BalloonText">
    <w:name w:val="Balloon Text"/>
    <w:basedOn w:val="Normal"/>
    <w:link w:val="BalloonTextChar"/>
    <w:uiPriority w:val="99"/>
    <w:semiHidden/>
    <w:unhideWhenUsed/>
    <w:rsid w:val="007123C0"/>
    <w:rPr>
      <w:rFonts w:eastAsiaTheme="minorHAnsi"/>
      <w:sz w:val="18"/>
      <w:szCs w:val="18"/>
    </w:rPr>
  </w:style>
  <w:style w:type="character" w:customStyle="1" w:styleId="BalloonTextChar">
    <w:name w:val="Balloon Text Char"/>
    <w:basedOn w:val="DefaultParagraphFont"/>
    <w:link w:val="BalloonText"/>
    <w:uiPriority w:val="99"/>
    <w:semiHidden/>
    <w:rsid w:val="007123C0"/>
    <w:rPr>
      <w:rFonts w:ascii="Times New Roman" w:hAnsi="Times New Roman" w:cs="Times New Roman"/>
      <w:sz w:val="18"/>
      <w:szCs w:val="18"/>
    </w:rPr>
  </w:style>
  <w:style w:type="paragraph" w:styleId="Header">
    <w:name w:val="header"/>
    <w:basedOn w:val="Normal"/>
    <w:link w:val="HeaderChar"/>
    <w:uiPriority w:val="99"/>
    <w:unhideWhenUsed/>
    <w:rsid w:val="007123C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123C0"/>
  </w:style>
  <w:style w:type="paragraph" w:styleId="Footer">
    <w:name w:val="footer"/>
    <w:basedOn w:val="Normal"/>
    <w:link w:val="FooterChar"/>
    <w:uiPriority w:val="99"/>
    <w:unhideWhenUsed/>
    <w:rsid w:val="007123C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123C0"/>
  </w:style>
  <w:style w:type="paragraph" w:styleId="NormalWeb">
    <w:name w:val="Normal (Web)"/>
    <w:basedOn w:val="Normal"/>
    <w:uiPriority w:val="99"/>
    <w:semiHidden/>
    <w:unhideWhenUsed/>
    <w:rsid w:val="007123C0"/>
    <w:pPr>
      <w:spacing w:before="100" w:beforeAutospacing="1" w:after="100" w:afterAutospacing="1"/>
    </w:pPr>
  </w:style>
  <w:style w:type="character" w:styleId="Hyperlink">
    <w:name w:val="Hyperlink"/>
    <w:basedOn w:val="DefaultParagraphFont"/>
    <w:uiPriority w:val="99"/>
    <w:semiHidden/>
    <w:unhideWhenUsed/>
    <w:rsid w:val="00B37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1258">
      <w:bodyDiv w:val="1"/>
      <w:marLeft w:val="0"/>
      <w:marRight w:val="0"/>
      <w:marTop w:val="0"/>
      <w:marBottom w:val="0"/>
      <w:divBdr>
        <w:top w:val="none" w:sz="0" w:space="0" w:color="auto"/>
        <w:left w:val="none" w:sz="0" w:space="0" w:color="auto"/>
        <w:bottom w:val="none" w:sz="0" w:space="0" w:color="auto"/>
        <w:right w:val="none" w:sz="0" w:space="0" w:color="auto"/>
      </w:divBdr>
    </w:div>
    <w:div w:id="120274086">
      <w:bodyDiv w:val="1"/>
      <w:marLeft w:val="0"/>
      <w:marRight w:val="0"/>
      <w:marTop w:val="0"/>
      <w:marBottom w:val="0"/>
      <w:divBdr>
        <w:top w:val="none" w:sz="0" w:space="0" w:color="auto"/>
        <w:left w:val="none" w:sz="0" w:space="0" w:color="auto"/>
        <w:bottom w:val="none" w:sz="0" w:space="0" w:color="auto"/>
        <w:right w:val="none" w:sz="0" w:space="0" w:color="auto"/>
      </w:divBdr>
    </w:div>
    <w:div w:id="157037915">
      <w:bodyDiv w:val="1"/>
      <w:marLeft w:val="0"/>
      <w:marRight w:val="0"/>
      <w:marTop w:val="0"/>
      <w:marBottom w:val="0"/>
      <w:divBdr>
        <w:top w:val="none" w:sz="0" w:space="0" w:color="auto"/>
        <w:left w:val="none" w:sz="0" w:space="0" w:color="auto"/>
        <w:bottom w:val="none" w:sz="0" w:space="0" w:color="auto"/>
        <w:right w:val="none" w:sz="0" w:space="0" w:color="auto"/>
      </w:divBdr>
      <w:divsChild>
        <w:div w:id="287509702">
          <w:marLeft w:val="480"/>
          <w:marRight w:val="0"/>
          <w:marTop w:val="0"/>
          <w:marBottom w:val="0"/>
          <w:divBdr>
            <w:top w:val="none" w:sz="0" w:space="0" w:color="auto"/>
            <w:left w:val="none" w:sz="0" w:space="0" w:color="auto"/>
            <w:bottom w:val="none" w:sz="0" w:space="0" w:color="auto"/>
            <w:right w:val="none" w:sz="0" w:space="0" w:color="auto"/>
          </w:divBdr>
          <w:divsChild>
            <w:div w:id="4727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1184">
      <w:bodyDiv w:val="1"/>
      <w:marLeft w:val="0"/>
      <w:marRight w:val="0"/>
      <w:marTop w:val="0"/>
      <w:marBottom w:val="0"/>
      <w:divBdr>
        <w:top w:val="none" w:sz="0" w:space="0" w:color="auto"/>
        <w:left w:val="none" w:sz="0" w:space="0" w:color="auto"/>
        <w:bottom w:val="none" w:sz="0" w:space="0" w:color="auto"/>
        <w:right w:val="none" w:sz="0" w:space="0" w:color="auto"/>
      </w:divBdr>
    </w:div>
    <w:div w:id="357661112">
      <w:bodyDiv w:val="1"/>
      <w:marLeft w:val="0"/>
      <w:marRight w:val="0"/>
      <w:marTop w:val="0"/>
      <w:marBottom w:val="0"/>
      <w:divBdr>
        <w:top w:val="none" w:sz="0" w:space="0" w:color="auto"/>
        <w:left w:val="none" w:sz="0" w:space="0" w:color="auto"/>
        <w:bottom w:val="none" w:sz="0" w:space="0" w:color="auto"/>
        <w:right w:val="none" w:sz="0" w:space="0" w:color="auto"/>
      </w:divBdr>
    </w:div>
    <w:div w:id="382683573">
      <w:bodyDiv w:val="1"/>
      <w:marLeft w:val="0"/>
      <w:marRight w:val="0"/>
      <w:marTop w:val="0"/>
      <w:marBottom w:val="0"/>
      <w:divBdr>
        <w:top w:val="none" w:sz="0" w:space="0" w:color="auto"/>
        <w:left w:val="none" w:sz="0" w:space="0" w:color="auto"/>
        <w:bottom w:val="none" w:sz="0" w:space="0" w:color="auto"/>
        <w:right w:val="none" w:sz="0" w:space="0" w:color="auto"/>
      </w:divBdr>
    </w:div>
    <w:div w:id="469984416">
      <w:bodyDiv w:val="1"/>
      <w:marLeft w:val="0"/>
      <w:marRight w:val="0"/>
      <w:marTop w:val="0"/>
      <w:marBottom w:val="0"/>
      <w:divBdr>
        <w:top w:val="none" w:sz="0" w:space="0" w:color="auto"/>
        <w:left w:val="none" w:sz="0" w:space="0" w:color="auto"/>
        <w:bottom w:val="none" w:sz="0" w:space="0" w:color="auto"/>
        <w:right w:val="none" w:sz="0" w:space="0" w:color="auto"/>
      </w:divBdr>
    </w:div>
    <w:div w:id="515654321">
      <w:bodyDiv w:val="1"/>
      <w:marLeft w:val="0"/>
      <w:marRight w:val="0"/>
      <w:marTop w:val="0"/>
      <w:marBottom w:val="0"/>
      <w:divBdr>
        <w:top w:val="none" w:sz="0" w:space="0" w:color="auto"/>
        <w:left w:val="none" w:sz="0" w:space="0" w:color="auto"/>
        <w:bottom w:val="none" w:sz="0" w:space="0" w:color="auto"/>
        <w:right w:val="none" w:sz="0" w:space="0" w:color="auto"/>
      </w:divBdr>
    </w:div>
    <w:div w:id="559638241">
      <w:bodyDiv w:val="1"/>
      <w:marLeft w:val="0"/>
      <w:marRight w:val="0"/>
      <w:marTop w:val="0"/>
      <w:marBottom w:val="0"/>
      <w:divBdr>
        <w:top w:val="none" w:sz="0" w:space="0" w:color="auto"/>
        <w:left w:val="none" w:sz="0" w:space="0" w:color="auto"/>
        <w:bottom w:val="none" w:sz="0" w:space="0" w:color="auto"/>
        <w:right w:val="none" w:sz="0" w:space="0" w:color="auto"/>
      </w:divBdr>
    </w:div>
    <w:div w:id="588080719">
      <w:bodyDiv w:val="1"/>
      <w:marLeft w:val="0"/>
      <w:marRight w:val="0"/>
      <w:marTop w:val="0"/>
      <w:marBottom w:val="0"/>
      <w:divBdr>
        <w:top w:val="none" w:sz="0" w:space="0" w:color="auto"/>
        <w:left w:val="none" w:sz="0" w:space="0" w:color="auto"/>
        <w:bottom w:val="none" w:sz="0" w:space="0" w:color="auto"/>
        <w:right w:val="none" w:sz="0" w:space="0" w:color="auto"/>
      </w:divBdr>
    </w:div>
    <w:div w:id="600845402">
      <w:bodyDiv w:val="1"/>
      <w:marLeft w:val="0"/>
      <w:marRight w:val="0"/>
      <w:marTop w:val="0"/>
      <w:marBottom w:val="0"/>
      <w:divBdr>
        <w:top w:val="none" w:sz="0" w:space="0" w:color="auto"/>
        <w:left w:val="none" w:sz="0" w:space="0" w:color="auto"/>
        <w:bottom w:val="none" w:sz="0" w:space="0" w:color="auto"/>
        <w:right w:val="none" w:sz="0" w:space="0" w:color="auto"/>
      </w:divBdr>
      <w:divsChild>
        <w:div w:id="1977878096">
          <w:marLeft w:val="-100"/>
          <w:marRight w:val="0"/>
          <w:marTop w:val="0"/>
          <w:marBottom w:val="0"/>
          <w:divBdr>
            <w:top w:val="none" w:sz="0" w:space="0" w:color="auto"/>
            <w:left w:val="none" w:sz="0" w:space="0" w:color="auto"/>
            <w:bottom w:val="none" w:sz="0" w:space="0" w:color="auto"/>
            <w:right w:val="none" w:sz="0" w:space="0" w:color="auto"/>
          </w:divBdr>
        </w:div>
      </w:divsChild>
    </w:div>
    <w:div w:id="639653014">
      <w:bodyDiv w:val="1"/>
      <w:marLeft w:val="0"/>
      <w:marRight w:val="0"/>
      <w:marTop w:val="0"/>
      <w:marBottom w:val="0"/>
      <w:divBdr>
        <w:top w:val="none" w:sz="0" w:space="0" w:color="auto"/>
        <w:left w:val="none" w:sz="0" w:space="0" w:color="auto"/>
        <w:bottom w:val="none" w:sz="0" w:space="0" w:color="auto"/>
        <w:right w:val="none" w:sz="0" w:space="0" w:color="auto"/>
      </w:divBdr>
    </w:div>
    <w:div w:id="725102540">
      <w:bodyDiv w:val="1"/>
      <w:marLeft w:val="0"/>
      <w:marRight w:val="0"/>
      <w:marTop w:val="0"/>
      <w:marBottom w:val="0"/>
      <w:divBdr>
        <w:top w:val="none" w:sz="0" w:space="0" w:color="auto"/>
        <w:left w:val="none" w:sz="0" w:space="0" w:color="auto"/>
        <w:bottom w:val="none" w:sz="0" w:space="0" w:color="auto"/>
        <w:right w:val="none" w:sz="0" w:space="0" w:color="auto"/>
      </w:divBdr>
    </w:div>
    <w:div w:id="726032045">
      <w:bodyDiv w:val="1"/>
      <w:marLeft w:val="0"/>
      <w:marRight w:val="0"/>
      <w:marTop w:val="0"/>
      <w:marBottom w:val="0"/>
      <w:divBdr>
        <w:top w:val="none" w:sz="0" w:space="0" w:color="auto"/>
        <w:left w:val="none" w:sz="0" w:space="0" w:color="auto"/>
        <w:bottom w:val="none" w:sz="0" w:space="0" w:color="auto"/>
        <w:right w:val="none" w:sz="0" w:space="0" w:color="auto"/>
      </w:divBdr>
    </w:div>
    <w:div w:id="902564235">
      <w:bodyDiv w:val="1"/>
      <w:marLeft w:val="0"/>
      <w:marRight w:val="0"/>
      <w:marTop w:val="0"/>
      <w:marBottom w:val="0"/>
      <w:divBdr>
        <w:top w:val="none" w:sz="0" w:space="0" w:color="auto"/>
        <w:left w:val="none" w:sz="0" w:space="0" w:color="auto"/>
        <w:bottom w:val="none" w:sz="0" w:space="0" w:color="auto"/>
        <w:right w:val="none" w:sz="0" w:space="0" w:color="auto"/>
      </w:divBdr>
    </w:div>
    <w:div w:id="940719294">
      <w:bodyDiv w:val="1"/>
      <w:marLeft w:val="0"/>
      <w:marRight w:val="0"/>
      <w:marTop w:val="0"/>
      <w:marBottom w:val="0"/>
      <w:divBdr>
        <w:top w:val="none" w:sz="0" w:space="0" w:color="auto"/>
        <w:left w:val="none" w:sz="0" w:space="0" w:color="auto"/>
        <w:bottom w:val="none" w:sz="0" w:space="0" w:color="auto"/>
        <w:right w:val="none" w:sz="0" w:space="0" w:color="auto"/>
      </w:divBdr>
    </w:div>
    <w:div w:id="953554660">
      <w:bodyDiv w:val="1"/>
      <w:marLeft w:val="0"/>
      <w:marRight w:val="0"/>
      <w:marTop w:val="0"/>
      <w:marBottom w:val="0"/>
      <w:divBdr>
        <w:top w:val="none" w:sz="0" w:space="0" w:color="auto"/>
        <w:left w:val="none" w:sz="0" w:space="0" w:color="auto"/>
        <w:bottom w:val="none" w:sz="0" w:space="0" w:color="auto"/>
        <w:right w:val="none" w:sz="0" w:space="0" w:color="auto"/>
      </w:divBdr>
    </w:div>
    <w:div w:id="989485195">
      <w:bodyDiv w:val="1"/>
      <w:marLeft w:val="0"/>
      <w:marRight w:val="0"/>
      <w:marTop w:val="0"/>
      <w:marBottom w:val="0"/>
      <w:divBdr>
        <w:top w:val="none" w:sz="0" w:space="0" w:color="auto"/>
        <w:left w:val="none" w:sz="0" w:space="0" w:color="auto"/>
        <w:bottom w:val="none" w:sz="0" w:space="0" w:color="auto"/>
        <w:right w:val="none" w:sz="0" w:space="0" w:color="auto"/>
      </w:divBdr>
    </w:div>
    <w:div w:id="1048065646">
      <w:bodyDiv w:val="1"/>
      <w:marLeft w:val="0"/>
      <w:marRight w:val="0"/>
      <w:marTop w:val="0"/>
      <w:marBottom w:val="0"/>
      <w:divBdr>
        <w:top w:val="none" w:sz="0" w:space="0" w:color="auto"/>
        <w:left w:val="none" w:sz="0" w:space="0" w:color="auto"/>
        <w:bottom w:val="none" w:sz="0" w:space="0" w:color="auto"/>
        <w:right w:val="none" w:sz="0" w:space="0" w:color="auto"/>
      </w:divBdr>
      <w:divsChild>
        <w:div w:id="626548270">
          <w:marLeft w:val="-100"/>
          <w:marRight w:val="0"/>
          <w:marTop w:val="0"/>
          <w:marBottom w:val="0"/>
          <w:divBdr>
            <w:top w:val="none" w:sz="0" w:space="0" w:color="auto"/>
            <w:left w:val="none" w:sz="0" w:space="0" w:color="auto"/>
            <w:bottom w:val="none" w:sz="0" w:space="0" w:color="auto"/>
            <w:right w:val="none" w:sz="0" w:space="0" w:color="auto"/>
          </w:divBdr>
        </w:div>
      </w:divsChild>
    </w:div>
    <w:div w:id="10934026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302">
          <w:marLeft w:val="-100"/>
          <w:marRight w:val="0"/>
          <w:marTop w:val="0"/>
          <w:marBottom w:val="0"/>
          <w:divBdr>
            <w:top w:val="none" w:sz="0" w:space="0" w:color="auto"/>
            <w:left w:val="none" w:sz="0" w:space="0" w:color="auto"/>
            <w:bottom w:val="none" w:sz="0" w:space="0" w:color="auto"/>
            <w:right w:val="none" w:sz="0" w:space="0" w:color="auto"/>
          </w:divBdr>
        </w:div>
      </w:divsChild>
    </w:div>
    <w:div w:id="1165173201">
      <w:bodyDiv w:val="1"/>
      <w:marLeft w:val="0"/>
      <w:marRight w:val="0"/>
      <w:marTop w:val="0"/>
      <w:marBottom w:val="0"/>
      <w:divBdr>
        <w:top w:val="none" w:sz="0" w:space="0" w:color="auto"/>
        <w:left w:val="none" w:sz="0" w:space="0" w:color="auto"/>
        <w:bottom w:val="none" w:sz="0" w:space="0" w:color="auto"/>
        <w:right w:val="none" w:sz="0" w:space="0" w:color="auto"/>
      </w:divBdr>
    </w:div>
    <w:div w:id="1306738095">
      <w:bodyDiv w:val="1"/>
      <w:marLeft w:val="0"/>
      <w:marRight w:val="0"/>
      <w:marTop w:val="0"/>
      <w:marBottom w:val="0"/>
      <w:divBdr>
        <w:top w:val="none" w:sz="0" w:space="0" w:color="auto"/>
        <w:left w:val="none" w:sz="0" w:space="0" w:color="auto"/>
        <w:bottom w:val="none" w:sz="0" w:space="0" w:color="auto"/>
        <w:right w:val="none" w:sz="0" w:space="0" w:color="auto"/>
      </w:divBdr>
    </w:div>
    <w:div w:id="1340620518">
      <w:bodyDiv w:val="1"/>
      <w:marLeft w:val="0"/>
      <w:marRight w:val="0"/>
      <w:marTop w:val="0"/>
      <w:marBottom w:val="0"/>
      <w:divBdr>
        <w:top w:val="none" w:sz="0" w:space="0" w:color="auto"/>
        <w:left w:val="none" w:sz="0" w:space="0" w:color="auto"/>
        <w:bottom w:val="none" w:sz="0" w:space="0" w:color="auto"/>
        <w:right w:val="none" w:sz="0" w:space="0" w:color="auto"/>
      </w:divBdr>
      <w:divsChild>
        <w:div w:id="121700431">
          <w:marLeft w:val="-100"/>
          <w:marRight w:val="0"/>
          <w:marTop w:val="0"/>
          <w:marBottom w:val="0"/>
          <w:divBdr>
            <w:top w:val="none" w:sz="0" w:space="0" w:color="auto"/>
            <w:left w:val="none" w:sz="0" w:space="0" w:color="auto"/>
            <w:bottom w:val="none" w:sz="0" w:space="0" w:color="auto"/>
            <w:right w:val="none" w:sz="0" w:space="0" w:color="auto"/>
          </w:divBdr>
        </w:div>
      </w:divsChild>
    </w:div>
    <w:div w:id="1358432266">
      <w:bodyDiv w:val="1"/>
      <w:marLeft w:val="0"/>
      <w:marRight w:val="0"/>
      <w:marTop w:val="0"/>
      <w:marBottom w:val="0"/>
      <w:divBdr>
        <w:top w:val="none" w:sz="0" w:space="0" w:color="auto"/>
        <w:left w:val="none" w:sz="0" w:space="0" w:color="auto"/>
        <w:bottom w:val="none" w:sz="0" w:space="0" w:color="auto"/>
        <w:right w:val="none" w:sz="0" w:space="0" w:color="auto"/>
      </w:divBdr>
    </w:div>
    <w:div w:id="1407530657">
      <w:bodyDiv w:val="1"/>
      <w:marLeft w:val="0"/>
      <w:marRight w:val="0"/>
      <w:marTop w:val="0"/>
      <w:marBottom w:val="0"/>
      <w:divBdr>
        <w:top w:val="none" w:sz="0" w:space="0" w:color="auto"/>
        <w:left w:val="none" w:sz="0" w:space="0" w:color="auto"/>
        <w:bottom w:val="none" w:sz="0" w:space="0" w:color="auto"/>
        <w:right w:val="none" w:sz="0" w:space="0" w:color="auto"/>
      </w:divBdr>
      <w:divsChild>
        <w:div w:id="1320764620">
          <w:marLeft w:val="-100"/>
          <w:marRight w:val="0"/>
          <w:marTop w:val="0"/>
          <w:marBottom w:val="0"/>
          <w:divBdr>
            <w:top w:val="none" w:sz="0" w:space="0" w:color="auto"/>
            <w:left w:val="none" w:sz="0" w:space="0" w:color="auto"/>
            <w:bottom w:val="none" w:sz="0" w:space="0" w:color="auto"/>
            <w:right w:val="none" w:sz="0" w:space="0" w:color="auto"/>
          </w:divBdr>
        </w:div>
      </w:divsChild>
    </w:div>
    <w:div w:id="1474828794">
      <w:bodyDiv w:val="1"/>
      <w:marLeft w:val="0"/>
      <w:marRight w:val="0"/>
      <w:marTop w:val="0"/>
      <w:marBottom w:val="0"/>
      <w:divBdr>
        <w:top w:val="none" w:sz="0" w:space="0" w:color="auto"/>
        <w:left w:val="none" w:sz="0" w:space="0" w:color="auto"/>
        <w:bottom w:val="none" w:sz="0" w:space="0" w:color="auto"/>
        <w:right w:val="none" w:sz="0" w:space="0" w:color="auto"/>
      </w:divBdr>
    </w:div>
    <w:div w:id="1487940646">
      <w:bodyDiv w:val="1"/>
      <w:marLeft w:val="0"/>
      <w:marRight w:val="0"/>
      <w:marTop w:val="0"/>
      <w:marBottom w:val="0"/>
      <w:divBdr>
        <w:top w:val="none" w:sz="0" w:space="0" w:color="auto"/>
        <w:left w:val="none" w:sz="0" w:space="0" w:color="auto"/>
        <w:bottom w:val="none" w:sz="0" w:space="0" w:color="auto"/>
        <w:right w:val="none" w:sz="0" w:space="0" w:color="auto"/>
      </w:divBdr>
    </w:div>
    <w:div w:id="1541353677">
      <w:bodyDiv w:val="1"/>
      <w:marLeft w:val="0"/>
      <w:marRight w:val="0"/>
      <w:marTop w:val="0"/>
      <w:marBottom w:val="0"/>
      <w:divBdr>
        <w:top w:val="none" w:sz="0" w:space="0" w:color="auto"/>
        <w:left w:val="none" w:sz="0" w:space="0" w:color="auto"/>
        <w:bottom w:val="none" w:sz="0" w:space="0" w:color="auto"/>
        <w:right w:val="none" w:sz="0" w:space="0" w:color="auto"/>
      </w:divBdr>
    </w:div>
    <w:div w:id="1581521828">
      <w:bodyDiv w:val="1"/>
      <w:marLeft w:val="0"/>
      <w:marRight w:val="0"/>
      <w:marTop w:val="0"/>
      <w:marBottom w:val="0"/>
      <w:divBdr>
        <w:top w:val="none" w:sz="0" w:space="0" w:color="auto"/>
        <w:left w:val="none" w:sz="0" w:space="0" w:color="auto"/>
        <w:bottom w:val="none" w:sz="0" w:space="0" w:color="auto"/>
        <w:right w:val="none" w:sz="0" w:space="0" w:color="auto"/>
      </w:divBdr>
    </w:div>
    <w:div w:id="1606186103">
      <w:bodyDiv w:val="1"/>
      <w:marLeft w:val="0"/>
      <w:marRight w:val="0"/>
      <w:marTop w:val="0"/>
      <w:marBottom w:val="0"/>
      <w:divBdr>
        <w:top w:val="none" w:sz="0" w:space="0" w:color="auto"/>
        <w:left w:val="none" w:sz="0" w:space="0" w:color="auto"/>
        <w:bottom w:val="none" w:sz="0" w:space="0" w:color="auto"/>
        <w:right w:val="none" w:sz="0" w:space="0" w:color="auto"/>
      </w:divBdr>
    </w:div>
    <w:div w:id="1734739444">
      <w:bodyDiv w:val="1"/>
      <w:marLeft w:val="0"/>
      <w:marRight w:val="0"/>
      <w:marTop w:val="0"/>
      <w:marBottom w:val="0"/>
      <w:divBdr>
        <w:top w:val="none" w:sz="0" w:space="0" w:color="auto"/>
        <w:left w:val="none" w:sz="0" w:space="0" w:color="auto"/>
        <w:bottom w:val="none" w:sz="0" w:space="0" w:color="auto"/>
        <w:right w:val="none" w:sz="0" w:space="0" w:color="auto"/>
      </w:divBdr>
    </w:div>
    <w:div w:id="1780369269">
      <w:bodyDiv w:val="1"/>
      <w:marLeft w:val="0"/>
      <w:marRight w:val="0"/>
      <w:marTop w:val="0"/>
      <w:marBottom w:val="0"/>
      <w:divBdr>
        <w:top w:val="none" w:sz="0" w:space="0" w:color="auto"/>
        <w:left w:val="none" w:sz="0" w:space="0" w:color="auto"/>
        <w:bottom w:val="none" w:sz="0" w:space="0" w:color="auto"/>
        <w:right w:val="none" w:sz="0" w:space="0" w:color="auto"/>
      </w:divBdr>
      <w:divsChild>
        <w:div w:id="742484198">
          <w:marLeft w:val="480"/>
          <w:marRight w:val="0"/>
          <w:marTop w:val="0"/>
          <w:marBottom w:val="0"/>
          <w:divBdr>
            <w:top w:val="none" w:sz="0" w:space="0" w:color="auto"/>
            <w:left w:val="none" w:sz="0" w:space="0" w:color="auto"/>
            <w:bottom w:val="none" w:sz="0" w:space="0" w:color="auto"/>
            <w:right w:val="none" w:sz="0" w:space="0" w:color="auto"/>
          </w:divBdr>
          <w:divsChild>
            <w:div w:id="1780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07/s11747-014-040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215824401665990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1937</Words>
  <Characters>10734</Characters>
  <Application>Microsoft Office Word</Application>
  <DocSecurity>0</DocSecurity>
  <Lines>243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Castille</dc:creator>
  <cp:keywords/>
  <dc:description/>
  <cp:lastModifiedBy>Christopher Castille</cp:lastModifiedBy>
  <cp:revision>16</cp:revision>
  <dcterms:created xsi:type="dcterms:W3CDTF">2020-06-29T18:26:00Z</dcterms:created>
  <dcterms:modified xsi:type="dcterms:W3CDTF">2020-06-30T14:34:00Z</dcterms:modified>
</cp:coreProperties>
</file>