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B2CA" w14:textId="77777777" w:rsidR="0032222F" w:rsidRPr="00CE4432" w:rsidRDefault="0032222F">
      <w:pPr>
        <w:rPr>
          <w:sz w:val="20"/>
          <w:szCs w:val="20"/>
        </w:rPr>
      </w:pPr>
    </w:p>
    <w:tbl>
      <w:tblPr>
        <w:tblStyle w:val="TableGrid"/>
        <w:tblW w:w="14940" w:type="dxa"/>
        <w:tblInd w:w="-972" w:type="dxa"/>
        <w:tblLook w:val="04A0" w:firstRow="1" w:lastRow="0" w:firstColumn="1" w:lastColumn="0" w:noHBand="0" w:noVBand="1"/>
      </w:tblPr>
      <w:tblGrid>
        <w:gridCol w:w="1698"/>
        <w:gridCol w:w="5862"/>
        <w:gridCol w:w="7380"/>
      </w:tblGrid>
      <w:tr w:rsidR="0032222F" w:rsidRPr="00CE4432" w14:paraId="44B78385" w14:textId="77777777" w:rsidTr="00644845">
        <w:tc>
          <w:tcPr>
            <w:tcW w:w="14940" w:type="dxa"/>
            <w:gridSpan w:val="3"/>
          </w:tcPr>
          <w:p w14:paraId="2CC2B571" w14:textId="77777777" w:rsidR="0032222F" w:rsidRPr="002B01A3" w:rsidRDefault="0032222F" w:rsidP="0032222F">
            <w:pPr>
              <w:tabs>
                <w:tab w:val="left" w:pos="3280"/>
              </w:tabs>
              <w:jc w:val="center"/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BETA LACTAMS</w:t>
            </w:r>
          </w:p>
        </w:tc>
      </w:tr>
      <w:tr w:rsidR="00644845" w:rsidRPr="00CE4432" w14:paraId="6DBF1B79" w14:textId="77777777" w:rsidTr="002B01A3">
        <w:tc>
          <w:tcPr>
            <w:tcW w:w="1698" w:type="dxa"/>
          </w:tcPr>
          <w:p w14:paraId="4F3D6C7E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  <w:tc>
          <w:tcPr>
            <w:tcW w:w="5862" w:type="dxa"/>
          </w:tcPr>
          <w:p w14:paraId="0277FC30" w14:textId="77777777" w:rsidR="0032222F" w:rsidRPr="002B01A3" w:rsidRDefault="0032222F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PENICILLINS</w:t>
            </w:r>
          </w:p>
        </w:tc>
        <w:tc>
          <w:tcPr>
            <w:tcW w:w="7380" w:type="dxa"/>
          </w:tcPr>
          <w:p w14:paraId="50126BD1" w14:textId="77777777" w:rsidR="0032222F" w:rsidRPr="002B01A3" w:rsidRDefault="0032222F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 xml:space="preserve">CEPHALOSPORINS </w:t>
            </w:r>
          </w:p>
        </w:tc>
      </w:tr>
      <w:tr w:rsidR="00644845" w:rsidRPr="00CE4432" w14:paraId="6B7ACE8C" w14:textId="77777777" w:rsidTr="002B01A3">
        <w:tc>
          <w:tcPr>
            <w:tcW w:w="1698" w:type="dxa"/>
          </w:tcPr>
          <w:p w14:paraId="578DED0A" w14:textId="77777777" w:rsidR="0032222F" w:rsidRPr="002B01A3" w:rsidRDefault="0032222F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5862" w:type="dxa"/>
          </w:tcPr>
          <w:p w14:paraId="7ACB6AAD" w14:textId="18C38296" w:rsidR="0032222F" w:rsidRPr="00CE4432" w:rsidRDefault="00F977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44C812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s1026" type="#_x0000_t75" style="position:absolute;margin-left:52.2pt;margin-top:.85pt;width:132.75pt;height:90.95pt;z-index:251658240;visibility:visible;mso-position-horizontal-relative:text;mso-position-vertical-relative:text">
                  <v:imagedata r:id="rId6" o:title=""/>
                </v:shape>
                <o:OLEObject Type="Embed" ProgID="ChemDraw.Document.6.0" ShapeID="Object 1" DrawAspect="Content" ObjectID="_1545396060" r:id="rId7"/>
              </w:pict>
            </w:r>
          </w:p>
          <w:p w14:paraId="68C86B14" w14:textId="670F1C84" w:rsidR="00BE05F7" w:rsidRPr="002B01A3" w:rsidRDefault="00BE05F7" w:rsidP="00F977BE">
            <w:pPr>
              <w:rPr>
                <w:b/>
                <w:color w:val="800000"/>
                <w:sz w:val="20"/>
                <w:szCs w:val="20"/>
              </w:rPr>
            </w:pPr>
          </w:p>
          <w:p w14:paraId="40B885B0" w14:textId="77777777" w:rsidR="00644845" w:rsidRDefault="00644845">
            <w:pPr>
              <w:rPr>
                <w:sz w:val="20"/>
                <w:szCs w:val="20"/>
              </w:rPr>
            </w:pPr>
          </w:p>
          <w:p w14:paraId="452ADA97" w14:textId="77777777" w:rsidR="00F977BE" w:rsidRDefault="00F977BE">
            <w:pPr>
              <w:rPr>
                <w:sz w:val="20"/>
                <w:szCs w:val="20"/>
              </w:rPr>
            </w:pPr>
          </w:p>
          <w:p w14:paraId="1810A80D" w14:textId="77777777" w:rsidR="00F977BE" w:rsidRDefault="00F977BE">
            <w:pPr>
              <w:rPr>
                <w:sz w:val="20"/>
                <w:szCs w:val="20"/>
              </w:rPr>
            </w:pPr>
          </w:p>
          <w:p w14:paraId="520BC25A" w14:textId="77777777" w:rsidR="00F977BE" w:rsidRDefault="00F977BE">
            <w:pPr>
              <w:rPr>
                <w:sz w:val="20"/>
                <w:szCs w:val="20"/>
              </w:rPr>
            </w:pPr>
          </w:p>
          <w:p w14:paraId="282BE96A" w14:textId="77777777" w:rsidR="00F977BE" w:rsidRDefault="00F977BE">
            <w:pPr>
              <w:rPr>
                <w:sz w:val="20"/>
                <w:szCs w:val="20"/>
              </w:rPr>
            </w:pPr>
          </w:p>
          <w:p w14:paraId="37A63E82" w14:textId="77777777" w:rsidR="00F977BE" w:rsidRPr="00CE4432" w:rsidRDefault="00F977BE">
            <w:pPr>
              <w:rPr>
                <w:sz w:val="20"/>
                <w:szCs w:val="20"/>
              </w:rPr>
            </w:pPr>
          </w:p>
          <w:p w14:paraId="47E8D4D5" w14:textId="69D27E8D" w:rsidR="00644845" w:rsidRPr="00CE4432" w:rsidRDefault="00F977BE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>
              <w:rPr>
                <w:rFonts w:ascii="Times New Roman" w:hAnsi="Times New Roman"/>
                <w:bCs/>
              </w:rPr>
              <w:t>β</w:t>
            </w:r>
            <w:r w:rsidR="00644845" w:rsidRPr="00CE4432">
              <w:rPr>
                <w:rFonts w:asciiTheme="minorHAnsi" w:hAnsiTheme="minorHAnsi" w:cs="Arial"/>
                <w:bCs/>
              </w:rPr>
              <w:t>-lactam ring &amp; fused bicyclic system: creates a strained system</w:t>
            </w:r>
          </w:p>
          <w:p w14:paraId="757C9526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1: must be a nitrogen</w:t>
            </w:r>
          </w:p>
          <w:p w14:paraId="7473C680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2: must be a carboxylic acid for activity; binds to charged nitrogen of a lysine residue in the binding site</w:t>
            </w:r>
          </w:p>
          <w:p w14:paraId="23ACDFDA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3: any change will lower activity</w:t>
            </w:r>
          </w:p>
          <w:p w14:paraId="5652D5C0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4: sulfur is usual, but not essential</w:t>
            </w:r>
          </w:p>
          <w:p w14:paraId="41D8F18C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5: no substitutions allowed; cis stereochemistry with hydrogens at position 5 &amp; 6 is essential</w:t>
            </w:r>
          </w:p>
          <w:p w14:paraId="5A819615" w14:textId="77777777" w:rsidR="00644845" w:rsidRPr="00CE4432" w:rsidRDefault="00644845" w:rsidP="006448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R group</w:t>
            </w:r>
          </w:p>
          <w:p w14:paraId="0D52834D" w14:textId="77777777" w:rsidR="00644845" w:rsidRPr="00CE4432" w:rsidRDefault="00644845" w:rsidP="00644845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EWG: increases the acid stability of the compound</w:t>
            </w:r>
          </w:p>
          <w:p w14:paraId="03D5AE01" w14:textId="019B0CFD" w:rsidR="00644845" w:rsidRPr="00CE4432" w:rsidRDefault="00644845" w:rsidP="00F977BE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Bulky group: directly attached to the amide will make the compound more </w:t>
            </w:r>
            <w:r w:rsidR="00F977BE">
              <w:rPr>
                <w:rFonts w:ascii="Times New Roman" w:hAnsi="Times New Roman"/>
                <w:bCs/>
              </w:rPr>
              <w:t>β</w:t>
            </w:r>
            <w:r w:rsidRPr="00CE4432">
              <w:rPr>
                <w:rFonts w:asciiTheme="minorHAnsi" w:hAnsiTheme="minorHAnsi" w:cs="Arial"/>
                <w:bCs/>
              </w:rPr>
              <w:t>-lactamase resistant</w:t>
            </w:r>
          </w:p>
          <w:p w14:paraId="7ADD5ACF" w14:textId="3780FC5C" w:rsidR="00644845" w:rsidRPr="00CE4432" w:rsidRDefault="00644845" w:rsidP="00644845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Polar group: broadens the spectrum as this allows the compound to pass through the </w:t>
            </w:r>
            <w:proofErr w:type="spellStart"/>
            <w:r w:rsidRPr="00CE4432">
              <w:rPr>
                <w:rFonts w:asciiTheme="minorHAnsi" w:hAnsiTheme="minorHAnsi" w:cs="Arial"/>
                <w:bCs/>
              </w:rPr>
              <w:t>porins</w:t>
            </w:r>
            <w:proofErr w:type="spellEnd"/>
            <w:r w:rsidRPr="00CE4432">
              <w:rPr>
                <w:rFonts w:asciiTheme="minorHAnsi" w:hAnsiTheme="minorHAnsi" w:cs="Arial"/>
                <w:bCs/>
              </w:rPr>
              <w:t xml:space="preserve"> of gram negative bacteria</w:t>
            </w:r>
          </w:p>
          <w:p w14:paraId="1816FCE7" w14:textId="2713F612" w:rsidR="00BE05F7" w:rsidRPr="00CE4432" w:rsidRDefault="00644845" w:rsidP="00644845">
            <w:pPr>
              <w:pStyle w:val="NormalWeb"/>
              <w:numPr>
                <w:ilvl w:val="0"/>
                <w:numId w:val="1"/>
              </w:numPr>
              <w:spacing w:before="0" w:beforeAutospacing="0" w:after="320" w:afterAutospacing="0"/>
              <w:textAlignment w:val="baseline"/>
              <w:rPr>
                <w:rFonts w:asciiTheme="minorHAnsi" w:hAnsiTheme="minorHAnsi" w:cs="Arial"/>
                <w:b/>
                <w:bCs/>
                <w:color w:val="FF0000"/>
              </w:rPr>
            </w:pPr>
            <w:r w:rsidRPr="00CE4432">
              <w:rPr>
                <w:rFonts w:asciiTheme="minorHAnsi" w:hAnsiTheme="minorHAnsi" w:cs="Arial"/>
                <w:bCs/>
              </w:rPr>
              <w:t>Position 7: must be a carbonyl</w:t>
            </w:r>
          </w:p>
        </w:tc>
        <w:tc>
          <w:tcPr>
            <w:tcW w:w="7380" w:type="dxa"/>
          </w:tcPr>
          <w:p w14:paraId="3340C382" w14:textId="45011ECE" w:rsidR="00644845" w:rsidRPr="00CE4432" w:rsidRDefault="00F977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4A584C7">
                <v:shape id="_x0000_s1027" type="#_x0000_t75" style="position:absolute;margin-left:115.6pt;margin-top:.85pt;width:143pt;height:82.95pt;z-index:251659264;visibility:visible;mso-position-horizontal-relative:text;mso-position-vertical-relative:text">
                  <v:imagedata r:id="rId8" o:title=""/>
                </v:shape>
                <o:OLEObject Type="Embed" ProgID="ChemDraw.Document.6.0" ShapeID="_x0000_s1027" DrawAspect="Content" ObjectID="_1545396061" r:id="rId9"/>
              </w:pict>
            </w:r>
          </w:p>
          <w:p w14:paraId="4A2B9D27" w14:textId="77777777" w:rsidR="00644845" w:rsidRDefault="00644845">
            <w:pPr>
              <w:rPr>
                <w:sz w:val="20"/>
                <w:szCs w:val="20"/>
              </w:rPr>
            </w:pPr>
          </w:p>
          <w:p w14:paraId="004B604B" w14:textId="77777777" w:rsidR="00F977BE" w:rsidRDefault="00F977BE">
            <w:pPr>
              <w:rPr>
                <w:sz w:val="20"/>
                <w:szCs w:val="20"/>
              </w:rPr>
            </w:pPr>
          </w:p>
          <w:p w14:paraId="66B9C58E" w14:textId="77777777" w:rsidR="00F977BE" w:rsidRDefault="00F977BE">
            <w:pPr>
              <w:rPr>
                <w:sz w:val="20"/>
                <w:szCs w:val="20"/>
              </w:rPr>
            </w:pPr>
          </w:p>
          <w:p w14:paraId="7FDCCE25" w14:textId="77777777" w:rsidR="00F977BE" w:rsidRDefault="00F977BE">
            <w:pPr>
              <w:rPr>
                <w:sz w:val="20"/>
                <w:szCs w:val="20"/>
              </w:rPr>
            </w:pPr>
          </w:p>
          <w:p w14:paraId="54DD6FCE" w14:textId="77777777" w:rsidR="00F977BE" w:rsidRDefault="00F977BE">
            <w:pPr>
              <w:rPr>
                <w:sz w:val="20"/>
                <w:szCs w:val="20"/>
              </w:rPr>
            </w:pPr>
          </w:p>
          <w:p w14:paraId="4E17102C" w14:textId="77777777" w:rsidR="00F977BE" w:rsidRDefault="00F977BE">
            <w:pPr>
              <w:rPr>
                <w:sz w:val="20"/>
                <w:szCs w:val="20"/>
              </w:rPr>
            </w:pPr>
          </w:p>
          <w:p w14:paraId="65D435C2" w14:textId="77777777" w:rsidR="00F977BE" w:rsidRPr="00CE4432" w:rsidRDefault="00F977BE">
            <w:pPr>
              <w:rPr>
                <w:sz w:val="20"/>
                <w:szCs w:val="20"/>
              </w:rPr>
            </w:pPr>
          </w:p>
          <w:p w14:paraId="65D838F9" w14:textId="5F396A25" w:rsidR="00644845" w:rsidRPr="00CE4432" w:rsidRDefault="00F977BE" w:rsidP="0064484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>
              <w:rPr>
                <w:rFonts w:ascii="Times New Roman" w:hAnsi="Times New Roman"/>
                <w:bCs/>
              </w:rPr>
              <w:t>β</w:t>
            </w:r>
            <w:r w:rsidR="00644845" w:rsidRPr="00CE4432">
              <w:rPr>
                <w:rFonts w:asciiTheme="minorHAnsi" w:hAnsiTheme="minorHAnsi" w:cs="Arial"/>
                <w:bCs/>
              </w:rPr>
              <w:t xml:space="preserve">-lactam ring &amp; fused bicyclic system: creates a strained system (but less strain than the </w:t>
            </w:r>
            <w:proofErr w:type="spellStart"/>
            <w:r w:rsidR="00644845" w:rsidRPr="00CE4432">
              <w:rPr>
                <w:rFonts w:asciiTheme="minorHAnsi" w:hAnsiTheme="minorHAnsi" w:cs="Arial"/>
                <w:bCs/>
              </w:rPr>
              <w:t>penicillins</w:t>
            </w:r>
            <w:proofErr w:type="spellEnd"/>
            <w:r w:rsidR="00644845" w:rsidRPr="00CE4432">
              <w:rPr>
                <w:rFonts w:asciiTheme="minorHAnsi" w:hAnsiTheme="minorHAnsi" w:cs="Arial"/>
                <w:bCs/>
              </w:rPr>
              <w:t>, so less reactive)</w:t>
            </w:r>
          </w:p>
          <w:p w14:paraId="63CCDC62" w14:textId="77777777" w:rsidR="00644845" w:rsidRPr="00CE4432" w:rsidRDefault="00644845" w:rsidP="0064484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1: must be a nitrogen</w:t>
            </w:r>
          </w:p>
          <w:p w14:paraId="0E93FE0F" w14:textId="77777777" w:rsidR="00644845" w:rsidRPr="00CE4432" w:rsidRDefault="00644845" w:rsidP="0064484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2: must be a carboxylic acid for activity; binds to charged nitrogen of a lysine residue in the binding site</w:t>
            </w:r>
          </w:p>
          <w:p w14:paraId="45B0B5C6" w14:textId="77777777" w:rsidR="00644845" w:rsidRPr="00CE4432" w:rsidRDefault="00644845" w:rsidP="0064484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3: R</w:t>
            </w:r>
            <w:r w:rsidRPr="00F977BE">
              <w:rPr>
                <w:rFonts w:asciiTheme="minorHAnsi" w:hAnsiTheme="minorHAnsi" w:cs="Arial"/>
                <w:bCs/>
                <w:vertAlign w:val="subscript"/>
              </w:rPr>
              <w:t>2</w:t>
            </w:r>
            <w:r w:rsidRPr="00CE4432">
              <w:rPr>
                <w:rFonts w:asciiTheme="minorHAnsi" w:hAnsiTheme="minorHAnsi" w:cs="Arial"/>
                <w:bCs/>
              </w:rPr>
              <w:t xml:space="preserve"> group</w:t>
            </w:r>
          </w:p>
          <w:p w14:paraId="52EFCE50" w14:textId="77777777" w:rsidR="00644845" w:rsidRPr="00CE4432" w:rsidRDefault="00644845" w:rsidP="00644845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Non-metabolized group: increases oral activity &amp; acid stability </w:t>
            </w:r>
          </w:p>
          <w:p w14:paraId="62E28DF4" w14:textId="77777777" w:rsidR="00644845" w:rsidRPr="00CE4432" w:rsidRDefault="00644845" w:rsidP="00644845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MTT group: extended spectrum, longer-half life, higher potency</w:t>
            </w:r>
          </w:p>
          <w:p w14:paraId="3BE169A6" w14:textId="77777777" w:rsidR="00644845" w:rsidRPr="00CE4432" w:rsidRDefault="00644845" w:rsidP="00644845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Pyrimidine ring (positive charge): forms a zwitterion &amp; increases solubility </w:t>
            </w:r>
          </w:p>
          <w:p w14:paraId="4281E1D3" w14:textId="519EE5D0" w:rsidR="00644845" w:rsidRPr="00CE4432" w:rsidRDefault="00644845" w:rsidP="00644845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1,3 </w:t>
            </w:r>
            <w:proofErr w:type="spellStart"/>
            <w:r w:rsidRPr="00CE4432">
              <w:rPr>
                <w:rFonts w:asciiTheme="minorHAnsi" w:hAnsiTheme="minorHAnsi" w:cs="Arial"/>
                <w:bCs/>
              </w:rPr>
              <w:t>thiazole</w:t>
            </w:r>
            <w:proofErr w:type="spellEnd"/>
            <w:r w:rsidRPr="00CE4432">
              <w:rPr>
                <w:rFonts w:asciiTheme="minorHAnsi" w:hAnsiTheme="minorHAnsi" w:cs="Arial"/>
                <w:bCs/>
              </w:rPr>
              <w:t xml:space="preserve"> ring: Anti-MRSA activity </w:t>
            </w:r>
          </w:p>
          <w:p w14:paraId="3175D80F" w14:textId="77777777" w:rsidR="00644845" w:rsidRPr="00CE4432" w:rsidRDefault="00644845" w:rsidP="006448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</w:rPr>
            </w:pPr>
            <w:r w:rsidRPr="00CE4432">
              <w:rPr>
                <w:rFonts w:asciiTheme="minorHAnsi" w:hAnsiTheme="minorHAnsi" w:cs="Arial"/>
                <w:bCs/>
              </w:rPr>
              <w:t>Position 5: sulfur is usual, but not essential</w:t>
            </w:r>
          </w:p>
          <w:p w14:paraId="10EE944A" w14:textId="77777777" w:rsidR="00644845" w:rsidRPr="00CE4432" w:rsidRDefault="00644845" w:rsidP="006448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</w:rPr>
            </w:pPr>
            <w:r w:rsidRPr="00CE4432">
              <w:rPr>
                <w:rFonts w:asciiTheme="minorHAnsi" w:hAnsiTheme="minorHAnsi" w:cs="Arial"/>
                <w:bCs/>
              </w:rPr>
              <w:t>Position 6: no substitutions allowed;</w:t>
            </w:r>
          </w:p>
          <w:p w14:paraId="2BBB9062" w14:textId="59B4386B" w:rsidR="00644845" w:rsidRPr="00CE4432" w:rsidRDefault="00644845" w:rsidP="006448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7: R</w:t>
            </w:r>
            <w:r w:rsidRPr="00F977BE">
              <w:rPr>
                <w:rFonts w:asciiTheme="minorHAnsi" w:hAnsiTheme="minorHAnsi" w:cs="Arial"/>
                <w:bCs/>
                <w:vertAlign w:val="subscript"/>
              </w:rPr>
              <w:t>3</w:t>
            </w:r>
            <w:r w:rsidRPr="00CE4432">
              <w:rPr>
                <w:rFonts w:asciiTheme="minorHAnsi" w:hAnsiTheme="minorHAnsi" w:cs="Arial"/>
                <w:bCs/>
              </w:rPr>
              <w:t xml:space="preserve"> group- addition of OCH</w:t>
            </w:r>
            <w:r w:rsidRPr="00F977BE">
              <w:rPr>
                <w:rFonts w:asciiTheme="minorHAnsi" w:hAnsiTheme="minorHAnsi" w:cs="Arial"/>
                <w:bCs/>
                <w:vertAlign w:val="subscript"/>
              </w:rPr>
              <w:t>3</w:t>
            </w:r>
            <w:r w:rsidRPr="00CE4432">
              <w:rPr>
                <w:rFonts w:asciiTheme="minorHAnsi" w:hAnsiTheme="minorHAnsi" w:cs="Arial"/>
                <w:bCs/>
              </w:rPr>
              <w:t xml:space="preserve"> (7-alpha-methoxy) increases </w:t>
            </w:r>
            <w:r w:rsidR="00F977BE">
              <w:rPr>
                <w:rFonts w:ascii="Times New Roman" w:hAnsi="Times New Roman"/>
                <w:bCs/>
              </w:rPr>
              <w:t>β</w:t>
            </w:r>
            <w:r w:rsidRPr="00CE4432">
              <w:rPr>
                <w:rFonts w:asciiTheme="minorHAnsi" w:hAnsiTheme="minorHAnsi" w:cs="Arial"/>
                <w:bCs/>
              </w:rPr>
              <w:t>-lactamase resistance</w:t>
            </w:r>
          </w:p>
          <w:p w14:paraId="559ECD9A" w14:textId="77777777" w:rsidR="00644845" w:rsidRPr="00CE4432" w:rsidRDefault="00644845" w:rsidP="006448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R</w:t>
            </w:r>
            <w:r w:rsidRPr="00F977BE">
              <w:rPr>
                <w:rFonts w:asciiTheme="minorHAnsi" w:hAnsiTheme="minorHAnsi" w:cs="Arial"/>
                <w:bCs/>
                <w:vertAlign w:val="subscript"/>
              </w:rPr>
              <w:t>1</w:t>
            </w:r>
            <w:r w:rsidRPr="00CE4432">
              <w:rPr>
                <w:rFonts w:asciiTheme="minorHAnsi" w:hAnsiTheme="minorHAnsi" w:cs="Arial"/>
                <w:bCs/>
              </w:rPr>
              <w:t xml:space="preserve"> group</w:t>
            </w:r>
          </w:p>
          <w:p w14:paraId="48426A28" w14:textId="77777777" w:rsidR="00644845" w:rsidRPr="00CE4432" w:rsidRDefault="00644845" w:rsidP="00644845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EWG: increases the acid stability of the compound</w:t>
            </w:r>
          </w:p>
          <w:p w14:paraId="36EF58DF" w14:textId="10DD4BCA" w:rsidR="00644845" w:rsidRPr="00CE4432" w:rsidRDefault="00644845" w:rsidP="00F977BE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Bulky group: directly attached to the amide will make the compound more </w:t>
            </w:r>
            <w:r w:rsidR="00F977BE">
              <w:rPr>
                <w:rFonts w:ascii="Times New Roman" w:hAnsi="Times New Roman"/>
                <w:bCs/>
              </w:rPr>
              <w:t>β</w:t>
            </w:r>
            <w:r w:rsidR="00F977BE">
              <w:rPr>
                <w:rFonts w:asciiTheme="minorHAnsi" w:hAnsiTheme="minorHAnsi" w:cs="Arial"/>
                <w:bCs/>
              </w:rPr>
              <w:t>-</w:t>
            </w:r>
            <w:r w:rsidRPr="00CE4432">
              <w:rPr>
                <w:rFonts w:asciiTheme="minorHAnsi" w:hAnsiTheme="minorHAnsi" w:cs="Arial"/>
                <w:bCs/>
              </w:rPr>
              <w:t>lactamase resistant</w:t>
            </w:r>
          </w:p>
          <w:p w14:paraId="173142C6" w14:textId="77777777" w:rsidR="00644845" w:rsidRPr="00CE4432" w:rsidRDefault="00644845" w:rsidP="00644845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Polar group: broadens the spectrum as this allows the compound to pass through the </w:t>
            </w:r>
            <w:proofErr w:type="spellStart"/>
            <w:r w:rsidRPr="00CE4432">
              <w:rPr>
                <w:rFonts w:asciiTheme="minorHAnsi" w:hAnsiTheme="minorHAnsi" w:cs="Arial"/>
                <w:bCs/>
              </w:rPr>
              <w:t>porins</w:t>
            </w:r>
            <w:proofErr w:type="spellEnd"/>
            <w:r w:rsidRPr="00CE4432">
              <w:rPr>
                <w:rFonts w:asciiTheme="minorHAnsi" w:hAnsiTheme="minorHAnsi" w:cs="Arial"/>
                <w:bCs/>
              </w:rPr>
              <w:t xml:space="preserve"> of gram negative bacteria</w:t>
            </w:r>
          </w:p>
          <w:p w14:paraId="57DB5EA6" w14:textId="14B140A1" w:rsidR="00644845" w:rsidRPr="00CE4432" w:rsidRDefault="00644845" w:rsidP="00644845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 xml:space="preserve">Oxime: increases </w:t>
            </w:r>
            <w:r w:rsidR="00F977BE">
              <w:rPr>
                <w:rFonts w:ascii="Times New Roman" w:hAnsi="Times New Roman"/>
                <w:bCs/>
              </w:rPr>
              <w:t>β</w:t>
            </w:r>
            <w:r w:rsidRPr="00CE4432">
              <w:rPr>
                <w:rFonts w:asciiTheme="minorHAnsi" w:hAnsiTheme="minorHAnsi" w:cs="Arial"/>
                <w:bCs/>
              </w:rPr>
              <w:t>-lactamase resistance</w:t>
            </w:r>
          </w:p>
          <w:p w14:paraId="0BC136EB" w14:textId="6E14B0AE" w:rsidR="00644845" w:rsidRPr="00CE4432" w:rsidRDefault="00644845" w:rsidP="00644845">
            <w:pPr>
              <w:pStyle w:val="NormalWeb"/>
              <w:numPr>
                <w:ilvl w:val="0"/>
                <w:numId w:val="3"/>
              </w:numPr>
              <w:spacing w:before="0" w:beforeAutospacing="0" w:after="320" w:afterAutospacing="0"/>
              <w:textAlignment w:val="baseline"/>
              <w:rPr>
                <w:rFonts w:asciiTheme="minorHAnsi" w:hAnsiTheme="minorHAnsi" w:cs="Arial"/>
                <w:bCs/>
              </w:rPr>
            </w:pPr>
            <w:r w:rsidRPr="00CE4432">
              <w:rPr>
                <w:rFonts w:asciiTheme="minorHAnsi" w:hAnsiTheme="minorHAnsi" w:cs="Arial"/>
                <w:bCs/>
              </w:rPr>
              <w:t>Position 8: must be a carbonyl</w:t>
            </w:r>
          </w:p>
          <w:p w14:paraId="44F0F885" w14:textId="43D3E68F" w:rsidR="00644845" w:rsidRPr="00CE4432" w:rsidRDefault="00644845">
            <w:pPr>
              <w:rPr>
                <w:sz w:val="20"/>
                <w:szCs w:val="20"/>
              </w:rPr>
            </w:pPr>
          </w:p>
        </w:tc>
      </w:tr>
      <w:tr w:rsidR="00644845" w:rsidRPr="00CE4432" w14:paraId="01761D89" w14:textId="77777777" w:rsidTr="00644845">
        <w:tc>
          <w:tcPr>
            <w:tcW w:w="1698" w:type="dxa"/>
          </w:tcPr>
          <w:p w14:paraId="6152AE98" w14:textId="01ED8589" w:rsidR="00BE05F7" w:rsidRPr="002B01A3" w:rsidRDefault="00BE05F7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lastRenderedPageBreak/>
              <w:t>Target</w:t>
            </w:r>
          </w:p>
        </w:tc>
        <w:tc>
          <w:tcPr>
            <w:tcW w:w="13242" w:type="dxa"/>
            <w:gridSpan w:val="2"/>
          </w:tcPr>
          <w:p w14:paraId="3C00E00D" w14:textId="77777777" w:rsidR="00BE05F7" w:rsidRPr="00CE4432" w:rsidRDefault="00BE05F7" w:rsidP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Penicillin Binding Proteins (PBPs)</w:t>
            </w:r>
          </w:p>
          <w:p w14:paraId="08A01C9B" w14:textId="77777777" w:rsidR="00BE05F7" w:rsidRPr="00CE4432" w:rsidRDefault="00BE05F7" w:rsidP="00BE05F7">
            <w:pPr>
              <w:rPr>
                <w:sz w:val="20"/>
                <w:szCs w:val="20"/>
              </w:rPr>
            </w:pPr>
          </w:p>
        </w:tc>
      </w:tr>
      <w:tr w:rsidR="00644845" w:rsidRPr="00CE4432" w14:paraId="456F8FB1" w14:textId="77777777" w:rsidTr="00644845">
        <w:tc>
          <w:tcPr>
            <w:tcW w:w="1698" w:type="dxa"/>
          </w:tcPr>
          <w:p w14:paraId="2B57BF3A" w14:textId="77777777" w:rsidR="00BE05F7" w:rsidRPr="002B01A3" w:rsidRDefault="00BE05F7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Mechanism of Action (MOA)</w:t>
            </w:r>
          </w:p>
        </w:tc>
        <w:tc>
          <w:tcPr>
            <w:tcW w:w="13242" w:type="dxa"/>
            <w:gridSpan w:val="2"/>
          </w:tcPr>
          <w:p w14:paraId="604FDF39" w14:textId="77777777" w:rsidR="00BE05F7" w:rsidRPr="00CE4432" w:rsidRDefault="00BE05F7" w:rsidP="0032222F">
            <w:pPr>
              <w:rPr>
                <w:bCs/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 xml:space="preserve">Inhibits cell peptidoglycan synthesis – </w:t>
            </w:r>
            <w:r w:rsidRPr="00CE4432">
              <w:rPr>
                <w:sz w:val="20"/>
                <w:szCs w:val="20"/>
              </w:rPr>
              <w:t xml:space="preserve"> </w:t>
            </w:r>
            <w:r w:rsidRPr="00CE4432">
              <w:rPr>
                <w:bCs/>
                <w:sz w:val="20"/>
                <w:szCs w:val="20"/>
              </w:rPr>
              <w:t>specifically crosslinking of peptidoglycan strands</w:t>
            </w:r>
          </w:p>
          <w:p w14:paraId="73337A2A" w14:textId="77777777" w:rsidR="00BE05F7" w:rsidRPr="00CE4432" w:rsidRDefault="00BE05F7" w:rsidP="0032222F">
            <w:pPr>
              <w:rPr>
                <w:bCs/>
                <w:sz w:val="20"/>
                <w:szCs w:val="20"/>
              </w:rPr>
            </w:pPr>
          </w:p>
          <w:p w14:paraId="18E2875C" w14:textId="77777777" w:rsidR="00BE05F7" w:rsidRPr="00CE4432" w:rsidRDefault="00BE05F7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Bactericidal</w:t>
            </w:r>
          </w:p>
        </w:tc>
      </w:tr>
      <w:tr w:rsidR="00CE4432" w:rsidRPr="00CE4432" w14:paraId="612749D8" w14:textId="77777777" w:rsidTr="00CE4432">
        <w:tc>
          <w:tcPr>
            <w:tcW w:w="1698" w:type="dxa"/>
          </w:tcPr>
          <w:p w14:paraId="63E846C6" w14:textId="77777777" w:rsidR="00CE4432" w:rsidRPr="002B01A3" w:rsidRDefault="00CE4432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Mechanism of Resistance (MOR)</w:t>
            </w:r>
          </w:p>
        </w:tc>
        <w:tc>
          <w:tcPr>
            <w:tcW w:w="13242" w:type="dxa"/>
            <w:gridSpan w:val="2"/>
          </w:tcPr>
          <w:p w14:paraId="0303C4EC" w14:textId="637EDB7A" w:rsidR="00CE4432" w:rsidRPr="00CE4432" w:rsidRDefault="00CE4432" w:rsidP="00F977BE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Synthesis of inactivating enzymes -</w:t>
            </w:r>
            <w:r w:rsidRPr="00F977BE">
              <w:rPr>
                <w:bCs/>
                <w:sz w:val="20"/>
                <w:szCs w:val="20"/>
              </w:rPr>
              <w:t xml:space="preserve">&gt; 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Pr="00F977BE">
              <w:rPr>
                <w:bCs/>
                <w:sz w:val="20"/>
                <w:szCs w:val="20"/>
              </w:rPr>
              <w:t>-la</w:t>
            </w:r>
            <w:r w:rsidRPr="00CE4432">
              <w:rPr>
                <w:bCs/>
                <w:sz w:val="20"/>
                <w:szCs w:val="20"/>
              </w:rPr>
              <w:t>ctamases</w:t>
            </w:r>
            <w:r>
              <w:rPr>
                <w:bCs/>
                <w:sz w:val="20"/>
                <w:szCs w:val="20"/>
              </w:rPr>
              <w:t xml:space="preserve">  (less common in cephalosporin’s) </w:t>
            </w:r>
          </w:p>
          <w:p w14:paraId="128B7CBC" w14:textId="77777777" w:rsidR="00CE4432" w:rsidRPr="00CE4432" w:rsidRDefault="00CE4432" w:rsidP="00CE443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Mutations to PBP (decreases affinity of drug to target)</w:t>
            </w:r>
          </w:p>
          <w:p w14:paraId="7519282D" w14:textId="0C3CFCA3" w:rsidR="00CE4432" w:rsidRPr="00CE4432" w:rsidRDefault="00CE4432" w:rsidP="00CE443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E4432">
              <w:rPr>
                <w:sz w:val="20"/>
                <w:szCs w:val="20"/>
              </w:rPr>
              <w:t xml:space="preserve">Alteration of </w:t>
            </w:r>
            <w:proofErr w:type="spellStart"/>
            <w:r w:rsidRPr="00CE4432">
              <w:rPr>
                <w:sz w:val="20"/>
                <w:szCs w:val="20"/>
              </w:rPr>
              <w:t>porins</w:t>
            </w:r>
            <w:proofErr w:type="spellEnd"/>
            <w:r w:rsidRPr="00CE4432">
              <w:rPr>
                <w:sz w:val="20"/>
                <w:szCs w:val="20"/>
              </w:rPr>
              <w:t xml:space="preserve"> (decrease ability of drug to reach site of action in bacteria)</w:t>
            </w:r>
          </w:p>
        </w:tc>
      </w:tr>
      <w:tr w:rsidR="00644845" w:rsidRPr="00CE4432" w14:paraId="737A2F9B" w14:textId="77777777" w:rsidTr="002B01A3">
        <w:tc>
          <w:tcPr>
            <w:tcW w:w="1698" w:type="dxa"/>
          </w:tcPr>
          <w:p w14:paraId="3B48DB48" w14:textId="67043CBB" w:rsidR="0032222F" w:rsidRPr="002B01A3" w:rsidRDefault="007F49A0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Spectrum</w:t>
            </w:r>
          </w:p>
        </w:tc>
        <w:tc>
          <w:tcPr>
            <w:tcW w:w="5862" w:type="dxa"/>
          </w:tcPr>
          <w:p w14:paraId="75111DA3" w14:textId="491E35AA" w:rsidR="0032222F" w:rsidRPr="00CE4432" w:rsidRDefault="0032222F" w:rsidP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 xml:space="preserve">Early </w:t>
            </w:r>
            <w:r w:rsidR="007F49A0" w:rsidRPr="00CE4432">
              <w:rPr>
                <w:bCs/>
                <w:sz w:val="20"/>
                <w:szCs w:val="20"/>
              </w:rPr>
              <w:t>penicillin’s</w:t>
            </w:r>
            <w:r w:rsidR="007F49A0">
              <w:rPr>
                <w:bCs/>
                <w:sz w:val="20"/>
                <w:szCs w:val="20"/>
              </w:rPr>
              <w:t xml:space="preserve"> g</w:t>
            </w:r>
            <w:r w:rsidRPr="00CE4432">
              <w:rPr>
                <w:bCs/>
                <w:sz w:val="20"/>
                <w:szCs w:val="20"/>
              </w:rPr>
              <w:t>ram positive only, but as a class they are broad spectrum</w:t>
            </w:r>
          </w:p>
          <w:p w14:paraId="2CAAF72B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14:paraId="35D8F753" w14:textId="77777777" w:rsidR="0032222F" w:rsidRPr="00CE4432" w:rsidRDefault="0032222F" w:rsidP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 xml:space="preserve">Dependent on generation, some have very broad spectrum – even effective against organisms that produce </w:t>
            </w:r>
            <w:r w:rsidRPr="00CE4432">
              <w:rPr>
                <w:bCs/>
                <w:sz w:val="20"/>
                <w:szCs w:val="20"/>
                <w:lang w:val="el-GR"/>
              </w:rPr>
              <w:t>β</w:t>
            </w:r>
            <w:r w:rsidRPr="00CE4432">
              <w:rPr>
                <w:bCs/>
                <w:sz w:val="20"/>
                <w:szCs w:val="20"/>
              </w:rPr>
              <w:t xml:space="preserve">-lactamases </w:t>
            </w:r>
          </w:p>
          <w:p w14:paraId="5F9508A9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</w:tr>
      <w:tr w:rsidR="00644845" w:rsidRPr="00CE4432" w14:paraId="2AF64D07" w14:textId="77777777" w:rsidTr="002B01A3">
        <w:tc>
          <w:tcPr>
            <w:tcW w:w="1698" w:type="dxa"/>
          </w:tcPr>
          <w:p w14:paraId="318142F2" w14:textId="77777777" w:rsidR="0032222F" w:rsidRPr="002B01A3" w:rsidRDefault="0032222F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 xml:space="preserve">Type of inhibitor </w:t>
            </w:r>
          </w:p>
        </w:tc>
        <w:tc>
          <w:tcPr>
            <w:tcW w:w="5862" w:type="dxa"/>
          </w:tcPr>
          <w:p w14:paraId="46F21EA5" w14:textId="77777777" w:rsidR="0032222F" w:rsidRPr="00CE4432" w:rsidRDefault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Irreversible covalent inhibitor/ suicide inhibitor – substrate mimic</w:t>
            </w:r>
          </w:p>
        </w:tc>
        <w:tc>
          <w:tcPr>
            <w:tcW w:w="7380" w:type="dxa"/>
          </w:tcPr>
          <w:p w14:paraId="518E8CE3" w14:textId="77777777" w:rsidR="0032222F" w:rsidRPr="00CE4432" w:rsidRDefault="0032222F" w:rsidP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Irreversible covalent inhibitor – suicide inhibitors</w:t>
            </w:r>
          </w:p>
          <w:p w14:paraId="64BFBE59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</w:tr>
      <w:tr w:rsidR="00644845" w:rsidRPr="00CE4432" w14:paraId="30BD6B8B" w14:textId="77777777" w:rsidTr="002B01A3">
        <w:tc>
          <w:tcPr>
            <w:tcW w:w="1698" w:type="dxa"/>
          </w:tcPr>
          <w:p w14:paraId="45F5C036" w14:textId="77777777" w:rsidR="0032222F" w:rsidRPr="002B01A3" w:rsidRDefault="0032222F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 xml:space="preserve">Toxicity </w:t>
            </w:r>
          </w:p>
        </w:tc>
        <w:tc>
          <w:tcPr>
            <w:tcW w:w="5862" w:type="dxa"/>
          </w:tcPr>
          <w:p w14:paraId="7FDBBA12" w14:textId="77777777" w:rsidR="0032222F" w:rsidRPr="00CE4432" w:rsidRDefault="0032222F" w:rsidP="0032222F">
            <w:pPr>
              <w:rPr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>Immune response (low incidence), nephrotoxicity, pseudomonas colitis, seizures</w:t>
            </w:r>
          </w:p>
          <w:p w14:paraId="2B7E384E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14:paraId="2442D43E" w14:textId="77777777" w:rsidR="0032222F" w:rsidRPr="00CE4432" w:rsidRDefault="0032222F" w:rsidP="0032222F">
            <w:pPr>
              <w:rPr>
                <w:bCs/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 xml:space="preserve">Immune response (cross reactivity with other </w:t>
            </w:r>
            <w:r w:rsidRPr="00CE4432">
              <w:rPr>
                <w:bCs/>
                <w:sz w:val="20"/>
                <w:szCs w:val="20"/>
                <w:lang w:val="el-GR"/>
              </w:rPr>
              <w:t>β</w:t>
            </w:r>
            <w:r w:rsidRPr="00CE4432">
              <w:rPr>
                <w:bCs/>
                <w:sz w:val="20"/>
                <w:szCs w:val="20"/>
              </w:rPr>
              <w:t>-lactams) – otherwise low, nephrotoxicity, pseudomonas colitis, seizures</w:t>
            </w:r>
          </w:p>
          <w:p w14:paraId="3C2B0327" w14:textId="77777777" w:rsidR="00CE4432" w:rsidRPr="00CE4432" w:rsidRDefault="00CE4432" w:rsidP="0032222F">
            <w:pPr>
              <w:rPr>
                <w:bCs/>
                <w:sz w:val="20"/>
                <w:szCs w:val="20"/>
              </w:rPr>
            </w:pPr>
          </w:p>
          <w:p w14:paraId="0FAD7D1D" w14:textId="41330CE3" w:rsidR="00CE4432" w:rsidRPr="00CE4432" w:rsidRDefault="00CE4432" w:rsidP="00CE4432">
            <w:pPr>
              <w:rPr>
                <w:rFonts w:eastAsia="Times New Roman" w:cs="Times New Roman"/>
                <w:sz w:val="20"/>
                <w:szCs w:val="20"/>
              </w:rPr>
            </w:pPr>
            <w:r w:rsidRPr="00CE4432">
              <w:rPr>
                <w:bCs/>
                <w:sz w:val="20"/>
                <w:szCs w:val="20"/>
              </w:rPr>
              <w:t xml:space="preserve">A-Typical side effects due to MTT group: </w:t>
            </w:r>
            <w:proofErr w:type="spellStart"/>
            <w:r w:rsidRPr="00CE4432">
              <w:rPr>
                <w:rFonts w:eastAsia="Times New Roman" w:cs="Times New Roman"/>
                <w:color w:val="000000"/>
                <w:sz w:val="20"/>
                <w:szCs w:val="20"/>
              </w:rPr>
              <w:t>Hypothrombocytopenia</w:t>
            </w:r>
            <w:proofErr w:type="spellEnd"/>
            <w:r w:rsidRPr="00CE4432">
              <w:rPr>
                <w:rFonts w:eastAsia="Times New Roman" w:cs="Times New Roman"/>
                <w:color w:val="000000"/>
                <w:sz w:val="20"/>
                <w:szCs w:val="20"/>
              </w:rPr>
              <w:t>, Disulfiram-like effe</w:t>
            </w:r>
            <w:r w:rsidR="002B01A3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CE4432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  <w:p w14:paraId="6B6D0EE2" w14:textId="51E0D2E3" w:rsidR="00CE4432" w:rsidRPr="00CE4432" w:rsidRDefault="00CE4432" w:rsidP="00CE4432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5924C94F" w14:textId="193E9B9C" w:rsidR="00CE4432" w:rsidRPr="00CE4432" w:rsidRDefault="00CE4432" w:rsidP="0032222F">
            <w:pPr>
              <w:rPr>
                <w:sz w:val="20"/>
                <w:szCs w:val="20"/>
              </w:rPr>
            </w:pPr>
          </w:p>
          <w:p w14:paraId="32D50213" w14:textId="77777777" w:rsidR="0032222F" w:rsidRPr="00CE4432" w:rsidRDefault="0032222F">
            <w:pPr>
              <w:rPr>
                <w:sz w:val="20"/>
                <w:szCs w:val="20"/>
              </w:rPr>
            </w:pPr>
          </w:p>
        </w:tc>
      </w:tr>
    </w:tbl>
    <w:p w14:paraId="279B644B" w14:textId="77777777" w:rsidR="0032222F" w:rsidRDefault="0032222F"/>
    <w:p w14:paraId="0F63549C" w14:textId="77777777" w:rsidR="0032222F" w:rsidRDefault="0032222F"/>
    <w:p w14:paraId="2ACAE478" w14:textId="77777777" w:rsidR="00644845" w:rsidRDefault="00644845"/>
    <w:p w14:paraId="19FE72EB" w14:textId="77777777" w:rsidR="007F49A0" w:rsidRDefault="007F49A0"/>
    <w:p w14:paraId="518B6614" w14:textId="77777777" w:rsidR="007F49A0" w:rsidRDefault="007F49A0"/>
    <w:p w14:paraId="6BD7FCC2" w14:textId="77777777" w:rsidR="007F49A0" w:rsidRDefault="007F49A0"/>
    <w:p w14:paraId="5808831B" w14:textId="77777777" w:rsidR="007F49A0" w:rsidRDefault="007F49A0"/>
    <w:p w14:paraId="599A7A8C" w14:textId="77777777" w:rsidR="007F49A0" w:rsidRDefault="007F49A0"/>
    <w:p w14:paraId="165C419A" w14:textId="77777777" w:rsidR="007F49A0" w:rsidRDefault="007F49A0"/>
    <w:p w14:paraId="6C4D6445" w14:textId="77777777" w:rsidR="007F49A0" w:rsidRDefault="007F49A0"/>
    <w:p w14:paraId="700C952A" w14:textId="77777777" w:rsidR="007F49A0" w:rsidRDefault="007F49A0"/>
    <w:p w14:paraId="2DC34DE4" w14:textId="77777777" w:rsidR="007F49A0" w:rsidRDefault="007F49A0"/>
    <w:p w14:paraId="388FF161" w14:textId="77777777" w:rsidR="007F49A0" w:rsidRDefault="007F49A0"/>
    <w:p w14:paraId="6CAA8F1E" w14:textId="77777777" w:rsidR="002B01A3" w:rsidRDefault="002B01A3"/>
    <w:p w14:paraId="664170D3" w14:textId="77777777" w:rsidR="002B01A3" w:rsidRDefault="002B01A3"/>
    <w:p w14:paraId="77924376" w14:textId="77777777" w:rsidR="002B01A3" w:rsidRDefault="002B01A3"/>
    <w:tbl>
      <w:tblPr>
        <w:tblStyle w:val="TableGrid"/>
        <w:tblW w:w="15030" w:type="dxa"/>
        <w:tblInd w:w="-972" w:type="dxa"/>
        <w:tblLook w:val="04A0" w:firstRow="1" w:lastRow="0" w:firstColumn="1" w:lastColumn="0" w:noHBand="0" w:noVBand="1"/>
      </w:tblPr>
      <w:tblGrid>
        <w:gridCol w:w="1530"/>
        <w:gridCol w:w="5400"/>
        <w:gridCol w:w="4410"/>
        <w:gridCol w:w="3690"/>
      </w:tblGrid>
      <w:tr w:rsidR="00644845" w:rsidRPr="002B01A3" w14:paraId="74F650CD" w14:textId="77777777" w:rsidTr="002B01A3">
        <w:tc>
          <w:tcPr>
            <w:tcW w:w="15030" w:type="dxa"/>
            <w:gridSpan w:val="4"/>
          </w:tcPr>
          <w:p w14:paraId="4374DAAF" w14:textId="0B8BC7DD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 xml:space="preserve">Beta Lactams Continued </w:t>
            </w:r>
          </w:p>
        </w:tc>
      </w:tr>
      <w:tr w:rsidR="009418B9" w:rsidRPr="002B01A3" w14:paraId="1BB06A53" w14:textId="77777777" w:rsidTr="002B01A3">
        <w:tc>
          <w:tcPr>
            <w:tcW w:w="1530" w:type="dxa"/>
          </w:tcPr>
          <w:p w14:paraId="5E2CD26C" w14:textId="7891710B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Drug Class</w:t>
            </w:r>
          </w:p>
          <w:p w14:paraId="7EAA9DD7" w14:textId="77777777" w:rsidR="00644845" w:rsidRPr="002B01A3" w:rsidRDefault="00644845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2886B186" w14:textId="72764234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(example)</w:t>
            </w:r>
          </w:p>
        </w:tc>
        <w:tc>
          <w:tcPr>
            <w:tcW w:w="5400" w:type="dxa"/>
          </w:tcPr>
          <w:p w14:paraId="175C7143" w14:textId="77777777" w:rsidR="00644845" w:rsidRPr="002B01A3" w:rsidRDefault="00644845">
            <w:pPr>
              <w:rPr>
                <w:sz w:val="20"/>
                <w:szCs w:val="20"/>
              </w:rPr>
            </w:pPr>
            <w:proofErr w:type="spellStart"/>
            <w:r w:rsidRPr="002B01A3">
              <w:rPr>
                <w:sz w:val="20"/>
                <w:szCs w:val="20"/>
              </w:rPr>
              <w:t>Monobactam</w:t>
            </w:r>
            <w:proofErr w:type="spellEnd"/>
          </w:p>
          <w:p w14:paraId="5071D155" w14:textId="77777777" w:rsidR="00CE4432" w:rsidRPr="002B01A3" w:rsidRDefault="00CE4432">
            <w:pPr>
              <w:rPr>
                <w:sz w:val="20"/>
                <w:szCs w:val="20"/>
              </w:rPr>
            </w:pPr>
          </w:p>
          <w:p w14:paraId="52552EA1" w14:textId="39789A59" w:rsidR="00CE4432" w:rsidRPr="002B01A3" w:rsidRDefault="00CE4432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(</w:t>
            </w:r>
            <w:proofErr w:type="spellStart"/>
            <w:r w:rsidRPr="002B01A3">
              <w:rPr>
                <w:sz w:val="20"/>
                <w:szCs w:val="20"/>
              </w:rPr>
              <w:t>Aztreonam</w:t>
            </w:r>
            <w:proofErr w:type="spellEnd"/>
            <w:r w:rsidRPr="002B01A3">
              <w:rPr>
                <w:sz w:val="20"/>
                <w:szCs w:val="20"/>
              </w:rPr>
              <w:t>)</w:t>
            </w:r>
          </w:p>
        </w:tc>
        <w:tc>
          <w:tcPr>
            <w:tcW w:w="4410" w:type="dxa"/>
          </w:tcPr>
          <w:p w14:paraId="5AB355E7" w14:textId="77777777" w:rsidR="00644845" w:rsidRPr="002B01A3" w:rsidRDefault="00644845">
            <w:pPr>
              <w:rPr>
                <w:sz w:val="20"/>
                <w:szCs w:val="20"/>
              </w:rPr>
            </w:pPr>
            <w:proofErr w:type="spellStart"/>
            <w:r w:rsidRPr="002B01A3">
              <w:rPr>
                <w:sz w:val="20"/>
                <w:szCs w:val="20"/>
              </w:rPr>
              <w:t>Carbapenem</w:t>
            </w:r>
            <w:proofErr w:type="spellEnd"/>
          </w:p>
          <w:p w14:paraId="2CF366EC" w14:textId="77777777" w:rsidR="001A4C50" w:rsidRPr="002B01A3" w:rsidRDefault="001A4C50">
            <w:pPr>
              <w:rPr>
                <w:sz w:val="20"/>
                <w:szCs w:val="20"/>
              </w:rPr>
            </w:pPr>
          </w:p>
          <w:p w14:paraId="28EAC53C" w14:textId="3F520582" w:rsidR="001A4C50" w:rsidRPr="002B01A3" w:rsidRDefault="001A4C50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(Imipenem</w:t>
            </w:r>
            <w:r w:rsidR="007F49A0" w:rsidRPr="002B01A3">
              <w:rPr>
                <w:sz w:val="20"/>
                <w:szCs w:val="20"/>
              </w:rPr>
              <w:t xml:space="preserve">, </w:t>
            </w:r>
            <w:proofErr w:type="spellStart"/>
            <w:r w:rsidR="007F49A0" w:rsidRPr="002B01A3">
              <w:rPr>
                <w:sz w:val="20"/>
                <w:szCs w:val="20"/>
              </w:rPr>
              <w:t>Meropenem</w:t>
            </w:r>
            <w:proofErr w:type="spellEnd"/>
            <w:r w:rsidR="007F49A0" w:rsidRPr="002B01A3">
              <w:rPr>
                <w:sz w:val="20"/>
                <w:szCs w:val="20"/>
              </w:rPr>
              <w:t xml:space="preserve">, </w:t>
            </w:r>
            <w:proofErr w:type="spellStart"/>
            <w:r w:rsidR="007F49A0" w:rsidRPr="002B01A3">
              <w:rPr>
                <w:sz w:val="20"/>
                <w:szCs w:val="20"/>
              </w:rPr>
              <w:t>Ertapenem</w:t>
            </w:r>
            <w:proofErr w:type="spellEnd"/>
            <w:r w:rsidRPr="002B01A3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DD6C3E5" w14:textId="77777777" w:rsidR="00644845" w:rsidRPr="002B01A3" w:rsidRDefault="00644845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Beta Lactamase Inhibitor</w:t>
            </w:r>
          </w:p>
          <w:p w14:paraId="7325FD88" w14:textId="77777777" w:rsidR="00644845" w:rsidRPr="002B01A3" w:rsidRDefault="00644845">
            <w:pPr>
              <w:rPr>
                <w:sz w:val="20"/>
                <w:szCs w:val="20"/>
              </w:rPr>
            </w:pPr>
          </w:p>
          <w:p w14:paraId="519D541B" w14:textId="7BD1CDDF" w:rsidR="00644845" w:rsidRPr="002B01A3" w:rsidRDefault="00644845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(</w:t>
            </w:r>
            <w:r w:rsidR="00C438FB">
              <w:rPr>
                <w:rFonts w:eastAsia="Times New Roman" w:cs="Arial"/>
                <w:color w:val="000000"/>
                <w:sz w:val="20"/>
                <w:szCs w:val="20"/>
              </w:rPr>
              <w:t xml:space="preserve">Clavulanic acid, Sulbactam, </w:t>
            </w:r>
            <w:proofErr w:type="spellStart"/>
            <w:r w:rsidRPr="002B01A3">
              <w:rPr>
                <w:rFonts w:eastAsia="Times New Roman" w:cs="Arial"/>
                <w:color w:val="000000"/>
                <w:sz w:val="20"/>
                <w:szCs w:val="20"/>
              </w:rPr>
              <w:t>Tazobactam</w:t>
            </w:r>
            <w:proofErr w:type="spellEnd"/>
            <w:r w:rsidRPr="002B01A3">
              <w:rPr>
                <w:sz w:val="20"/>
                <w:szCs w:val="20"/>
              </w:rPr>
              <w:t>)</w:t>
            </w:r>
          </w:p>
        </w:tc>
      </w:tr>
      <w:tr w:rsidR="009418B9" w:rsidRPr="002B01A3" w14:paraId="0DB005D8" w14:textId="77777777" w:rsidTr="002B01A3">
        <w:tc>
          <w:tcPr>
            <w:tcW w:w="1530" w:type="dxa"/>
          </w:tcPr>
          <w:p w14:paraId="59EBB5D0" w14:textId="159604C1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5400" w:type="dxa"/>
          </w:tcPr>
          <w:p w14:paraId="70A32925" w14:textId="7F184DEF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Cs/>
                <w:noProof/>
                <w:color w:val="000000"/>
                <w:sz w:val="20"/>
                <w:szCs w:val="20"/>
              </w:rPr>
              <w:pict w14:anchorId="6FFC032C">
                <v:shape id="Object 2" o:spid="_x0000_s1029" type="#_x0000_t75" style="position:absolute;margin-left:90.35pt;margin-top:4.05pt;width:87.85pt;height:71.25pt;z-index:251661312;visibility:visible;mso-position-horizontal-relative:text;mso-position-vertical-relative:text">
                  <v:imagedata r:id="rId10" o:title=""/>
                </v:shape>
                <o:OLEObject Type="Embed" ProgID="ChemDraw.Document.6.0" ShapeID="Object 2" DrawAspect="Content" ObjectID="_1545396062" r:id="rId11"/>
              </w:pict>
            </w:r>
          </w:p>
          <w:p w14:paraId="3E6E67E1" w14:textId="77777777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2C93EABF" w14:textId="77777777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41A16A38" w14:textId="77777777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6874AF19" w14:textId="77777777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742071D0" w14:textId="415F464A" w:rsidR="009418B9" w:rsidRDefault="009418B9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36100CE4" w14:textId="77777777" w:rsidR="00F977BE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20CB51AF" w14:textId="77777777" w:rsidR="00F977BE" w:rsidRPr="002B01A3" w:rsidRDefault="00F977BE" w:rsidP="00644845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2C3020F1" w14:textId="46D170E0" w:rsidR="00644845" w:rsidRPr="002B01A3" w:rsidRDefault="009418B9" w:rsidP="005A07AF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2B01A3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- </w:t>
            </w:r>
            <w:r w:rsidR="005A07AF" w:rsidRPr="002B01A3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Single </w:t>
            </w:r>
            <w:r w:rsidR="00F977BE" w:rsidRPr="00F977BE">
              <w:rPr>
                <w:bCs/>
                <w:sz w:val="18"/>
                <w:szCs w:val="18"/>
              </w:rPr>
              <w:t>β</w:t>
            </w:r>
            <w:r w:rsidR="00644845" w:rsidRPr="002B01A3">
              <w:rPr>
                <w:rFonts w:eastAsia="Times New Roman" w:cs="Arial"/>
                <w:bCs/>
                <w:color w:val="000000"/>
                <w:sz w:val="20"/>
                <w:szCs w:val="20"/>
              </w:rPr>
              <w:t>-lactam ring</w:t>
            </w:r>
          </w:p>
          <w:p w14:paraId="4FE003B0" w14:textId="77777777" w:rsidR="005A07AF" w:rsidRPr="002B01A3" w:rsidRDefault="005A07AF" w:rsidP="005A07AF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14:paraId="28D66124" w14:textId="6DBEF73B" w:rsidR="005A07AF" w:rsidRPr="002B01A3" w:rsidRDefault="009418B9" w:rsidP="00644845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- 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>A methyl group can be placed at R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 for </w:t>
            </w:r>
            <w:r w:rsidR="00F977BE" w:rsidRPr="00F977BE">
              <w:rPr>
                <w:bCs/>
                <w:sz w:val="18"/>
                <w:szCs w:val="18"/>
              </w:rPr>
              <w:t>β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-lactamase stability </w:t>
            </w:r>
          </w:p>
          <w:p w14:paraId="5F8D4BD0" w14:textId="5BDE6477" w:rsidR="005A07AF" w:rsidRPr="002B01A3" w:rsidRDefault="009418B9" w:rsidP="005A07AF">
            <w:pPr>
              <w:rPr>
                <w:rFonts w:eastAsia="Times New Roman" w:cs="Times New Roman"/>
                <w:bCs/>
                <w:sz w:val="20"/>
                <w:szCs w:val="20"/>
              </w:rPr>
            </w:pPr>
            <w:r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- 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>R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  <w:vertAlign w:val="subscript"/>
              </w:rPr>
              <w:t>1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 can be changed to an extent to improve spectrum and activity</w:t>
            </w:r>
          </w:p>
          <w:p w14:paraId="4AA25197" w14:textId="07442224" w:rsidR="005A07AF" w:rsidRPr="002B01A3" w:rsidRDefault="009418B9" w:rsidP="005A07AF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- 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>SO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 group facilitates ring opening</w:t>
            </w:r>
          </w:p>
          <w:p w14:paraId="42AAC73A" w14:textId="1226493B" w:rsidR="00644845" w:rsidRPr="002B01A3" w:rsidRDefault="009418B9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- </w:t>
            </w:r>
            <w:proofErr w:type="spellStart"/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>Methoxy</w:t>
            </w:r>
            <w:proofErr w:type="spellEnd"/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 xml:space="preserve"> group improves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="005A07AF" w:rsidRPr="002B01A3">
              <w:rPr>
                <w:rFonts w:eastAsia="Times New Roman" w:cs="Times New Roman"/>
                <w:bCs/>
                <w:sz w:val="20"/>
                <w:szCs w:val="20"/>
              </w:rPr>
              <w:t>-lactamase stability but decreases ring stability</w:t>
            </w:r>
          </w:p>
        </w:tc>
        <w:tc>
          <w:tcPr>
            <w:tcW w:w="4410" w:type="dxa"/>
          </w:tcPr>
          <w:p w14:paraId="049EE5E8" w14:textId="515FB456" w:rsidR="00F977BE" w:rsidRDefault="00A02E4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14A9490">
                <v:shape id="_x0000_s1028" type="#_x0000_t75" style="position:absolute;margin-left:47.6pt;margin-top:4.05pt;width:103pt;height:82pt;z-index:251660288;visibility:visible;mso-position-horizontal-relative:text;mso-position-vertical-relative:text">
                  <v:imagedata r:id="rId12" o:title=""/>
                </v:shape>
                <o:OLEObject Type="Embed" ProgID="ChemDraw.Document.6.0" ShapeID="_x0000_s1028" DrawAspect="Content" ObjectID="_1545396063" r:id="rId13"/>
              </w:pict>
            </w:r>
          </w:p>
          <w:p w14:paraId="27FDEF99" w14:textId="037C4495" w:rsidR="00F977BE" w:rsidRDefault="00F977BE">
            <w:pPr>
              <w:rPr>
                <w:sz w:val="20"/>
                <w:szCs w:val="20"/>
              </w:rPr>
            </w:pPr>
          </w:p>
          <w:p w14:paraId="53DD8358" w14:textId="77777777" w:rsidR="00F977BE" w:rsidRDefault="00F977BE">
            <w:pPr>
              <w:rPr>
                <w:sz w:val="20"/>
                <w:szCs w:val="20"/>
              </w:rPr>
            </w:pPr>
          </w:p>
          <w:p w14:paraId="74049ABC" w14:textId="77777777" w:rsidR="00F977BE" w:rsidRDefault="00F977BE">
            <w:pPr>
              <w:rPr>
                <w:sz w:val="20"/>
                <w:szCs w:val="20"/>
              </w:rPr>
            </w:pPr>
          </w:p>
          <w:p w14:paraId="6FB12158" w14:textId="77777777" w:rsidR="00F977BE" w:rsidRDefault="00F977BE">
            <w:pPr>
              <w:rPr>
                <w:sz w:val="20"/>
                <w:szCs w:val="20"/>
              </w:rPr>
            </w:pPr>
          </w:p>
          <w:p w14:paraId="4148F228" w14:textId="491F915B" w:rsidR="00644845" w:rsidRDefault="00644845">
            <w:pPr>
              <w:rPr>
                <w:sz w:val="20"/>
                <w:szCs w:val="20"/>
              </w:rPr>
            </w:pPr>
          </w:p>
          <w:p w14:paraId="4BE36D82" w14:textId="77777777" w:rsidR="00F977BE" w:rsidRDefault="00F977BE">
            <w:pPr>
              <w:rPr>
                <w:sz w:val="20"/>
                <w:szCs w:val="20"/>
              </w:rPr>
            </w:pPr>
          </w:p>
          <w:p w14:paraId="32A66F7E" w14:textId="77777777" w:rsidR="00F977BE" w:rsidRDefault="00F977BE">
            <w:pPr>
              <w:rPr>
                <w:sz w:val="20"/>
                <w:szCs w:val="20"/>
              </w:rPr>
            </w:pPr>
          </w:p>
          <w:p w14:paraId="6CD07992" w14:textId="5CE8F129" w:rsidR="00644845" w:rsidRPr="002B01A3" w:rsidRDefault="005A07AF" w:rsidP="00644845">
            <w:pPr>
              <w:pStyle w:val="NormalWeb"/>
              <w:spacing w:before="0" w:beforeAutospacing="0" w:after="320" w:afterAutospacing="0"/>
              <w:textAlignment w:val="baseline"/>
              <w:rPr>
                <w:rFonts w:asciiTheme="minorHAnsi" w:hAnsiTheme="minorHAnsi" w:cs="Arial"/>
                <w:bCs/>
                <w:color w:val="000000"/>
              </w:rPr>
            </w:pPr>
            <w:r w:rsidRPr="002B01A3">
              <w:rPr>
                <w:rFonts w:asciiTheme="minorHAnsi" w:hAnsiTheme="minorHAnsi" w:cs="Arial"/>
                <w:bCs/>
                <w:color w:val="000000"/>
              </w:rPr>
              <w:t xml:space="preserve">- </w:t>
            </w:r>
            <w:r w:rsidR="00644845" w:rsidRPr="002B01A3">
              <w:rPr>
                <w:rFonts w:asciiTheme="minorHAnsi" w:hAnsiTheme="minorHAnsi" w:cs="Arial"/>
                <w:bCs/>
                <w:color w:val="000000"/>
              </w:rPr>
              <w:t xml:space="preserve">Unsaturated 5-membered ring connected to the </w:t>
            </w:r>
            <w:r w:rsidR="00F977BE" w:rsidRPr="00F977BE">
              <w:rPr>
                <w:rFonts w:asciiTheme="minorHAnsi" w:hAnsiTheme="minorHAnsi"/>
                <w:bCs/>
              </w:rPr>
              <w:t>β</w:t>
            </w:r>
            <w:r w:rsidR="00644845" w:rsidRPr="002B01A3">
              <w:rPr>
                <w:rFonts w:asciiTheme="minorHAnsi" w:hAnsiTheme="minorHAnsi" w:cs="Arial"/>
                <w:bCs/>
                <w:color w:val="000000"/>
              </w:rPr>
              <w:t>-lactam ring</w:t>
            </w:r>
          </w:p>
          <w:p w14:paraId="505C5BB6" w14:textId="7BCE5B36" w:rsidR="005A07AF" w:rsidRPr="002B01A3" w:rsidRDefault="005A07AF" w:rsidP="005A07AF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2B01A3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-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Pr="002B01A3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-lactam ring and COOH are essential for function </w:t>
            </w:r>
          </w:p>
          <w:p w14:paraId="023733C1" w14:textId="0F82BE0A" w:rsidR="005A07AF" w:rsidRPr="002B01A3" w:rsidRDefault="005A07AF" w:rsidP="005A07AF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Times New Roman"/>
                <w:sz w:val="20"/>
                <w:szCs w:val="20"/>
              </w:rPr>
              <w:t>- R</w:t>
            </w:r>
            <w:r w:rsidRPr="00F977BE">
              <w:rPr>
                <w:rFonts w:eastAsia="Times New Roman" w:cs="Times New Roman"/>
                <w:sz w:val="20"/>
                <w:szCs w:val="20"/>
                <w:vertAlign w:val="subscript"/>
              </w:rPr>
              <w:t>1</w:t>
            </w:r>
            <w:r w:rsidRPr="002B01A3">
              <w:rPr>
                <w:rFonts w:eastAsia="Times New Roman" w:cs="Times New Roman"/>
                <w:sz w:val="20"/>
                <w:szCs w:val="20"/>
              </w:rPr>
              <w:t xml:space="preserve"> and R</w:t>
            </w:r>
            <w:r w:rsidRPr="00F977BE"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 w:rsidRPr="002B01A3">
              <w:rPr>
                <w:rFonts w:eastAsia="Times New Roman" w:cs="Times New Roman"/>
                <w:sz w:val="20"/>
                <w:szCs w:val="20"/>
              </w:rPr>
              <w:t xml:space="preserve"> are variable </w:t>
            </w:r>
            <w:r w:rsidR="00C438FB">
              <w:rPr>
                <w:rFonts w:eastAsia="Times New Roman" w:cs="Times New Roman"/>
                <w:sz w:val="20"/>
                <w:szCs w:val="20"/>
              </w:rPr>
              <w:t>regions that</w:t>
            </w:r>
            <w:r w:rsidRPr="002B01A3">
              <w:rPr>
                <w:rFonts w:eastAsia="Times New Roman" w:cs="Times New Roman"/>
                <w:sz w:val="20"/>
                <w:szCs w:val="20"/>
              </w:rPr>
              <w:t xml:space="preserve"> can alter spectrum, susceptibility to lactamases and stability.</w:t>
            </w:r>
          </w:p>
          <w:p w14:paraId="2CA9CDAB" w14:textId="77777777" w:rsidR="00644845" w:rsidRPr="002B01A3" w:rsidRDefault="00644845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4F4413DF" w14:textId="182CB139" w:rsidR="002B01A3" w:rsidRPr="002B01A3" w:rsidRDefault="00F977BE" w:rsidP="00F977BE">
            <w:pPr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noProof/>
                <w:color w:val="800000"/>
                <w:sz w:val="20"/>
                <w:szCs w:val="20"/>
              </w:rPr>
              <w:pict w14:anchorId="0C1EBB58">
                <v:shape id="_x0000_s1030" type="#_x0000_t75" style="position:absolute;margin-left:36.75pt;margin-top:3.05pt;width:101.85pt;height:74.85pt;z-index:251662336;visibility:visible;mso-position-horizontal-relative:text;mso-position-vertical-relative:text">
                  <v:imagedata r:id="rId14" o:title=""/>
                </v:shape>
                <o:OLEObject Type="Embed" ProgID="ChemDraw.Document.6.0" ShapeID="_x0000_s1030" DrawAspect="Content" ObjectID="_1545396064" r:id="rId15"/>
              </w:pict>
            </w:r>
          </w:p>
          <w:p w14:paraId="2ECAAA3F" w14:textId="77777777" w:rsidR="00644845" w:rsidRPr="002B01A3" w:rsidRDefault="00644845">
            <w:pPr>
              <w:rPr>
                <w:sz w:val="20"/>
                <w:szCs w:val="20"/>
              </w:rPr>
            </w:pPr>
          </w:p>
          <w:p w14:paraId="2FF1F5F3" w14:textId="77777777" w:rsidR="001B5C06" w:rsidRDefault="001B5C06">
            <w:pPr>
              <w:rPr>
                <w:sz w:val="20"/>
                <w:szCs w:val="20"/>
              </w:rPr>
            </w:pPr>
          </w:p>
          <w:p w14:paraId="03FB251D" w14:textId="77777777" w:rsidR="00F977BE" w:rsidRDefault="00F977BE">
            <w:pPr>
              <w:rPr>
                <w:sz w:val="20"/>
                <w:szCs w:val="20"/>
              </w:rPr>
            </w:pPr>
          </w:p>
          <w:p w14:paraId="54CB8E8B" w14:textId="77777777" w:rsidR="00F977BE" w:rsidRDefault="00F977BE">
            <w:pPr>
              <w:rPr>
                <w:sz w:val="20"/>
                <w:szCs w:val="20"/>
              </w:rPr>
            </w:pPr>
          </w:p>
          <w:p w14:paraId="20284F80" w14:textId="77777777" w:rsidR="00F977BE" w:rsidRDefault="00F977BE">
            <w:pPr>
              <w:rPr>
                <w:sz w:val="20"/>
                <w:szCs w:val="20"/>
              </w:rPr>
            </w:pPr>
          </w:p>
          <w:p w14:paraId="457EB5A5" w14:textId="77777777" w:rsidR="00F977BE" w:rsidRDefault="00F977BE">
            <w:pPr>
              <w:rPr>
                <w:sz w:val="20"/>
                <w:szCs w:val="20"/>
              </w:rPr>
            </w:pPr>
          </w:p>
          <w:p w14:paraId="290B541C" w14:textId="77777777" w:rsidR="00F977BE" w:rsidRPr="002B01A3" w:rsidRDefault="00F977BE">
            <w:pPr>
              <w:rPr>
                <w:sz w:val="20"/>
                <w:szCs w:val="20"/>
              </w:rPr>
            </w:pPr>
          </w:p>
          <w:p w14:paraId="110C8ED0" w14:textId="7E6E5F0A" w:rsidR="001B5C06" w:rsidRPr="002B01A3" w:rsidRDefault="00F977BE" w:rsidP="000C341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977BE">
              <w:rPr>
                <w:bCs/>
                <w:sz w:val="20"/>
                <w:szCs w:val="20"/>
              </w:rPr>
              <w:t>β</w:t>
            </w:r>
            <w:r w:rsidR="000C3417" w:rsidRPr="002B01A3">
              <w:rPr>
                <w:sz w:val="20"/>
                <w:szCs w:val="20"/>
              </w:rPr>
              <w:t>-lactam ring (tetracyclic amide) is essential</w:t>
            </w:r>
          </w:p>
          <w:p w14:paraId="0943EB8C" w14:textId="4AFD734A" w:rsidR="000C3417" w:rsidRPr="002B01A3" w:rsidRDefault="000C3417" w:rsidP="000C341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Any modification to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Pr="002B01A3">
              <w:rPr>
                <w:sz w:val="20"/>
                <w:szCs w:val="20"/>
              </w:rPr>
              <w:t>-lactam ring results in inactivation</w:t>
            </w:r>
          </w:p>
        </w:tc>
      </w:tr>
      <w:tr w:rsidR="009418B9" w:rsidRPr="002B01A3" w14:paraId="2A59E946" w14:textId="77777777" w:rsidTr="002B01A3">
        <w:tc>
          <w:tcPr>
            <w:tcW w:w="1530" w:type="dxa"/>
          </w:tcPr>
          <w:p w14:paraId="6E6D2658" w14:textId="6FAA5F7F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Mechanism of Action (MOA)</w:t>
            </w:r>
          </w:p>
        </w:tc>
        <w:tc>
          <w:tcPr>
            <w:tcW w:w="5400" w:type="dxa"/>
          </w:tcPr>
          <w:p w14:paraId="0AD14143" w14:textId="77777777" w:rsidR="00B037AD" w:rsidRPr="002B01A3" w:rsidRDefault="00B037AD" w:rsidP="00B037AD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 xml:space="preserve">Interferes with bactericidal cell wall synthesis by binding to and inactivating penicillin-binding-proteins. This binding causes the formation of elongation or bacterial </w:t>
            </w:r>
            <w:proofErr w:type="spellStart"/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>filamentation</w:t>
            </w:r>
            <w:proofErr w:type="spellEnd"/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 xml:space="preserve"> resulting in cell lysis and cell death.</w:t>
            </w:r>
          </w:p>
          <w:p w14:paraId="6B97FF0D" w14:textId="18C17112" w:rsidR="00644845" w:rsidRPr="002B01A3" w:rsidRDefault="00B037AD" w:rsidP="00B037AD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 </w:t>
            </w:r>
          </w:p>
          <w:p w14:paraId="6C6502F7" w14:textId="412089DD" w:rsidR="00B037AD" w:rsidRPr="002B01A3" w:rsidRDefault="00B037AD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Bactericidal </w:t>
            </w:r>
          </w:p>
        </w:tc>
        <w:tc>
          <w:tcPr>
            <w:tcW w:w="4410" w:type="dxa"/>
          </w:tcPr>
          <w:p w14:paraId="7FDCFDC8" w14:textId="043811B3" w:rsidR="001A4C50" w:rsidRPr="002B01A3" w:rsidRDefault="001A4C50" w:rsidP="00F977BE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 xml:space="preserve">Cause rapid bacterial cell death by covalently binding to penicillin-binding proteins (PBPs) involved in the biosynthesis of </w:t>
            </w:r>
            <w:proofErr w:type="spellStart"/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>mucopeptides</w:t>
            </w:r>
            <w:proofErr w:type="spellEnd"/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 xml:space="preserve"> in bacterial cell walls.  Bactericidal effects result through inhibition of cellular growth and division and the loss of cell wall integrity, eventually causing cell wall lysis. The primary </w:t>
            </w:r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target is PBP</w:t>
            </w:r>
            <w:r w:rsidR="00F977BE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2B01A3">
              <w:rPr>
                <w:rFonts w:eastAsia="Times New Roman" w:cs="Arial"/>
                <w:color w:val="333333"/>
                <w:sz w:val="20"/>
                <w:szCs w:val="20"/>
                <w:shd w:val="clear" w:color="auto" w:fill="FFFFFF"/>
              </w:rPr>
              <w:t>2.</w:t>
            </w:r>
          </w:p>
          <w:p w14:paraId="7A2FA773" w14:textId="77777777" w:rsidR="00644845" w:rsidRPr="002B01A3" w:rsidRDefault="00644845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289A543" w14:textId="51529C7D" w:rsidR="00CE4432" w:rsidRPr="002B01A3" w:rsidRDefault="00CE4432" w:rsidP="00F977BE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cs="Times New Roman"/>
                <w:color w:val="000000"/>
                <w:sz w:val="20"/>
                <w:szCs w:val="20"/>
              </w:rPr>
            </w:pPr>
            <w:r w:rsidRPr="002B01A3">
              <w:rPr>
                <w:rFonts w:cs="Times New Roman"/>
                <w:color w:val="000000"/>
                <w:sz w:val="20"/>
                <w:szCs w:val="20"/>
              </w:rPr>
              <w:lastRenderedPageBreak/>
              <w:t xml:space="preserve">Irreversible, “suicide” inhibitor of many (but not all) bacterial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="00F977BE">
              <w:rPr>
                <w:rFonts w:cs="Times New Roman"/>
                <w:color w:val="000000"/>
                <w:sz w:val="20"/>
                <w:szCs w:val="20"/>
              </w:rPr>
              <w:t>-</w:t>
            </w:r>
            <w:r w:rsidRPr="002B01A3">
              <w:rPr>
                <w:rFonts w:cs="Times New Roman"/>
                <w:color w:val="000000"/>
                <w:sz w:val="20"/>
                <w:szCs w:val="20"/>
              </w:rPr>
              <w:t>lactamases</w:t>
            </w:r>
          </w:p>
          <w:p w14:paraId="6595D8D9" w14:textId="2BA44984" w:rsidR="00CE4432" w:rsidRPr="002B01A3" w:rsidRDefault="00CE4432" w:rsidP="00F977B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B01A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Covalently bind to serine residue of active site of </w:t>
            </w:r>
            <w:r w:rsidR="00F977BE" w:rsidRPr="00F977BE">
              <w:rPr>
                <w:bCs/>
                <w:sz w:val="20"/>
                <w:szCs w:val="20"/>
              </w:rPr>
              <w:t>β</w:t>
            </w:r>
            <w:r w:rsidR="00F977BE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2B01A3">
              <w:rPr>
                <w:rFonts w:eastAsia="Times New Roman" w:cs="Times New Roman"/>
                <w:color w:val="000000"/>
                <w:sz w:val="20"/>
                <w:szCs w:val="20"/>
              </w:rPr>
              <w:t>lactamases</w:t>
            </w:r>
          </w:p>
          <w:p w14:paraId="1137F25F" w14:textId="77777777" w:rsidR="00644845" w:rsidRPr="002B01A3" w:rsidRDefault="00644845">
            <w:pPr>
              <w:rPr>
                <w:sz w:val="20"/>
                <w:szCs w:val="20"/>
              </w:rPr>
            </w:pPr>
          </w:p>
        </w:tc>
      </w:tr>
      <w:tr w:rsidR="009418B9" w:rsidRPr="002B01A3" w14:paraId="2713E125" w14:textId="77777777" w:rsidTr="002B01A3">
        <w:tc>
          <w:tcPr>
            <w:tcW w:w="1530" w:type="dxa"/>
          </w:tcPr>
          <w:p w14:paraId="5656F633" w14:textId="0CA48E65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lastRenderedPageBreak/>
              <w:t>Mechanism of Resistance (MOR)</w:t>
            </w:r>
          </w:p>
        </w:tc>
        <w:tc>
          <w:tcPr>
            <w:tcW w:w="5400" w:type="dxa"/>
          </w:tcPr>
          <w:p w14:paraId="6AB2E955" w14:textId="77777777" w:rsidR="00B037AD" w:rsidRPr="002B01A3" w:rsidRDefault="00B037AD" w:rsidP="00B037AD">
            <w:pPr>
              <w:rPr>
                <w:rFonts w:eastAsia="Times New Roman" w:cs="Times New Roman"/>
                <w:sz w:val="20"/>
                <w:szCs w:val="20"/>
              </w:rPr>
            </w:pPr>
            <w:r w:rsidRPr="002B01A3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 xml:space="preserve">Resistance to </w:t>
            </w:r>
            <w:proofErr w:type="spellStart"/>
            <w:r w:rsidRPr="002B01A3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>aztreonam</w:t>
            </w:r>
            <w:proofErr w:type="spellEnd"/>
            <w:r w:rsidRPr="002B01A3">
              <w:rPr>
                <w:rFonts w:eastAsia="Times New Roman" w:cs="Arial"/>
                <w:color w:val="000000"/>
                <w:sz w:val="20"/>
                <w:szCs w:val="20"/>
                <w:shd w:val="clear" w:color="auto" w:fill="FFFFFF"/>
              </w:rPr>
              <w:t xml:space="preserve"> is primarily through hydrolysis by beta-lactamase, alteration of penicillin-binding proteins (PBPs), and decreased permeability.</w:t>
            </w:r>
          </w:p>
          <w:p w14:paraId="612FDF36" w14:textId="21F6C247" w:rsidR="00644845" w:rsidRPr="002B01A3" w:rsidRDefault="00644845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14:paraId="0464DCD7" w14:textId="315B132B" w:rsidR="00644845" w:rsidRPr="002B01A3" w:rsidRDefault="005B74AF" w:rsidP="005B74A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Modified </w:t>
            </w:r>
            <w:proofErr w:type="spellStart"/>
            <w:r w:rsidRPr="002B01A3">
              <w:rPr>
                <w:sz w:val="20"/>
                <w:szCs w:val="20"/>
              </w:rPr>
              <w:t>porins</w:t>
            </w:r>
            <w:proofErr w:type="spellEnd"/>
          </w:p>
          <w:p w14:paraId="1EA9AEFD" w14:textId="77777777" w:rsidR="005B74AF" w:rsidRPr="002B01A3" w:rsidRDefault="005B74AF" w:rsidP="005B74A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Efflux pumps</w:t>
            </w:r>
          </w:p>
          <w:p w14:paraId="04930EE9" w14:textId="71A93FC1" w:rsidR="005B74AF" w:rsidRPr="002B01A3" w:rsidRDefault="005B74AF" w:rsidP="005B74A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2B01A3">
              <w:rPr>
                <w:bCs/>
                <w:sz w:val="20"/>
                <w:szCs w:val="20"/>
              </w:rPr>
              <w:t>Synthesis of inactivating enzymes (very uncommon)</w:t>
            </w:r>
          </w:p>
        </w:tc>
        <w:tc>
          <w:tcPr>
            <w:tcW w:w="3690" w:type="dxa"/>
          </w:tcPr>
          <w:p w14:paraId="18AFB087" w14:textId="77777777" w:rsidR="00644845" w:rsidRPr="002B01A3" w:rsidRDefault="00644845">
            <w:pPr>
              <w:rPr>
                <w:sz w:val="20"/>
                <w:szCs w:val="20"/>
              </w:rPr>
            </w:pPr>
          </w:p>
        </w:tc>
      </w:tr>
      <w:tr w:rsidR="009418B9" w:rsidRPr="002B01A3" w14:paraId="7C0ABC7F" w14:textId="77777777" w:rsidTr="002B01A3">
        <w:tc>
          <w:tcPr>
            <w:tcW w:w="1530" w:type="dxa"/>
          </w:tcPr>
          <w:p w14:paraId="13DDE21B" w14:textId="5199F2A5" w:rsidR="00644845" w:rsidRPr="002B01A3" w:rsidRDefault="007F49A0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Spectrum</w:t>
            </w:r>
          </w:p>
        </w:tc>
        <w:tc>
          <w:tcPr>
            <w:tcW w:w="5400" w:type="dxa"/>
          </w:tcPr>
          <w:p w14:paraId="4237EEDD" w14:textId="62C61475" w:rsidR="00644845" w:rsidRPr="002B01A3" w:rsidRDefault="00CE4432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Gram negative </w:t>
            </w:r>
          </w:p>
        </w:tc>
        <w:tc>
          <w:tcPr>
            <w:tcW w:w="4410" w:type="dxa"/>
          </w:tcPr>
          <w:p w14:paraId="76D371F1" w14:textId="04FFCC66" w:rsidR="00644845" w:rsidRPr="002B01A3" w:rsidRDefault="005B74AF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Broadest spectrum (gram positive and negative) </w:t>
            </w:r>
          </w:p>
        </w:tc>
        <w:tc>
          <w:tcPr>
            <w:tcW w:w="3690" w:type="dxa"/>
          </w:tcPr>
          <w:p w14:paraId="4D6C7EE3" w14:textId="15E19E82" w:rsidR="00644845" w:rsidRPr="002B01A3" w:rsidRDefault="00644845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No antimicrobial activity</w:t>
            </w:r>
          </w:p>
          <w:p w14:paraId="7083DE3F" w14:textId="77777777" w:rsidR="00644845" w:rsidRPr="002B01A3" w:rsidRDefault="00644845">
            <w:pPr>
              <w:rPr>
                <w:sz w:val="20"/>
                <w:szCs w:val="20"/>
              </w:rPr>
            </w:pPr>
          </w:p>
          <w:p w14:paraId="28C72CB4" w14:textId="1CC115C5" w:rsidR="00644845" w:rsidRPr="002B01A3" w:rsidRDefault="00644845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Used in combination with </w:t>
            </w:r>
            <w:proofErr w:type="spellStart"/>
            <w:r w:rsidR="000C3417" w:rsidRPr="002B01A3">
              <w:rPr>
                <w:sz w:val="20"/>
                <w:szCs w:val="20"/>
              </w:rPr>
              <w:t>penicillins</w:t>
            </w:r>
            <w:proofErr w:type="spellEnd"/>
            <w:r w:rsidR="000C3417" w:rsidRPr="002B01A3">
              <w:rPr>
                <w:sz w:val="20"/>
                <w:szCs w:val="20"/>
              </w:rPr>
              <w:t xml:space="preserve"> to increase spectrum of activity </w:t>
            </w:r>
          </w:p>
        </w:tc>
      </w:tr>
      <w:tr w:rsidR="009418B9" w:rsidRPr="002B01A3" w14:paraId="311934F7" w14:textId="77777777" w:rsidTr="002B01A3">
        <w:tc>
          <w:tcPr>
            <w:tcW w:w="1530" w:type="dxa"/>
          </w:tcPr>
          <w:p w14:paraId="5AD50EB8" w14:textId="5459BB48" w:rsidR="00644845" w:rsidRPr="002B01A3" w:rsidRDefault="00644845">
            <w:pPr>
              <w:rPr>
                <w:b/>
                <w:sz w:val="20"/>
                <w:szCs w:val="20"/>
              </w:rPr>
            </w:pPr>
            <w:r w:rsidRPr="002B01A3">
              <w:rPr>
                <w:b/>
                <w:sz w:val="20"/>
                <w:szCs w:val="20"/>
              </w:rPr>
              <w:t>Toxicity</w:t>
            </w:r>
          </w:p>
        </w:tc>
        <w:tc>
          <w:tcPr>
            <w:tcW w:w="5400" w:type="dxa"/>
          </w:tcPr>
          <w:p w14:paraId="3AA2A1B4" w14:textId="15DA7C41" w:rsidR="00644845" w:rsidRPr="002B01A3" w:rsidRDefault="004549B4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 xml:space="preserve">Rash, diarrhea </w:t>
            </w:r>
          </w:p>
        </w:tc>
        <w:tc>
          <w:tcPr>
            <w:tcW w:w="4410" w:type="dxa"/>
          </w:tcPr>
          <w:p w14:paraId="0C224FB5" w14:textId="10C83BCB" w:rsidR="00644845" w:rsidRPr="002B01A3" w:rsidRDefault="001A4C50">
            <w:pPr>
              <w:rPr>
                <w:sz w:val="20"/>
                <w:szCs w:val="20"/>
              </w:rPr>
            </w:pPr>
            <w:r w:rsidRPr="002B01A3">
              <w:rPr>
                <w:sz w:val="20"/>
                <w:szCs w:val="20"/>
              </w:rPr>
              <w:t>GI, Renal insufficiency</w:t>
            </w:r>
            <w:r w:rsidR="002B01A3" w:rsidRPr="002B01A3">
              <w:rPr>
                <w:sz w:val="20"/>
                <w:szCs w:val="20"/>
              </w:rPr>
              <w:t>, Hepatic</w:t>
            </w:r>
            <w:r w:rsidRPr="002B01A3">
              <w:rPr>
                <w:sz w:val="20"/>
                <w:szCs w:val="20"/>
              </w:rPr>
              <w:t xml:space="preserve"> insufficiency, Anemia</w:t>
            </w:r>
          </w:p>
        </w:tc>
        <w:tc>
          <w:tcPr>
            <w:tcW w:w="3690" w:type="dxa"/>
          </w:tcPr>
          <w:p w14:paraId="1B589A03" w14:textId="77777777" w:rsidR="00644845" w:rsidRPr="002B01A3" w:rsidRDefault="00644845">
            <w:pPr>
              <w:rPr>
                <w:sz w:val="20"/>
                <w:szCs w:val="20"/>
              </w:rPr>
            </w:pPr>
          </w:p>
        </w:tc>
      </w:tr>
    </w:tbl>
    <w:p w14:paraId="44ABA0BE" w14:textId="77777777" w:rsidR="00644845" w:rsidRDefault="00644845"/>
    <w:sectPr w:rsidR="00644845" w:rsidSect="002B01A3">
      <w:pgSz w:w="15840" w:h="12240" w:orient="landscape"/>
      <w:pgMar w:top="189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506"/>
    <w:multiLevelType w:val="multilevel"/>
    <w:tmpl w:val="889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A75A4"/>
    <w:multiLevelType w:val="hybridMultilevel"/>
    <w:tmpl w:val="F234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A746F"/>
    <w:multiLevelType w:val="hybridMultilevel"/>
    <w:tmpl w:val="5364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C3A3C"/>
    <w:multiLevelType w:val="multilevel"/>
    <w:tmpl w:val="B2C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862E4"/>
    <w:multiLevelType w:val="hybridMultilevel"/>
    <w:tmpl w:val="430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E2970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96F80"/>
    <w:multiLevelType w:val="hybridMultilevel"/>
    <w:tmpl w:val="7CF8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315EA"/>
    <w:multiLevelType w:val="hybridMultilevel"/>
    <w:tmpl w:val="CACC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13246"/>
    <w:multiLevelType w:val="multilevel"/>
    <w:tmpl w:val="B77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01375"/>
    <w:multiLevelType w:val="multilevel"/>
    <w:tmpl w:val="2B2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B5B0C"/>
    <w:multiLevelType w:val="multilevel"/>
    <w:tmpl w:val="A74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43AE3"/>
    <w:multiLevelType w:val="hybridMultilevel"/>
    <w:tmpl w:val="859A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2F"/>
    <w:rsid w:val="000C3417"/>
    <w:rsid w:val="001A4C50"/>
    <w:rsid w:val="001B5C06"/>
    <w:rsid w:val="002B01A3"/>
    <w:rsid w:val="0032222F"/>
    <w:rsid w:val="004549B4"/>
    <w:rsid w:val="005A07AF"/>
    <w:rsid w:val="005B74AF"/>
    <w:rsid w:val="00644845"/>
    <w:rsid w:val="007F49A0"/>
    <w:rsid w:val="009418B9"/>
    <w:rsid w:val="00A02E41"/>
    <w:rsid w:val="00B037AD"/>
    <w:rsid w:val="00BC7F0C"/>
    <w:rsid w:val="00BE05F7"/>
    <w:rsid w:val="00C438FB"/>
    <w:rsid w:val="00CE4432"/>
    <w:rsid w:val="00E30205"/>
    <w:rsid w:val="00F805CB"/>
    <w:rsid w:val="00F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9D8C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48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4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48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4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868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13</cp:revision>
  <dcterms:created xsi:type="dcterms:W3CDTF">2017-01-01T16:16:00Z</dcterms:created>
  <dcterms:modified xsi:type="dcterms:W3CDTF">2017-01-08T20:54:00Z</dcterms:modified>
</cp:coreProperties>
</file>