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00AFA" w14:textId="77777777" w:rsidR="005C0DCC" w:rsidRPr="00BE7BDF" w:rsidRDefault="00BE7BDF">
      <w:pPr>
        <w:rPr>
          <w:b/>
        </w:rPr>
      </w:pPr>
      <w:r w:rsidRPr="00BE7BDF">
        <w:rPr>
          <w:b/>
        </w:rPr>
        <w:t>Cell Wall Biosynthesis Inhibitors</w:t>
      </w:r>
    </w:p>
    <w:p w14:paraId="1EA1C734" w14:textId="77777777" w:rsidR="00BE7BDF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Gram positive bacteria have </w:t>
      </w:r>
      <w:r w:rsidRPr="00BE7BDF">
        <w:rPr>
          <w:rFonts w:cs="Arial"/>
          <w:color w:val="FF0000"/>
        </w:rPr>
        <w:t>peptidoglycan</w:t>
      </w:r>
      <w:r w:rsidRPr="00BE7BDF">
        <w:rPr>
          <w:rFonts w:cs="Arial"/>
          <w:color w:val="000000"/>
        </w:rPr>
        <w:t xml:space="preserve"> in their cell </w:t>
      </w:r>
      <w:proofErr w:type="gramStart"/>
      <w:r w:rsidRPr="00BE7BDF">
        <w:rPr>
          <w:rFonts w:cs="Arial"/>
          <w:color w:val="000000"/>
        </w:rPr>
        <w:t>wall that determine</w:t>
      </w:r>
      <w:proofErr w:type="gramEnd"/>
      <w:r w:rsidRPr="00BE7BDF">
        <w:rPr>
          <w:rFonts w:cs="Arial"/>
          <w:color w:val="000000"/>
        </w:rPr>
        <w:t xml:space="preserve"> its rigidity and </w:t>
      </w:r>
      <w:r w:rsidRPr="00BE7BDF">
        <w:rPr>
          <w:rFonts w:cs="Arial"/>
          <w:color w:val="FF0000"/>
        </w:rPr>
        <w:t>teichoic acid</w:t>
      </w:r>
      <w:r w:rsidRPr="00BE7BDF">
        <w:rPr>
          <w:rFonts w:cs="Arial"/>
          <w:color w:val="000000"/>
        </w:rPr>
        <w:t xml:space="preserve"> to regulate cation movement.</w:t>
      </w:r>
    </w:p>
    <w:p w14:paraId="3F63DA13" w14:textId="77777777" w:rsid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First drop down: lipids, peptidoglycan, cellulose, teichoic acid</w:t>
      </w:r>
    </w:p>
    <w:p w14:paraId="74B1EFFA" w14:textId="77777777" w:rsidR="00B93F30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Second drop down: teichoic acid, </w:t>
      </w:r>
      <w:proofErr w:type="spellStart"/>
      <w:r>
        <w:rPr>
          <w:rFonts w:cs="Arial"/>
          <w:color w:val="000000"/>
        </w:rPr>
        <w:t>porins</w:t>
      </w:r>
      <w:proofErr w:type="spellEnd"/>
      <w:r>
        <w:rPr>
          <w:rFonts w:cs="Arial"/>
          <w:color w:val="000000"/>
        </w:rPr>
        <w:t>, cellulose, peptidoglycan</w:t>
      </w:r>
    </w:p>
    <w:p w14:paraId="69504B4B" w14:textId="77777777" w:rsidR="00BE7BDF" w:rsidRPr="00BE7BDF" w:rsidRDefault="00BE7BDF" w:rsidP="00BE7BDF">
      <w:pPr>
        <w:textAlignment w:val="baseline"/>
        <w:rPr>
          <w:rFonts w:cs="Arial"/>
          <w:color w:val="000000"/>
        </w:rPr>
      </w:pPr>
    </w:p>
    <w:p w14:paraId="486577A7" w14:textId="7783AB28" w:rsidR="00B93F30" w:rsidRDefault="00BE7BDF" w:rsidP="004A5CAD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In </w:t>
      </w:r>
      <w:r w:rsidR="004A5CAD">
        <w:rPr>
          <w:rFonts w:cs="Arial"/>
          <w:color w:val="000000"/>
        </w:rPr>
        <w:t>G</w:t>
      </w:r>
      <w:r w:rsidRPr="00BE7BDF">
        <w:rPr>
          <w:rFonts w:cs="Arial"/>
          <w:color w:val="000000"/>
        </w:rPr>
        <w:t xml:space="preserve">ram negative bacteria the area between the cytoplasmic membrane and thin layer of peptidoglycan is called the </w:t>
      </w:r>
      <w:r w:rsidRPr="00BE7BDF">
        <w:rPr>
          <w:rFonts w:cs="Arial"/>
          <w:color w:val="FF0000"/>
        </w:rPr>
        <w:t>periplasmic space</w:t>
      </w:r>
      <w:r w:rsidRPr="00BE7BDF">
        <w:rPr>
          <w:rFonts w:cs="Arial"/>
          <w:color w:val="000000"/>
        </w:rPr>
        <w:t xml:space="preserve"> </w:t>
      </w:r>
    </w:p>
    <w:p w14:paraId="77AC21B9" w14:textId="77777777" w:rsidR="00BE7BDF" w:rsidRPr="00BE7BDF" w:rsidRDefault="00B93F30" w:rsidP="00B93F30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First drop down: pericardium space, endoplasmic space, periplasmic space, </w:t>
      </w:r>
      <w:proofErr w:type="spellStart"/>
      <w:r>
        <w:rPr>
          <w:rFonts w:cs="Arial"/>
          <w:color w:val="000000"/>
        </w:rPr>
        <w:t>pleuraplasmic</w:t>
      </w:r>
      <w:proofErr w:type="spellEnd"/>
      <w:r>
        <w:rPr>
          <w:rFonts w:cs="Arial"/>
          <w:color w:val="000000"/>
        </w:rPr>
        <w:t xml:space="preserve"> space </w:t>
      </w:r>
      <w:r w:rsidR="00BE7BDF">
        <w:rPr>
          <w:rFonts w:cs="Arial"/>
          <w:color w:val="000000"/>
        </w:rPr>
        <w:br/>
      </w:r>
    </w:p>
    <w:p w14:paraId="2196B12B" w14:textId="64047FCD" w:rsidR="00B93F30" w:rsidRPr="00B93F30" w:rsidRDefault="00BE7BDF" w:rsidP="004A5CAD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BE7BDF">
        <w:rPr>
          <w:rFonts w:eastAsia="Times New Roman" w:cs="Arial"/>
          <w:color w:val="000000"/>
        </w:rPr>
        <w:t xml:space="preserve">Source of acetate in N-acetyl glucosamine (NAG) is </w:t>
      </w:r>
      <w:r w:rsidRPr="00BE7BDF">
        <w:rPr>
          <w:rFonts w:eastAsia="Times New Roman" w:cs="Arial"/>
          <w:color w:val="FF0000"/>
        </w:rPr>
        <w:t xml:space="preserve">acetyl </w:t>
      </w:r>
      <w:r w:rsidR="004A5CAD">
        <w:rPr>
          <w:rFonts w:eastAsia="Times New Roman" w:cs="Arial"/>
          <w:color w:val="FF0000"/>
        </w:rPr>
        <w:t>C</w:t>
      </w:r>
      <w:r w:rsidRPr="00BE7BDF">
        <w:rPr>
          <w:rFonts w:eastAsia="Times New Roman" w:cs="Arial"/>
          <w:color w:val="FF0000"/>
        </w:rPr>
        <w:t>oA</w:t>
      </w:r>
    </w:p>
    <w:p w14:paraId="2D1774F2" w14:textId="0CC6A585" w:rsidR="00BE7BDF" w:rsidRPr="00BE7BDF" w:rsidRDefault="00B93F30" w:rsidP="004A5CAD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</w:rPr>
        <w:t xml:space="preserve">First drop down: </w:t>
      </w:r>
      <w:proofErr w:type="spellStart"/>
      <w:r>
        <w:rPr>
          <w:rFonts w:eastAsia="Times New Roman" w:cs="Arial"/>
        </w:rPr>
        <w:t>MurA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pyrophosphatase</w:t>
      </w:r>
      <w:proofErr w:type="spellEnd"/>
      <w:r>
        <w:rPr>
          <w:rFonts w:eastAsia="Times New Roman" w:cs="Arial"/>
        </w:rPr>
        <w:t xml:space="preserve">, phosphoenolpyruvate, acetyl </w:t>
      </w:r>
      <w:r w:rsidR="004A5CAD">
        <w:rPr>
          <w:rFonts w:eastAsia="Times New Roman" w:cs="Arial"/>
        </w:rPr>
        <w:t>C</w:t>
      </w:r>
      <w:r>
        <w:rPr>
          <w:rFonts w:eastAsia="Times New Roman" w:cs="Arial"/>
        </w:rPr>
        <w:t xml:space="preserve">oA </w:t>
      </w:r>
      <w:r w:rsidR="00BE7BDF" w:rsidRPr="00BE7BDF">
        <w:rPr>
          <w:rFonts w:eastAsia="Times New Roman" w:cs="Arial"/>
          <w:color w:val="FF0000"/>
        </w:rPr>
        <w:br/>
      </w:r>
    </w:p>
    <w:p w14:paraId="77EE35D6" w14:textId="3BC8A60D" w:rsid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FF0000"/>
        </w:rPr>
        <w:t>Fosfomycin</w:t>
      </w:r>
      <w:proofErr w:type="spellEnd"/>
      <w:r w:rsidRPr="00BE7BDF">
        <w:rPr>
          <w:rFonts w:cs="Arial"/>
          <w:color w:val="000000"/>
        </w:rPr>
        <w:t xml:space="preserve"> is a</w:t>
      </w:r>
      <w:r w:rsidR="004A5CAD">
        <w:rPr>
          <w:rFonts w:cs="Arial"/>
          <w:color w:val="000000"/>
        </w:rPr>
        <w:t>n</w:t>
      </w:r>
      <w:r w:rsidRPr="00BE7BDF">
        <w:rPr>
          <w:rFonts w:cs="Arial"/>
          <w:color w:val="000000"/>
        </w:rPr>
        <w:t xml:space="preserve"> irreversible inhibitor of </w:t>
      </w:r>
      <w:proofErr w:type="spellStart"/>
      <w:r w:rsidRPr="00BE7BDF">
        <w:rPr>
          <w:rFonts w:cs="Arial"/>
          <w:color w:val="000000"/>
        </w:rPr>
        <w:t>MurA</w:t>
      </w:r>
      <w:proofErr w:type="spellEnd"/>
      <w:r w:rsidRPr="00BE7BDF">
        <w:rPr>
          <w:rFonts w:cs="Arial"/>
          <w:color w:val="000000"/>
        </w:rPr>
        <w:t xml:space="preserve"> and targets the enzyme UDP-NAG Transferase </w:t>
      </w:r>
    </w:p>
    <w:p w14:paraId="08944F5A" w14:textId="0BD4FB2A" w:rsidR="00BE7BDF" w:rsidRPr="00B93F30" w:rsidRDefault="00B93F30" w:rsidP="004A5CAD">
      <w:pPr>
        <w:pStyle w:val="ListParagraph"/>
        <w:numPr>
          <w:ilvl w:val="1"/>
          <w:numId w:val="9"/>
        </w:numPr>
        <w:textAlignment w:val="baseline"/>
        <w:rPr>
          <w:rFonts w:cs="Arial"/>
        </w:rPr>
      </w:pPr>
      <w:proofErr w:type="spellStart"/>
      <w:r w:rsidRPr="00B93F30">
        <w:rPr>
          <w:rFonts w:cs="Arial"/>
        </w:rPr>
        <w:t>Cycloserine</w:t>
      </w:r>
      <w:proofErr w:type="spellEnd"/>
      <w:r w:rsidRPr="00B93F30">
        <w:rPr>
          <w:rFonts w:cs="Arial"/>
        </w:rPr>
        <w:t xml:space="preserve">, </w:t>
      </w:r>
      <w:proofErr w:type="spellStart"/>
      <w:r w:rsidRPr="00B93F30">
        <w:rPr>
          <w:rFonts w:cs="Arial"/>
        </w:rPr>
        <w:t>Bactoprene</w:t>
      </w:r>
      <w:proofErr w:type="spellEnd"/>
      <w:r w:rsidRPr="00B93F30">
        <w:rPr>
          <w:rFonts w:cs="Arial"/>
        </w:rPr>
        <w:t xml:space="preserve">, </w:t>
      </w:r>
      <w:proofErr w:type="spellStart"/>
      <w:r w:rsidRPr="00B93F30">
        <w:rPr>
          <w:rFonts w:cs="Arial"/>
        </w:rPr>
        <w:t>Fo</w:t>
      </w:r>
      <w:r w:rsidR="004A5CAD">
        <w:rPr>
          <w:rFonts w:cs="Arial"/>
        </w:rPr>
        <w:t>s</w:t>
      </w:r>
      <w:r w:rsidRPr="00B93F30">
        <w:rPr>
          <w:rFonts w:cs="Arial"/>
        </w:rPr>
        <w:t>fomycin</w:t>
      </w:r>
      <w:proofErr w:type="spellEnd"/>
      <w:r w:rsidRPr="00B93F30">
        <w:rPr>
          <w:rFonts w:cs="Arial"/>
        </w:rPr>
        <w:t xml:space="preserve">, Nitrofurantoin </w:t>
      </w:r>
      <w:r w:rsidR="00BE7BDF" w:rsidRPr="00B93F30">
        <w:rPr>
          <w:rFonts w:cs="Arial"/>
        </w:rPr>
        <w:br/>
      </w:r>
    </w:p>
    <w:p w14:paraId="3CB4E5DE" w14:textId="77777777" w:rsidR="00B93F30" w:rsidRP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Fosfomycin</w:t>
      </w:r>
      <w:proofErr w:type="spellEnd"/>
      <w:r w:rsidRPr="00BE7BDF">
        <w:rPr>
          <w:rFonts w:cs="Arial"/>
          <w:color w:val="000000"/>
        </w:rPr>
        <w:t xml:space="preserve"> is indicated for </w:t>
      </w:r>
      <w:r w:rsidRPr="00BE7BDF">
        <w:rPr>
          <w:rFonts w:cs="Arial"/>
          <w:color w:val="FF0000"/>
        </w:rPr>
        <w:t xml:space="preserve">UTI </w:t>
      </w:r>
    </w:p>
    <w:p w14:paraId="02E35C01" w14:textId="77777777" w:rsidR="00BE7BDF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</w:rPr>
        <w:t xml:space="preserve">Meningitis, UTI, pneumonia, yeast infection </w:t>
      </w:r>
      <w:r w:rsidR="00BE7BDF">
        <w:rPr>
          <w:rFonts w:cs="Arial"/>
          <w:color w:val="000000"/>
        </w:rPr>
        <w:br/>
      </w:r>
    </w:p>
    <w:p w14:paraId="674D4A7C" w14:textId="77777777" w:rsidR="00BE7BDF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FF0000"/>
        </w:rPr>
        <w:t>Cycloserine</w:t>
      </w:r>
      <w:proofErr w:type="spellEnd"/>
      <w:r w:rsidRPr="00BE7BDF">
        <w:rPr>
          <w:rFonts w:cs="Arial"/>
          <w:color w:val="000000"/>
        </w:rPr>
        <w:t xml:space="preserve"> is a reversible competitive inhibitor of Alanine racemase and D-Ala </w:t>
      </w:r>
      <w:proofErr w:type="spellStart"/>
      <w:r w:rsidRPr="00BE7BDF">
        <w:rPr>
          <w:rFonts w:cs="Arial"/>
          <w:color w:val="000000"/>
        </w:rPr>
        <w:t>D-Ala</w:t>
      </w:r>
      <w:proofErr w:type="spellEnd"/>
      <w:r w:rsidRPr="00BE7BDF">
        <w:rPr>
          <w:rFonts w:cs="Arial"/>
          <w:color w:val="000000"/>
        </w:rPr>
        <w:t xml:space="preserve"> ligase </w:t>
      </w:r>
    </w:p>
    <w:p w14:paraId="1B2F52C4" w14:textId="77777777" w:rsidR="00B93F30" w:rsidRP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</w:rPr>
      </w:pPr>
      <w:proofErr w:type="spellStart"/>
      <w:r w:rsidRPr="00B93F30">
        <w:rPr>
          <w:rFonts w:cs="Arial"/>
        </w:rPr>
        <w:t>Fosfomycin</w:t>
      </w:r>
      <w:proofErr w:type="spellEnd"/>
      <w:r w:rsidRPr="00B93F30">
        <w:rPr>
          <w:rFonts w:cs="Arial"/>
        </w:rPr>
        <w:t xml:space="preserve">, Bacitracin, Vancomycin, </w:t>
      </w:r>
      <w:proofErr w:type="spellStart"/>
      <w:r w:rsidRPr="00B93F30">
        <w:rPr>
          <w:rFonts w:cs="Arial"/>
        </w:rPr>
        <w:t>Cycloserine</w:t>
      </w:r>
      <w:proofErr w:type="spellEnd"/>
    </w:p>
    <w:p w14:paraId="0186D9E9" w14:textId="77777777" w:rsidR="00BE7BDF" w:rsidRPr="00BE7BDF" w:rsidRDefault="00BE7BDF" w:rsidP="00BE7BDF">
      <w:pPr>
        <w:textAlignment w:val="baseline"/>
        <w:rPr>
          <w:rFonts w:cs="Arial"/>
          <w:color w:val="000000"/>
        </w:rPr>
      </w:pPr>
    </w:p>
    <w:p w14:paraId="2D6275AB" w14:textId="77777777" w:rsid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A serious side effect of </w:t>
      </w:r>
      <w:proofErr w:type="spellStart"/>
      <w:r w:rsidRPr="00BE7BDF">
        <w:rPr>
          <w:rFonts w:cs="Arial"/>
          <w:color w:val="000000"/>
        </w:rPr>
        <w:t>cycloserine</w:t>
      </w:r>
      <w:proofErr w:type="spellEnd"/>
      <w:r w:rsidRPr="00BE7BDF">
        <w:rPr>
          <w:rFonts w:cs="Arial"/>
          <w:color w:val="000000"/>
        </w:rPr>
        <w:t xml:space="preserve"> is </w:t>
      </w:r>
      <w:r w:rsidRPr="00BE7BDF">
        <w:rPr>
          <w:rFonts w:cs="Arial"/>
          <w:color w:val="FF0000"/>
        </w:rPr>
        <w:t>neurotoxicity</w:t>
      </w:r>
      <w:r w:rsidRPr="00BE7BDF">
        <w:rPr>
          <w:rFonts w:cs="Arial"/>
          <w:color w:val="000000"/>
        </w:rPr>
        <w:t xml:space="preserve"> caused by NMDA binding </w:t>
      </w:r>
    </w:p>
    <w:p w14:paraId="3548F98A" w14:textId="77777777" w:rsidR="00BE7BDF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Muscle aches, ototoxicity, nephrotoxicity, neurotoxicity </w:t>
      </w:r>
      <w:r w:rsidR="00BE7BDF">
        <w:rPr>
          <w:rFonts w:cs="Arial"/>
          <w:color w:val="000000"/>
        </w:rPr>
        <w:br/>
      </w:r>
    </w:p>
    <w:p w14:paraId="4B99EEFF" w14:textId="77777777" w:rsidR="00BE7BDF" w:rsidRPr="00B93F30" w:rsidRDefault="00BE7BDF" w:rsidP="00BE7BDF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r w:rsidRPr="00BE7BDF">
        <w:rPr>
          <w:rFonts w:cs="Arial"/>
          <w:color w:val="FF0000"/>
        </w:rPr>
        <w:t>Bacitracin</w:t>
      </w:r>
      <w:r w:rsidRPr="00BE7BDF">
        <w:rPr>
          <w:rFonts w:cs="Arial"/>
          <w:color w:val="000000"/>
        </w:rPr>
        <w:t xml:space="preserve"> binds to </w:t>
      </w:r>
      <w:proofErr w:type="spellStart"/>
      <w:r w:rsidRPr="00BE7BDF">
        <w:rPr>
          <w:rFonts w:cs="Arial"/>
          <w:color w:val="000000"/>
        </w:rPr>
        <w:t>pyrophosphatase</w:t>
      </w:r>
      <w:proofErr w:type="spellEnd"/>
      <w:r w:rsidRPr="00BE7BDF">
        <w:rPr>
          <w:rFonts w:cs="Arial"/>
          <w:color w:val="000000"/>
        </w:rPr>
        <w:t xml:space="preserve"> and prevents regeneration of </w:t>
      </w:r>
      <w:proofErr w:type="spellStart"/>
      <w:r w:rsidRPr="00BE7BDF">
        <w:rPr>
          <w:rFonts w:cs="Arial"/>
          <w:color w:val="FF0000"/>
        </w:rPr>
        <w:t>Bactoprene</w:t>
      </w:r>
      <w:proofErr w:type="spellEnd"/>
    </w:p>
    <w:p w14:paraId="6B72963F" w14:textId="77777777" w:rsidR="00B93F30" w:rsidRPr="00B93F30" w:rsidRDefault="00B93F30" w:rsidP="00B93F30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</w:rPr>
        <w:t xml:space="preserve">First drop down: bacitracin, </w:t>
      </w:r>
      <w:proofErr w:type="spellStart"/>
      <w:r>
        <w:rPr>
          <w:rFonts w:cs="Arial"/>
        </w:rPr>
        <w:t>bactoprene</w:t>
      </w:r>
      <w:proofErr w:type="spellEnd"/>
      <w:r>
        <w:rPr>
          <w:rFonts w:cs="Arial"/>
        </w:rPr>
        <w:t xml:space="preserve">, vancomycin, </w:t>
      </w:r>
      <w:proofErr w:type="spellStart"/>
      <w:r>
        <w:rPr>
          <w:rFonts w:cs="Arial"/>
        </w:rPr>
        <w:t>cycloserine</w:t>
      </w:r>
      <w:proofErr w:type="spellEnd"/>
    </w:p>
    <w:p w14:paraId="25FADCBC" w14:textId="77777777" w:rsidR="00B93F30" w:rsidRPr="00BE7BDF" w:rsidRDefault="00B93F30" w:rsidP="00B93F30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</w:rPr>
        <w:t xml:space="preserve">Second drop down: </w:t>
      </w:r>
      <w:proofErr w:type="spellStart"/>
      <w:r>
        <w:rPr>
          <w:rFonts w:cs="Arial"/>
        </w:rPr>
        <w:t>bactoprene</w:t>
      </w:r>
      <w:proofErr w:type="spellEnd"/>
      <w:r>
        <w:rPr>
          <w:rFonts w:cs="Arial"/>
        </w:rPr>
        <w:t xml:space="preserve">, acetyl </w:t>
      </w:r>
      <w:proofErr w:type="spellStart"/>
      <w:proofErr w:type="gramStart"/>
      <w:r>
        <w:rPr>
          <w:rFonts w:cs="Arial"/>
        </w:rPr>
        <w:t>coA</w:t>
      </w:r>
      <w:proofErr w:type="spellEnd"/>
      <w:proofErr w:type="gramEnd"/>
      <w:r>
        <w:rPr>
          <w:rFonts w:cs="Arial"/>
        </w:rPr>
        <w:t>. Bacitracin, peptidoglycan</w:t>
      </w:r>
    </w:p>
    <w:p w14:paraId="23F2D6DD" w14:textId="77777777" w:rsidR="00B93F30" w:rsidRDefault="00BE7BDF" w:rsidP="00BE7BD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Vancomycin binds to peptidoglycan to prevent crosslinking. Resistance to Vancomycin occurs through a change in structure of peptidoglycan from an </w:t>
      </w:r>
      <w:r w:rsidRPr="00BE7BDF">
        <w:rPr>
          <w:rFonts w:asciiTheme="minorHAnsi" w:hAnsiTheme="minorHAnsi" w:cs="Arial"/>
          <w:color w:val="FF0000"/>
          <w:sz w:val="24"/>
          <w:szCs w:val="24"/>
        </w:rPr>
        <w:t>amide</w:t>
      </w: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 to an </w:t>
      </w:r>
      <w:r w:rsidRPr="00BE7BDF">
        <w:rPr>
          <w:rFonts w:asciiTheme="minorHAnsi" w:hAnsiTheme="minorHAnsi" w:cs="Arial"/>
          <w:color w:val="FF0000"/>
          <w:sz w:val="24"/>
          <w:szCs w:val="24"/>
        </w:rPr>
        <w:t>ester</w:t>
      </w: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. </w:t>
      </w:r>
    </w:p>
    <w:p w14:paraId="3629A976" w14:textId="77777777" w:rsidR="00B93F30" w:rsidRDefault="00B93F30" w:rsidP="00B93F30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>First drop down: ester, amide, amine, imine, ether</w:t>
      </w:r>
    </w:p>
    <w:p w14:paraId="7756F126" w14:textId="77777777" w:rsidR="00BE7BDF" w:rsidRPr="00BE7BDF" w:rsidRDefault="00B93F30" w:rsidP="00B93F30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>Second drop down: amine, imine, amide, ether, ester</w:t>
      </w:r>
      <w:r w:rsidR="00BE7BDF">
        <w:rPr>
          <w:rFonts w:asciiTheme="minorHAnsi" w:hAnsiTheme="minorHAnsi" w:cs="Arial"/>
          <w:color w:val="000000"/>
          <w:sz w:val="24"/>
          <w:szCs w:val="24"/>
        </w:rPr>
        <w:br/>
      </w:r>
    </w:p>
    <w:p w14:paraId="5D6E447A" w14:textId="77777777" w:rsidR="00B93F30" w:rsidRDefault="00BE7BDF" w:rsidP="00B93F30">
      <w:pPr>
        <w:pStyle w:val="NormalWeb"/>
        <w:numPr>
          <w:ilvl w:val="0"/>
          <w:numId w:val="9"/>
        </w:numPr>
        <w:spacing w:before="0" w:beforeAutospacing="0" w:after="32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Vancomycin is not orally absorbed but can treat </w:t>
      </w:r>
      <w:r w:rsidRPr="00BE7BDF">
        <w:rPr>
          <w:rFonts w:asciiTheme="minorHAnsi" w:hAnsiTheme="minorHAnsi" w:cs="Arial"/>
          <w:color w:val="FF0000"/>
          <w:sz w:val="24"/>
          <w:szCs w:val="24"/>
        </w:rPr>
        <w:t>C. Diff Infections</w:t>
      </w:r>
      <w:r w:rsidRPr="00BE7BDF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14:paraId="6A45D7F5" w14:textId="77777777" w:rsidR="00B93F30" w:rsidRPr="00B93F30" w:rsidRDefault="00B93F30" w:rsidP="00B93F30">
      <w:pPr>
        <w:pStyle w:val="NormalWeb"/>
        <w:numPr>
          <w:ilvl w:val="1"/>
          <w:numId w:val="9"/>
        </w:numPr>
        <w:spacing w:before="0" w:beforeAutospacing="0" w:after="320" w:afterAutospacing="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 xml:space="preserve">Meningitis, UTI, C. Diff, </w:t>
      </w:r>
      <w:proofErr w:type="spellStart"/>
      <w:r>
        <w:rPr>
          <w:rFonts w:asciiTheme="minorHAnsi" w:hAnsiTheme="minorHAnsi" w:cs="Arial"/>
          <w:color w:val="000000"/>
          <w:sz w:val="24"/>
          <w:szCs w:val="24"/>
        </w:rPr>
        <w:t>pheumonia</w:t>
      </w:r>
      <w:proofErr w:type="spellEnd"/>
      <w:r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r>
        <w:rPr>
          <w:rFonts w:asciiTheme="minorHAnsi" w:hAnsiTheme="minorHAnsi" w:cs="Arial"/>
          <w:color w:val="000000"/>
          <w:sz w:val="24"/>
          <w:szCs w:val="24"/>
        </w:rPr>
        <w:br/>
      </w:r>
    </w:p>
    <w:p w14:paraId="147AB177" w14:textId="6B7C7B39" w:rsidR="00BE7BDF" w:rsidRP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lastRenderedPageBreak/>
        <w:t xml:space="preserve">To avoid the side effect </w:t>
      </w:r>
      <w:r w:rsidRPr="00BE7BDF">
        <w:rPr>
          <w:rFonts w:cs="Arial"/>
          <w:color w:val="FF0000"/>
        </w:rPr>
        <w:t>Red Man Syndrome</w:t>
      </w:r>
      <w:r w:rsidRPr="00BE7BDF">
        <w:rPr>
          <w:rFonts w:cs="Arial"/>
          <w:color w:val="000000"/>
        </w:rPr>
        <w:t xml:space="preserve">, vancomycin should be infused </w:t>
      </w:r>
      <w:r w:rsidR="00B93F30">
        <w:rPr>
          <w:rFonts w:cs="Arial"/>
          <w:color w:val="FF0000"/>
        </w:rPr>
        <w:t>slow</w:t>
      </w:r>
      <w:r w:rsidR="004A5CAD">
        <w:rPr>
          <w:rFonts w:cs="Arial"/>
          <w:color w:val="FF0000"/>
        </w:rPr>
        <w:t>ly</w:t>
      </w:r>
    </w:p>
    <w:p w14:paraId="41F6E571" w14:textId="219024B5" w:rsidR="00B93F30" w:rsidRPr="00B93F30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</w:rPr>
        <w:t>First drop down: Steven’s Johnson Syndrome, Reye’s Syndrome, Red Man Syndrome, Extrapyramidal symp</w:t>
      </w:r>
      <w:r w:rsidR="004A5CAD">
        <w:rPr>
          <w:rFonts w:cs="Arial"/>
        </w:rPr>
        <w:t>t</w:t>
      </w:r>
      <w:r>
        <w:rPr>
          <w:rFonts w:cs="Arial"/>
        </w:rPr>
        <w:t>oms</w:t>
      </w:r>
    </w:p>
    <w:p w14:paraId="37CCF745" w14:textId="63A92850" w:rsidR="00B93F30" w:rsidRPr="00BE7BDF" w:rsidRDefault="00B93F30" w:rsidP="004A5CAD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</w:rPr>
        <w:t xml:space="preserve">Second drop down: </w:t>
      </w:r>
      <w:r w:rsidR="004A5CAD">
        <w:rPr>
          <w:rFonts w:cs="Arial"/>
        </w:rPr>
        <w:t>rapidly</w:t>
      </w:r>
      <w:r>
        <w:rPr>
          <w:rFonts w:cs="Arial"/>
        </w:rPr>
        <w:t>, slow</w:t>
      </w:r>
      <w:r w:rsidR="004A5CAD">
        <w:rPr>
          <w:rFonts w:cs="Arial"/>
        </w:rPr>
        <w:t>ly</w:t>
      </w:r>
      <w:r>
        <w:rPr>
          <w:rFonts w:cs="Arial"/>
        </w:rPr>
        <w:t xml:space="preserve"> </w:t>
      </w:r>
    </w:p>
    <w:p w14:paraId="4D36D607" w14:textId="77777777" w:rsidR="00BE7BDF" w:rsidRPr="00BE7BDF" w:rsidRDefault="00BE7BDF" w:rsidP="00BE7BDF">
      <w:pPr>
        <w:pStyle w:val="ListParagraph"/>
        <w:textAlignment w:val="baseline"/>
        <w:rPr>
          <w:rFonts w:cs="Arial"/>
          <w:color w:val="000000"/>
        </w:rPr>
      </w:pPr>
    </w:p>
    <w:p w14:paraId="4BBD9AB7" w14:textId="7B13483C" w:rsidR="00BE7BDF" w:rsidRPr="00B93F30" w:rsidRDefault="00BE7BDF" w:rsidP="00BE7BDF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eastAsia="Times New Roman" w:cs="Arial"/>
          <w:color w:val="000000"/>
        </w:rPr>
        <w:t>Daptomycin</w:t>
      </w:r>
      <w:proofErr w:type="spellEnd"/>
      <w:r w:rsidRPr="00BE7BDF">
        <w:rPr>
          <w:rFonts w:eastAsia="Times New Roman" w:cs="Arial"/>
          <w:color w:val="000000"/>
        </w:rPr>
        <w:t xml:space="preserve"> cannot be used for </w:t>
      </w:r>
      <w:r w:rsidRPr="00BE7BDF">
        <w:rPr>
          <w:rFonts w:eastAsia="Times New Roman" w:cs="Arial"/>
          <w:color w:val="FF0000"/>
        </w:rPr>
        <w:t>pneumonia</w:t>
      </w:r>
      <w:r w:rsidRPr="00BE7BDF">
        <w:rPr>
          <w:rFonts w:eastAsia="Times New Roman" w:cs="Arial"/>
          <w:color w:val="000000"/>
        </w:rPr>
        <w:t xml:space="preserve"> because of inactivation by surfactant</w:t>
      </w:r>
      <w:r w:rsidR="004A5CAD">
        <w:rPr>
          <w:rFonts w:eastAsia="Times New Roman" w:cs="Arial"/>
          <w:color w:val="000000"/>
        </w:rPr>
        <w:t>s</w:t>
      </w:r>
      <w:r w:rsidRPr="00BE7BDF">
        <w:rPr>
          <w:rFonts w:eastAsia="Times New Roman" w:cs="Arial"/>
          <w:color w:val="000000"/>
        </w:rPr>
        <w:t xml:space="preserve"> </w:t>
      </w:r>
    </w:p>
    <w:p w14:paraId="43E545F5" w14:textId="77777777" w:rsidR="00B93F30" w:rsidRPr="00BE7BDF" w:rsidRDefault="00B93F30" w:rsidP="00B93F30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eastAsia="Times New Roman" w:cs="Arial"/>
          <w:color w:val="000000"/>
        </w:rPr>
        <w:t xml:space="preserve">UTI, pneumonia, otitis, sinusitis </w:t>
      </w:r>
    </w:p>
    <w:p w14:paraId="4DB99BEC" w14:textId="77777777" w:rsidR="00BE7BDF" w:rsidRPr="00BE7BDF" w:rsidRDefault="00BE7BDF" w:rsidP="00BE7BDF"/>
    <w:p w14:paraId="649F975B" w14:textId="77777777" w:rsidR="00BE7BDF" w:rsidRPr="00BE7BDF" w:rsidRDefault="00BE7BDF" w:rsidP="00BE7BDF"/>
    <w:p w14:paraId="597E6A1B" w14:textId="77777777" w:rsidR="00BE7BDF" w:rsidRPr="00BE7BDF" w:rsidRDefault="00BE7BDF" w:rsidP="00BE7BDF">
      <w:bookmarkStart w:id="0" w:name="_GoBack"/>
      <w:bookmarkEnd w:id="0"/>
    </w:p>
    <w:sectPr w:rsidR="00BE7BDF" w:rsidRPr="00BE7BDF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D09"/>
    <w:multiLevelType w:val="hybridMultilevel"/>
    <w:tmpl w:val="D1A6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92326"/>
    <w:multiLevelType w:val="multilevel"/>
    <w:tmpl w:val="392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721F9"/>
    <w:multiLevelType w:val="multilevel"/>
    <w:tmpl w:val="FDE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03B4B"/>
    <w:multiLevelType w:val="multilevel"/>
    <w:tmpl w:val="D3C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2229C"/>
    <w:multiLevelType w:val="multilevel"/>
    <w:tmpl w:val="CFC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D57DC"/>
    <w:multiLevelType w:val="multilevel"/>
    <w:tmpl w:val="CB9E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32689"/>
    <w:multiLevelType w:val="multilevel"/>
    <w:tmpl w:val="1A2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E2B2D"/>
    <w:multiLevelType w:val="hybridMultilevel"/>
    <w:tmpl w:val="156A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263BA"/>
    <w:multiLevelType w:val="multilevel"/>
    <w:tmpl w:val="6AE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DF"/>
    <w:rsid w:val="001E5347"/>
    <w:rsid w:val="004A5CAD"/>
    <w:rsid w:val="005C0DCC"/>
    <w:rsid w:val="007E2182"/>
    <w:rsid w:val="00867E2B"/>
    <w:rsid w:val="00923497"/>
    <w:rsid w:val="00B93F30"/>
    <w:rsid w:val="00BE7BDF"/>
    <w:rsid w:val="00D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44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2017-01-08T20:55:00Z</dcterms:created>
  <dcterms:modified xsi:type="dcterms:W3CDTF">2017-01-08T20:55:00Z</dcterms:modified>
</cp:coreProperties>
</file>