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28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00"/>
        <w:gridCol w:w="3240"/>
        <w:gridCol w:w="2880"/>
        <w:gridCol w:w="2880"/>
        <w:gridCol w:w="2250"/>
        <w:gridCol w:w="2178"/>
      </w:tblGrid>
      <w:tr w:rsidR="00E87B42" w:rsidRPr="00E87B42" w14:paraId="10AC7CE0" w14:textId="77777777" w:rsidTr="00E87B42">
        <w:tc>
          <w:tcPr>
            <w:tcW w:w="15228" w:type="dxa"/>
            <w:gridSpan w:val="6"/>
          </w:tcPr>
          <w:p w14:paraId="63D22A45" w14:textId="481E63BC" w:rsidR="00E87B42" w:rsidRPr="00E87B42" w:rsidRDefault="00E87B42" w:rsidP="00E87B42">
            <w:pPr>
              <w:jc w:val="center"/>
              <w:rPr>
                <w:b/>
                <w:sz w:val="20"/>
                <w:szCs w:val="20"/>
              </w:rPr>
            </w:pPr>
            <w:r w:rsidRPr="00E87B42">
              <w:rPr>
                <w:rFonts w:ascii="Helvetica" w:hAnsi="Helvetica" w:cs="Helvetica"/>
                <w:b/>
                <w:sz w:val="20"/>
                <w:szCs w:val="20"/>
              </w:rPr>
              <w:t>DNA Topoisomerase inhibitors</w:t>
            </w:r>
          </w:p>
        </w:tc>
      </w:tr>
      <w:tr w:rsidR="00E87B42" w:rsidRPr="00E87B42" w14:paraId="6E569571" w14:textId="77777777" w:rsidTr="00854324">
        <w:tc>
          <w:tcPr>
            <w:tcW w:w="1800" w:type="dxa"/>
          </w:tcPr>
          <w:p w14:paraId="180C9074" w14:textId="350E671E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 xml:space="preserve">Drug Class </w:t>
            </w:r>
          </w:p>
          <w:p w14:paraId="78E960E8" w14:textId="0496AD7D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(Examples)</w:t>
            </w:r>
          </w:p>
        </w:tc>
        <w:tc>
          <w:tcPr>
            <w:tcW w:w="3240" w:type="dxa"/>
          </w:tcPr>
          <w:p w14:paraId="443F4EC1" w14:textId="79B391B2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2880" w:type="dxa"/>
          </w:tcPr>
          <w:p w14:paraId="4BBD107D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Mechanism of Action (MOA) &amp; Target</w:t>
            </w:r>
          </w:p>
        </w:tc>
        <w:tc>
          <w:tcPr>
            <w:tcW w:w="2880" w:type="dxa"/>
          </w:tcPr>
          <w:p w14:paraId="2F2E651A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Mechanism of Resistance (MOR)</w:t>
            </w:r>
          </w:p>
        </w:tc>
        <w:tc>
          <w:tcPr>
            <w:tcW w:w="2250" w:type="dxa"/>
          </w:tcPr>
          <w:p w14:paraId="21E95A2F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Indication/Spectrum</w:t>
            </w:r>
          </w:p>
        </w:tc>
        <w:tc>
          <w:tcPr>
            <w:tcW w:w="2178" w:type="dxa"/>
          </w:tcPr>
          <w:p w14:paraId="10357859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Toxicities/DDI’s</w:t>
            </w:r>
          </w:p>
        </w:tc>
      </w:tr>
      <w:tr w:rsidR="00E87B42" w:rsidRPr="00E87B42" w14:paraId="1A7E0101" w14:textId="77777777" w:rsidTr="00854324">
        <w:tc>
          <w:tcPr>
            <w:tcW w:w="1800" w:type="dxa"/>
          </w:tcPr>
          <w:p w14:paraId="238A41BE" w14:textId="1348AA13" w:rsidR="00E87B42" w:rsidRPr="00E87B42" w:rsidRDefault="00E87B42">
            <w:pPr>
              <w:rPr>
                <w:sz w:val="20"/>
                <w:szCs w:val="20"/>
              </w:rPr>
            </w:pPr>
          </w:p>
          <w:p w14:paraId="0A08EBBF" w14:textId="087F4D93" w:rsidR="00E87B42" w:rsidRPr="00E87B42" w:rsidRDefault="00854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Fluoroq</w:t>
            </w:r>
            <w:r w:rsidR="00E87B42" w:rsidRPr="00E87B42">
              <w:rPr>
                <w:sz w:val="20"/>
                <w:szCs w:val="20"/>
              </w:rPr>
              <w:t>uinolones</w:t>
            </w:r>
          </w:p>
          <w:p w14:paraId="65B14A68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6CE4C3D8" w14:textId="5D8057C3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>(Ciprofloxacin, Levofloxacin, Moxifloxacin)</w:t>
            </w:r>
          </w:p>
        </w:tc>
        <w:tc>
          <w:tcPr>
            <w:tcW w:w="3240" w:type="dxa"/>
          </w:tcPr>
          <w:p w14:paraId="0AB00937" w14:textId="63721126" w:rsidR="00E87B42" w:rsidRPr="00E87B42" w:rsidRDefault="00B441F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0CF537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26" type="#_x0000_t75" style="position:absolute;margin-left:5.1pt;margin-top:4.2pt;width:138.1pt;height:99.95pt;z-index:251658240;visibility:visible;mso-position-horizontal-relative:text;mso-position-vertical-relative:text">
                  <v:imagedata r:id="rId6" o:title=""/>
                </v:shape>
                <o:OLEObject Type="Embed" ProgID="ChemDraw.Document.6.0" ShapeID="Object 2" DrawAspect="Content" ObjectID="_1546799830" r:id="rId7"/>
              </w:pict>
            </w:r>
          </w:p>
          <w:p w14:paraId="1E5E2B85" w14:textId="51ECC32C" w:rsidR="00E87B42" w:rsidRPr="00E87B42" w:rsidRDefault="00E87B42" w:rsidP="00B441F1">
            <w:pPr>
              <w:rPr>
                <w:b/>
                <w:color w:val="800000"/>
                <w:sz w:val="20"/>
                <w:szCs w:val="20"/>
              </w:rPr>
            </w:pPr>
          </w:p>
          <w:p w14:paraId="1DB84B0F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5EFBDFAA" w14:textId="77777777" w:rsidR="00B441F1" w:rsidRDefault="00B441F1" w:rsidP="00492DA3">
            <w:pPr>
              <w:spacing w:before="12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FC0607C" w14:textId="77777777" w:rsidR="00B441F1" w:rsidRDefault="00B441F1" w:rsidP="00492DA3">
            <w:pPr>
              <w:spacing w:before="12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2426C30" w14:textId="77777777" w:rsidR="00B441F1" w:rsidRDefault="00B441F1" w:rsidP="00492DA3">
            <w:pPr>
              <w:spacing w:before="12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93D1993" w14:textId="77777777" w:rsidR="00B441F1" w:rsidRDefault="00B441F1" w:rsidP="00492DA3">
            <w:pPr>
              <w:spacing w:before="12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2244BB3" w14:textId="77777777" w:rsidR="00E87B42" w:rsidRPr="00E87B42" w:rsidRDefault="00E87B42" w:rsidP="00492DA3">
            <w:pPr>
              <w:spacing w:before="12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1: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nitrogen can allow substitutions of alkyl (Me, Et, 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cPr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) or aryl (2,4-difluorophenyl) groups</w:t>
            </w:r>
          </w:p>
          <w:p w14:paraId="0578F649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2: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can be either a carbon or nitrogen</w:t>
            </w:r>
          </w:p>
          <w:p w14:paraId="0C8D0359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3: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must be unsubstituted carboxylic acid</w:t>
            </w:r>
          </w:p>
          <w:p w14:paraId="18C622FC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Position 4: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must be ketone</w:t>
            </w:r>
          </w:p>
          <w:p w14:paraId="0438D320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6: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fluorine substitution increases activity and broadens spectrum </w:t>
            </w:r>
          </w:p>
          <w:p w14:paraId="1308213C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Position 7: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substitution with nitrogen containing heterocycles (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piperazine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ring) broadens spectrum; potential for zwitterion</w:t>
            </w:r>
          </w:p>
          <w:p w14:paraId="39EFAD86" w14:textId="77777777" w:rsidR="00E87B42" w:rsidRPr="00E87B42" w:rsidRDefault="00E87B42" w:rsidP="00492DA3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8: 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substitution with small polar groups (OCH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F, Cl) increases activity </w:t>
            </w:r>
          </w:p>
          <w:p w14:paraId="3AE0C665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5C27ECED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02B930F2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15975629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69D116BF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1562828B" w14:textId="77777777" w:rsidR="00E87B42" w:rsidRPr="00E87B42" w:rsidRDefault="00E87B42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7F36CA36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6FA4DCD7" w14:textId="42E691C3" w:rsidR="00E87B42" w:rsidRPr="00854324" w:rsidRDefault="00E87B42" w:rsidP="00E87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54324">
              <w:rPr>
                <w:rFonts w:asciiTheme="majorHAnsi" w:hAnsiTheme="majorHAnsi"/>
                <w:sz w:val="20"/>
                <w:szCs w:val="20"/>
              </w:rPr>
              <w:t xml:space="preserve">MOA: Irreversibly inhibits </w:t>
            </w:r>
            <w:r w:rsidRPr="00854324">
              <w:rPr>
                <w:rFonts w:ascii="Times New Roman" w:eastAsia="Times New Roman" w:hAnsi="Times New Roman" w:cs="Times New Roman"/>
                <w:sz w:val="20"/>
                <w:szCs w:val="20"/>
              </w:rPr>
              <w:t>topoisomerase (DNA gyrase) enzymes, which inhibits relaxation of supercoiled DNA and promotes breakage of double stranded DNA.</w:t>
            </w:r>
          </w:p>
          <w:p w14:paraId="1D102E5A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10CF03D9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70D34471" w14:textId="77777777" w:rsidR="00E87B42" w:rsidRPr="00854324" w:rsidRDefault="00E87B42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Bactericidal </w:t>
            </w:r>
          </w:p>
          <w:p w14:paraId="73F58E1F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2E5A2AD5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5429F2B0" w14:textId="77777777" w:rsidR="00E87B42" w:rsidRPr="00854324" w:rsidRDefault="00E87B42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>Target: Topoisomerase II (DNA Gyrase)</w:t>
            </w:r>
          </w:p>
        </w:tc>
        <w:tc>
          <w:tcPr>
            <w:tcW w:w="2880" w:type="dxa"/>
          </w:tcPr>
          <w:p w14:paraId="68502473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659339CD" w14:textId="77777777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1. Mutation to the quinolone-resistance determining region (QRDR) of gyrase that affects the binding of fluoroquinolones </w:t>
            </w:r>
          </w:p>
          <w:p w14:paraId="5C1D4822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6A65384F" w14:textId="77777777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>2. Active drug efflux</w:t>
            </w:r>
          </w:p>
          <w:p w14:paraId="482E277C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2DAD9265" w14:textId="3B95F4FE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3. </w:t>
            </w:r>
            <w:r w:rsidR="00854324" w:rsidRPr="00854324">
              <w:rPr>
                <w:sz w:val="20"/>
                <w:szCs w:val="20"/>
              </w:rPr>
              <w:t>Decrease drug uptake</w:t>
            </w:r>
            <w:r w:rsidRPr="00854324">
              <w:rPr>
                <w:sz w:val="20"/>
                <w:szCs w:val="20"/>
              </w:rPr>
              <w:t xml:space="preserve"> (reduced permeability)</w:t>
            </w:r>
          </w:p>
          <w:p w14:paraId="76D5F811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099A9A0B" w14:textId="53180A9E" w:rsidR="00E87B42" w:rsidRPr="00854324" w:rsidRDefault="00E87B42" w:rsidP="00854324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B1440D6" w14:textId="77777777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>Broad spectrum (increases with increasing generation)</w:t>
            </w:r>
          </w:p>
        </w:tc>
        <w:tc>
          <w:tcPr>
            <w:tcW w:w="2178" w:type="dxa"/>
          </w:tcPr>
          <w:p w14:paraId="230804FF" w14:textId="3105A8E2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 xml:space="preserve">Tendon </w:t>
            </w:r>
            <w:r w:rsidR="00B441F1">
              <w:rPr>
                <w:sz w:val="20"/>
                <w:szCs w:val="20"/>
              </w:rPr>
              <w:t xml:space="preserve">rupture, </w:t>
            </w:r>
            <w:r w:rsidRPr="00E87B42">
              <w:rPr>
                <w:sz w:val="20"/>
                <w:szCs w:val="20"/>
              </w:rPr>
              <w:t xml:space="preserve">QT prolongation, </w:t>
            </w:r>
            <w:proofErr w:type="spellStart"/>
            <w:r w:rsidRPr="00E87B42">
              <w:rPr>
                <w:sz w:val="20"/>
                <w:szCs w:val="20"/>
              </w:rPr>
              <w:t>Phototoxicity</w:t>
            </w:r>
            <w:proofErr w:type="spellEnd"/>
            <w:r w:rsidRPr="00E87B42">
              <w:rPr>
                <w:sz w:val="20"/>
                <w:szCs w:val="20"/>
              </w:rPr>
              <w:t xml:space="preserve">. Rashes, Peripheral neuropathy </w:t>
            </w:r>
          </w:p>
          <w:p w14:paraId="05B46768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74EFC02B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2CAC2516" w14:textId="77777777" w:rsidR="00E87B42" w:rsidRPr="00E87B42" w:rsidRDefault="00E87B42" w:rsidP="00A07AAB">
            <w:pPr>
              <w:pStyle w:val="Default"/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>DDI: Chelation with cations, synergistic inhibition of GABA receptor with NSAIDs</w:t>
            </w:r>
          </w:p>
          <w:p w14:paraId="63179362" w14:textId="77777777" w:rsidR="00E87B42" w:rsidRPr="00E87B42" w:rsidRDefault="00E87B42">
            <w:pPr>
              <w:rPr>
                <w:sz w:val="20"/>
                <w:szCs w:val="20"/>
              </w:rPr>
            </w:pPr>
          </w:p>
        </w:tc>
      </w:tr>
    </w:tbl>
    <w:p w14:paraId="6EF93424" w14:textId="77777777" w:rsidR="00F805CB" w:rsidRDefault="00F805CB" w:rsidP="00B441F1">
      <w:bookmarkStart w:id="0" w:name="_GoBack"/>
      <w:bookmarkEnd w:id="0"/>
    </w:p>
    <w:sectPr w:rsidR="00F805CB" w:rsidSect="008A367F">
      <w:pgSz w:w="15840" w:h="12240" w:orient="landscape"/>
      <w:pgMar w:top="171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4D1"/>
    <w:multiLevelType w:val="hybridMultilevel"/>
    <w:tmpl w:val="2A94BA00"/>
    <w:lvl w:ilvl="0" w:tplc="1DACA6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499E"/>
    <w:multiLevelType w:val="hybridMultilevel"/>
    <w:tmpl w:val="D89A0F36"/>
    <w:lvl w:ilvl="0" w:tplc="E75661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05083"/>
    <w:multiLevelType w:val="multilevel"/>
    <w:tmpl w:val="FF1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74466"/>
    <w:multiLevelType w:val="hybridMultilevel"/>
    <w:tmpl w:val="F9F6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A3"/>
    <w:rsid w:val="00007FD4"/>
    <w:rsid w:val="00492DA3"/>
    <w:rsid w:val="00854324"/>
    <w:rsid w:val="008A367F"/>
    <w:rsid w:val="00A07AAB"/>
    <w:rsid w:val="00B441F1"/>
    <w:rsid w:val="00E87B42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F7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7AA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07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7AA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0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5</cp:revision>
  <dcterms:created xsi:type="dcterms:W3CDTF">2017-01-02T13:07:00Z</dcterms:created>
  <dcterms:modified xsi:type="dcterms:W3CDTF">2017-01-25T02:51:00Z</dcterms:modified>
</cp:coreProperties>
</file>