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high-level-architecture">
        <w:r>
          <w:rPr>
            <w:rStyle w:val="Hyperlink"/>
          </w:rPr>
          <w:t xml:space="preserve">High-Level Architecture</w:t>
        </w:r>
      </w:hyperlink>
    </w:p>
    <w:p>
      <w:pPr>
        <w:pStyle w:val="Compact"/>
        <w:numPr>
          <w:ilvl w:val="0"/>
          <w:numId w:val="1001"/>
        </w:numPr>
      </w:pPr>
      <w:hyperlink w:anchor="technology-stack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0"/>
          <w:numId w:val="1001"/>
        </w:numPr>
      </w:pPr>
      <w:hyperlink w:anchor="data-architecture">
        <w:r>
          <w:rPr>
            <w:rStyle w:val="Hyperlink"/>
          </w:rPr>
          <w:t xml:space="preserve">Data Architecture</w:t>
        </w:r>
      </w:hyperlink>
    </w:p>
    <w:p>
      <w:pPr>
        <w:pStyle w:val="Compact"/>
        <w:numPr>
          <w:ilvl w:val="0"/>
          <w:numId w:val="1001"/>
        </w:numPr>
      </w:pPr>
      <w:hyperlink w:anchor="api-architecture">
        <w:r>
          <w:rPr>
            <w:rStyle w:val="Hyperlink"/>
          </w:rPr>
          <w:t xml:space="preserve">API Architecture</w:t>
        </w:r>
      </w:hyperlink>
    </w:p>
    <w:p>
      <w:pPr>
        <w:pStyle w:val="Compact"/>
        <w:numPr>
          <w:ilvl w:val="0"/>
          <w:numId w:val="1001"/>
        </w:numPr>
      </w:pPr>
      <w:hyperlink w:anchor="frontend-architecture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0"/>
          <w:numId w:val="1001"/>
        </w:numPr>
      </w:pPr>
      <w:hyperlink w:anchor="backend-architecture">
        <w:r>
          <w:rPr>
            <w:rStyle w:val="Hyperlink"/>
          </w:rPr>
          <w:t xml:space="preserve">Backend Architecture</w:t>
        </w:r>
      </w:hyperlink>
    </w:p>
    <w:p>
      <w:pPr>
        <w:pStyle w:val="Compact"/>
        <w:numPr>
          <w:ilvl w:val="0"/>
          <w:numId w:val="1001"/>
        </w:numPr>
      </w:pPr>
      <w:hyperlink w:anchor="security-architecture">
        <w:r>
          <w:rPr>
            <w:rStyle w:val="Hyperlink"/>
          </w:rPr>
          <w:t xml:space="preserve">Security Architecture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development-workflow">
        <w:r>
          <w:rPr>
            <w:rStyle w:val="Hyperlink"/>
          </w:rPr>
          <w:t xml:space="preserve">Development Workflow</w:t>
        </w:r>
      </w:hyperlink>
    </w:p>
    <w:p>
      <w:pPr>
        <w:pStyle w:val="Compact"/>
        <w:numPr>
          <w:ilvl w:val="0"/>
          <w:numId w:val="1001"/>
        </w:numPr>
      </w:pPr>
      <w:hyperlink w:anchor="deployment-architecture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0"/>
          <w:numId w:val="1001"/>
        </w:numPr>
      </w:pPr>
      <w:hyperlink w:anchor="performance-strategy">
        <w:r>
          <w:rPr>
            <w:rStyle w:val="Hyperlink"/>
          </w:rPr>
          <w:t xml:space="preserve">Performance Strategy</w:t>
        </w:r>
      </w:hyperlink>
    </w:p>
    <w:p>
      <w:pPr>
        <w:pStyle w:val="Compact"/>
        <w:numPr>
          <w:ilvl w:val="0"/>
          <w:numId w:val="1001"/>
        </w:numPr>
      </w:pPr>
      <w:hyperlink w:anchor="testing-strategy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1"/>
        </w:numPr>
      </w:pPr>
      <w:hyperlink w:anchor="monitoring--observability">
        <w:r>
          <w:rPr>
            <w:rStyle w:val="Hyperlink"/>
          </w:rPr>
          <w:t xml:space="preserve">Monitoring &amp; Observability</w:t>
        </w:r>
      </w:hyperlink>
    </w:p>
    <w:p>
      <w:pPr>
        <w:pStyle w:val="Compact"/>
        <w:numPr>
          <w:ilvl w:val="0"/>
          <w:numId w:val="1001"/>
        </w:numPr>
      </w:pPr>
      <w:hyperlink w:anchor="coding-standards">
        <w:r>
          <w:rPr>
            <w:rStyle w:val="Hyperlink"/>
          </w:rPr>
          <w:t xml:space="preserve">Coding Standards</w:t>
        </w:r>
      </w:hyperlink>
    </w:p>
    <w:p>
      <w:pPr>
        <w:pStyle w:val="Compact"/>
        <w:numPr>
          <w:ilvl w:val="0"/>
          <w:numId w:val="1001"/>
        </w:numPr>
      </w:pPr>
      <w:hyperlink w:anchor="error-handling">
        <w:r>
          <w:rPr>
            <w:rStyle w:val="Hyperlink"/>
          </w:rPr>
          <w:t xml:space="preserve">Error Handling</w:t>
        </w:r>
      </w:hyperlink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