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0"/>
        <w:gridCol w:w="2912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48"/>
                <w:szCs w:val="48"/>
              </w:rPr>
              <w:t xml:space="preserve">Chris Clark</w:t>
            </w:r>
          </w:p>
        </w:tc>
        <w:tc>
          <w:tcPr>
            <w:tcW w:type="dxa" w:w="29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6"/>
              <w:jc w:val="right"/>
            </w:pPr>
            <w:r>
              <w:rPr>
                <w:rFonts w:ascii="Arial" w:cs="Arial" w:eastAsia="Arial" w:hAnsi="Arial"/>
                <w:b/>
                <w:bCs/>
                <w:color w:val="0B7A4A"/>
                <w:sz w:val="14"/>
                <w:szCs w:val="14"/>
              </w:rPr>
              <w:t xml:space="preserve">INTERACTIVE RESUME</w:t>
            </w:r>
          </w:p>
          <w:p>
            <w:pPr>
              <w:jc w:val="right"/>
            </w:pPr>
            <w:hyperlink w:history="1" r:id="rIdjtsc8mbk6lmr6gqxcs4om">
              <w:r>
                <w:rPr>
                  <w:rFonts w:ascii="Arial" w:cs="Arial" w:eastAsia="Arial" w:hAnsi="Arial"/>
                  <w:b/>
                  <w:bCs/>
                  <w:color w:val="0B7A4A"/>
                  <w:sz w:val="18"/>
                  <w:szCs w:val="18"/>
                </w:rPr>
                <w:t xml:space="preserve">View the live resume →</w:t>
              </w:r>
            </w:hyperlink>
          </w:p>
        </w:tc>
      </w:tr>
    </w:tbl>
    <w:p>
      <w:pPr>
        <w:spacing w:after="14" w:before="70"/>
      </w:pPr>
      <w:r>
        <w:rPr>
          <w:rFonts w:ascii="Arial" w:cs="Arial" w:eastAsia="Arial" w:hAnsi="Arial"/>
          <w:b/>
          <w:bCs/>
          <w:color w:val="0A5A3A"/>
          <w:sz w:val="22"/>
          <w:szCs w:val="22"/>
        </w:rPr>
        <w:t xml:space="preserve">Chief Information Officer  ·  Chief AI Officer  ·  Transformation Program Officer</w:t>
      </w:r>
    </w:p>
    <w:p>
      <w:r>
        <w:rPr>
          <w:rFonts w:ascii="Arial" w:cs="Arial" w:eastAsia="Arial" w:hAnsi="Arial"/>
          <w:color w:val="46514A"/>
          <w:sz w:val="18"/>
          <w:szCs w:val="18"/>
        </w:rPr>
        <w:t xml:space="preserve">chris.clark@clarkfamilyusa.com  ·  linkedin.com/in/chrisclarkin  ·  Washington, DC</w:t>
      </w:r>
    </w:p>
    <w:p>
      <w:pPr>
        <w:pBdr>
          <w:bottom w:val="single" w:color="0B7A4A" w:sz="10" w:space="3"/>
        </w:pBdr>
        <w:spacing w:after="120" w:before="8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CIO and transformation executive with 15+ years leading $1B+ organizations through modernization. I run programs with earned value discipline and executive governance, and I build the AI that powers them, deploying agents that automate ERP, supply chain and finance operations.</w:t>
      </w:r>
    </w:p>
    <w:p>
      <w:pPr>
        <w:pBdr>
          <w:bottom w:val="single" w:color="0B7A4A" w:sz="10" w:space="3"/>
        </w:pBdr>
        <w:spacing w:after="90" w:before="200"/>
      </w:pPr>
      <w:r>
        <w:rPr>
          <w:rFonts w:ascii="Arial" w:cs="Arial" w:eastAsia="Arial" w:hAnsi="Arial"/>
          <w:b/>
          <w:bCs/>
          <w:color w:val="0A5A3A"/>
          <w:sz w:val="21"/>
          <w:szCs w:val="21"/>
        </w:rPr>
        <w:t xml:space="preserve">SIGNATURE OUTCOMES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Five Oracle Fusion go-lives in five years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, every one delivered on time and within budget.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&gt;97% budget accuracy and &gt;90% milestone compliance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 using earned value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40% reduction in cross-system mismatches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 through AI-governed inventory reconciliation.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+10% line utilization, 15% lower overtime, 10% lower expedite cost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 from an AI operations control tower.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Governed $25M+ technology portfolios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 and multi-vendor SI teams of 25 to 60 across the Americas, EMEA and LATAM.</w:t>
      </w:r>
    </w:p>
    <w:p>
      <w:pPr>
        <w:pBdr>
          <w:bottom w:val="single" w:color="0B7A4A" w:sz="10" w:space="3"/>
        </w:pBdr>
        <w:spacing w:after="90" w:before="200"/>
      </w:pPr>
      <w:r>
        <w:rPr>
          <w:rFonts w:ascii="Arial" w:cs="Arial" w:eastAsia="Arial" w:hAnsi="Arial"/>
          <w:b/>
          <w:bCs/>
          <w:color w:val="0A5A3A"/>
          <w:sz w:val="21"/>
          <w:szCs w:val="21"/>
        </w:rPr>
        <w:t xml:space="preserve">CORE STRENGTHS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A5A3A"/>
          <w:sz w:val="19"/>
          <w:szCs w:val="19"/>
        </w:rPr>
        <w:t xml:space="preserve">AI &amp; Data:  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Oracle AI Agent Studio. Enterprise AI agents for ERP, supply chain and finance. Snowflake, Databricks, ML pipelines, AI governance and decision intelligence.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A5A3A"/>
          <w:sz w:val="19"/>
          <w:szCs w:val="19"/>
        </w:rPr>
        <w:t xml:space="preserve">ERP &amp; Cloud:  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Oracle Fusion Cloud (Finance, SCM, WMS, HCM, Manufacturing), SAP S/4HANA, Oracle EBS to Cloud migration, OIC / REST / JSON, RICEFW (100+ objects), Salesforce.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A5A3A"/>
          <w:sz w:val="19"/>
          <w:szCs w:val="19"/>
        </w:rPr>
        <w:t xml:space="preserve">Program &amp; Delivery:  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Earned value management, hybrid Agile and Waterfall, executive steering committees, multi-vendor and SI governance, RFP and vendor selection, M&amp;A and post-merger integration.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A5A3A"/>
          <w:sz w:val="19"/>
          <w:szCs w:val="19"/>
        </w:rPr>
        <w:t xml:space="preserve">Leadership:  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CIO, Chief AI Officer and Transformation Program leadership. Technology strategy and target operating model, cybersecurity and compliance governance, board advisory, portfolio governance ($25M+).</w:t>
      </w:r>
    </w:p>
    <w:p>
      <w:pPr>
        <w:pBdr>
          <w:bottom w:val="single" w:color="0B7A4A" w:sz="10" w:space="3"/>
        </w:pBdr>
        <w:spacing w:after="90" w:before="200"/>
      </w:pPr>
      <w:r>
        <w:rPr>
          <w:rFonts w:ascii="Arial" w:cs="Arial" w:eastAsia="Arial" w:hAnsi="Arial"/>
          <w:b/>
          <w:bCs/>
          <w:color w:val="0A5A3A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B231D"/>
          <w:sz w:val="21"/>
          <w:szCs w:val="21"/>
        </w:rPr>
        <w:t xml:space="preserve">ERP Transformation Partner / Executive Advisor</w:t>
      </w:r>
      <w:r>
        <w:rPr>
          <w:rFonts w:ascii="Arial" w:cs="Arial" w:eastAsia="Arial" w:hAnsi="Arial"/>
          <w:color w:val="46514A"/>
          <w:sz w:val="17"/>
          <w:szCs w:val="17"/>
        </w:rPr>
        <w:t xml:space="preserve">	2021 to Present</w:t>
      </w:r>
    </w:p>
    <w:p>
      <w:pPr>
        <w:spacing w:after="30"/>
      </w:pPr>
      <w:r>
        <w:rPr>
          <w:rFonts w:ascii="Arial" w:cs="Arial" w:eastAsia="Arial" w:hAnsi="Arial"/>
          <w:color w:val="0B7A4A"/>
          <w:sz w:val="19"/>
          <w:szCs w:val="19"/>
        </w:rPr>
        <w:t xml:space="preserve">Byrne Dairy ($1B Dairy &amp; CPG Manufacturer), Syracuse, NY  ·  reports to CFO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Designed and delivered the future-state Target Operating Model across finance, procurement, manufacturing and supply chain.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Led five Oracle Fusion go-lives in four years (data migration, finance, purchasing, HCM, warehouse management) on time and within budget.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Created and deployed AI agents for inventory reconciliation in Oracle AI Agent Studio.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Ran the SI RFP, scoring and selection, and chaired the executive steering committee.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Applied earned value management to achieve &gt;97% budget accuracy and &gt;90% milestone compliance.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B231D"/>
          <w:sz w:val="21"/>
          <w:szCs w:val="21"/>
        </w:rPr>
        <w:t xml:space="preserve">Chief Information Officer (CIO)</w:t>
      </w:r>
      <w:r>
        <w:rPr>
          <w:rFonts w:ascii="Arial" w:cs="Arial" w:eastAsia="Arial" w:hAnsi="Arial"/>
          <w:color w:val="46514A"/>
          <w:sz w:val="17"/>
          <w:szCs w:val="17"/>
        </w:rPr>
        <w:t xml:space="preserve">	2017 to 2021</w:t>
      </w:r>
    </w:p>
    <w:p>
      <w:pPr>
        <w:spacing w:after="30"/>
      </w:pPr>
      <w:r>
        <w:rPr>
          <w:rFonts w:ascii="Arial" w:cs="Arial" w:eastAsia="Arial" w:hAnsi="Arial"/>
          <w:color w:val="0B7A4A"/>
          <w:sz w:val="19"/>
          <w:szCs w:val="19"/>
        </w:rPr>
        <w:t xml:space="preserve">MDVAMILK ($1B Organization), Reston, VA  ·  reports to CFO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Served as CIO during an enterprise transformation and growth phase.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Led enterprise implementation of SAP S/4HANA Cloud across finance, supply chain, manufacturing and distribution.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Defined and executed a multi-year digital transformation roadmap, and established cybersecurity and compliance governance.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Chaired executive steering committees overseeing risk, budget and strategic priorities.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B231D"/>
          <w:sz w:val="21"/>
          <w:szCs w:val="21"/>
        </w:rPr>
        <w:t xml:space="preserve">Vice President, Technology</w:t>
      </w:r>
      <w:r>
        <w:rPr>
          <w:rFonts w:ascii="Arial" w:cs="Arial" w:eastAsia="Arial" w:hAnsi="Arial"/>
          <w:color w:val="46514A"/>
          <w:sz w:val="17"/>
          <w:szCs w:val="17"/>
        </w:rPr>
        <w:t xml:space="preserve">	2015 to 2016</w:t>
      </w:r>
    </w:p>
    <w:p>
      <w:pPr>
        <w:spacing w:after="30"/>
      </w:pPr>
      <w:r>
        <w:rPr>
          <w:rFonts w:ascii="Arial" w:cs="Arial" w:eastAsia="Arial" w:hAnsi="Arial"/>
          <w:color w:val="0B7A4A"/>
          <w:sz w:val="19"/>
          <w:szCs w:val="19"/>
        </w:rPr>
        <w:t xml:space="preserve">SCORE, Herndon, VA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Advised executive leadership on technology strategy and built multi-year roadmaps and governance.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Oversaw implementation of an enterprise CRM supporting thousands of users nationwide.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B231D"/>
          <w:sz w:val="21"/>
          <w:szCs w:val="21"/>
        </w:rPr>
        <w:t xml:space="preserve">SVP, Information Management</w:t>
      </w:r>
      <w:r>
        <w:rPr>
          <w:rFonts w:ascii="Arial" w:cs="Arial" w:eastAsia="Arial" w:hAnsi="Arial"/>
          <w:color w:val="46514A"/>
          <w:sz w:val="17"/>
          <w:szCs w:val="17"/>
        </w:rPr>
        <w:t xml:space="preserve">	2013 to 2015</w:t>
      </w:r>
    </w:p>
    <w:p>
      <w:pPr>
        <w:spacing w:after="30"/>
      </w:pPr>
      <w:r>
        <w:rPr>
          <w:rFonts w:ascii="Arial" w:cs="Arial" w:eastAsia="Arial" w:hAnsi="Arial"/>
          <w:color w:val="0B7A4A"/>
          <w:sz w:val="19"/>
          <w:szCs w:val="19"/>
        </w:rPr>
        <w:t xml:space="preserve">NeighborWorks America, Washington, DC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Led enterprise platform modernization supporting over 100,000 end users.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Governed a large technology portfolio and implemented delivery frameworks improving transparency and outcomes.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B231D"/>
          <w:sz w:val="21"/>
          <w:szCs w:val="21"/>
        </w:rPr>
        <w:t xml:space="preserve">Technology &amp; Product Leader, Minestream Software</w:t>
      </w:r>
      <w:r>
        <w:rPr>
          <w:rFonts w:ascii="Arial" w:cs="Arial" w:eastAsia="Arial" w:hAnsi="Arial"/>
          <w:color w:val="46514A"/>
          <w:sz w:val="17"/>
          <w:szCs w:val="17"/>
        </w:rPr>
        <w:t xml:space="preserve">	From 2008</w:t>
      </w:r>
    </w:p>
    <w:p>
      <w:pPr>
        <w:spacing w:after="30"/>
      </w:pPr>
      <w:r>
        <w:rPr>
          <w:rFonts w:ascii="Arial" w:cs="Arial" w:eastAsia="Arial" w:hAnsi="Arial"/>
          <w:color w:val="0B7A4A"/>
          <w:sz w:val="19"/>
          <w:szCs w:val="19"/>
        </w:rPr>
        <w:t xml:space="preserve">Network security devices, SaaS dashboard, global engineering  ·  successful exit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Led technology strategy and global development for stealthy reverse-firewall network devices that stopped information leaks at the network door, paired with a SaaS dashboard.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Architected the embedded product strategy and built four consumer network-security appliances in 24 months.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Named on an international technology patent featuring 65 claims, creating strategic advantage and an exit path.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Managed an international engineering team (U.S. and offshore) and device-manufacturer partnerships across the U.S., Israel and Taiwan.</w:t>
      </w:r>
    </w:p>
    <w:p>
      <w:pPr>
        <w:pBdr>
          <w:bottom w:val="single" w:color="0B7A4A" w:sz="10" w:space="3"/>
        </w:pBdr>
        <w:spacing w:after="90" w:before="200"/>
      </w:pPr>
      <w:r>
        <w:rPr>
          <w:rFonts w:ascii="Arial" w:cs="Arial" w:eastAsia="Arial" w:hAnsi="Arial"/>
          <w:b/>
          <w:bCs/>
          <w:color w:val="0A5A3A"/>
          <w:sz w:val="21"/>
          <w:szCs w:val="21"/>
        </w:rPr>
        <w:t xml:space="preserve">EDUCATION &amp; CERTIFICATIONS</w:t>
      </w:r>
    </w:p>
    <w:p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B.S., Technology Management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, American University  ·  Oracle AI Agent Studio  ·  2025 Award Winner, Oracle ERP Supply Chain Excellence</w:t>
      </w:r>
    </w:p>
    <w:sectPr>
      <w:footerReference w:type="default" r:id="rId7"/>
      <w:pgSz w:w="12240" w:h="15840" w:orient="portrait"/>
      <w:pgMar w:top="720" w:right="864" w:bottom="10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2" w:sz="6" w:space="4"/>
      </w:pBdr>
      <w:tabs>
        <w:tab w:val="right" w:pos="9026"/>
      </w:tabs>
    </w:pPr>
    <w:r>
      <w:rPr>
        <w:rFonts w:ascii="Arial" w:cs="Arial" w:eastAsia="Arial" w:hAnsi="Arial"/>
        <w:color w:val="6A7268"/>
        <w:sz w:val="14"/>
        <w:szCs w:val="14"/>
      </w:rPr>
      <w:t xml:space="preserve">2025 Oracle ERP Supply Chain Excellence Award  |  Oracle AI Agent Studio</w:t>
    </w:r>
    <w:r>
      <w:rPr>
        <w:sz w:val="14"/>
        <w:szCs w:val="14"/>
      </w:rPr>
      <w:t xml:space="preserve">	</w:t>
    </w:r>
    <w:hyperlink w:history="1" r:id="rId-8inyrc4xciezodrk3g5r">
      <w:r>
        <w:rPr>
          <w:rFonts w:ascii="Arial" w:cs="Arial" w:eastAsia="Arial" w:hAnsi="Arial"/>
          <w:color w:val="0B7A4A"/>
          <w:sz w:val="14"/>
          <w:szCs w:val="14"/>
        </w:rPr>
        <w:t xml:space="preserve">View the live resume →</w:t>
      </w:r>
    </w:hyperlink>
  </w:p>
  <w:p>
    <w:pPr>
      <w:spacing w:before="20"/>
      <w:jc w:val="center"/>
    </w:pPr>
    <w:r>
      <w:rPr>
        <w:rFonts w:ascii="Arial" w:cs="Arial" w:eastAsia="Arial" w:hAnsi="Arial"/>
        <w:color w:val="6A7268"/>
        <w:sz w:val="14"/>
        <w:szCs w:val="14"/>
      </w:rPr>
      <w:t xml:space="preserve">Chris Clark  ·  Page </w:t>
    </w:r>
    <w:r>
      <w:rPr>
        <w:rFonts w:ascii="Arial" w:cs="Arial" w:eastAsia="Arial" w:hAnsi="Arial"/>
        <w:color w:val="6A72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3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tsc8mbk6lmr6gqxcs4om" Type="http://schemas.openxmlformats.org/officeDocument/2006/relationships/hyperlink" Target="https://chrisclarkresume.clarkfamilyusa.com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-8inyrc4xciezodrk3g5r" Type="http://schemas.openxmlformats.org/officeDocument/2006/relationships/hyperlink" Target="https://chrisclarkresume.clarkfamilyusa.com/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Clark Resume</dc:title>
  <dc:creator>Chris Clark</dc:creator>
  <cp:lastModifiedBy>Un-named</cp:lastModifiedBy>
  <cp:revision>1</cp:revision>
  <dcterms:created xsi:type="dcterms:W3CDTF">2026-05-23T14:15:10.447Z</dcterms:created>
  <dcterms:modified xsi:type="dcterms:W3CDTF">2026-05-23T14:15:10.447Z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