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58B1768" w:rsidR="00E97402" w:rsidRDefault="00173860">
      <w:pPr>
        <w:pStyle w:val="Title"/>
        <w:framePr w:wrap="notBeside"/>
      </w:pPr>
      <w:r>
        <w:t xml:space="preserve">Predicting Response </w:t>
      </w:r>
      <w:r w:rsidR="00DD5B98">
        <w:t>t</w:t>
      </w:r>
      <w:r w:rsidR="007C2817">
        <w:t xml:space="preserve">o </w:t>
      </w:r>
      <w:r w:rsidR="004A4FF7">
        <w:t xml:space="preserve">Neoadjuvant </w:t>
      </w:r>
      <w:r w:rsidR="007C2817">
        <w:t>Chemotherapy</w:t>
      </w:r>
      <w:r w:rsidR="004A4FF7">
        <w:t xml:space="preserve"> in Bladder Cancer</w:t>
      </w:r>
    </w:p>
    <w:p w14:paraId="57A655BF" w14:textId="312B2003" w:rsidR="00E97402" w:rsidRDefault="00015CE8">
      <w:pPr>
        <w:pStyle w:val="Authors"/>
        <w:framePr w:wrap="notBeside"/>
      </w:pPr>
      <w:r>
        <w:t>Christopher A. Cremer</w:t>
      </w:r>
      <w:r w:rsidR="008F41B9">
        <w:br/>
        <w:t>1001140650</w:t>
      </w:r>
    </w:p>
    <w:p w14:paraId="622BAC8D" w14:textId="2AC991A3" w:rsidR="00DA639D" w:rsidRPr="007D2737" w:rsidRDefault="00E97402" w:rsidP="00DA639D">
      <w:pPr>
        <w:pStyle w:val="Abstract"/>
        <w:rPr>
          <w:sz w:val="20"/>
          <w:szCs w:val="20"/>
        </w:rPr>
      </w:pPr>
      <w:r w:rsidRPr="007D2737">
        <w:rPr>
          <w:i/>
          <w:iCs/>
          <w:sz w:val="20"/>
          <w:szCs w:val="20"/>
        </w:rPr>
        <w:t>Abstract</w:t>
      </w:r>
      <w:r w:rsidRPr="007D2737">
        <w:rPr>
          <w:sz w:val="20"/>
          <w:szCs w:val="20"/>
        </w:rPr>
        <w:t>—</w:t>
      </w:r>
      <w:r w:rsidR="00C50192" w:rsidRPr="007D2737">
        <w:rPr>
          <w:sz w:val="20"/>
          <w:szCs w:val="20"/>
        </w:rPr>
        <w:t xml:space="preserve"> Neoadjuvant chemotherapy is a treatment routinely prescribed to patients diagnosed with muscle-invasive bladder cancer. Unfortunately, not all patients are responsive to this treatment and would greatly benefit from an accurate prediction of their expected response to chemotherapy. </w:t>
      </w:r>
      <w:r w:rsidR="00B00AF0" w:rsidRPr="007D2737">
        <w:rPr>
          <w:sz w:val="20"/>
          <w:szCs w:val="20"/>
        </w:rPr>
        <w:t xml:space="preserve">In this project, I attempt to develop a model that will predict response using tumour microarray data. </w:t>
      </w:r>
      <w:r w:rsidR="00C50192" w:rsidRPr="007D2737">
        <w:rPr>
          <w:sz w:val="20"/>
          <w:szCs w:val="20"/>
        </w:rPr>
        <w:t xml:space="preserve">I </w:t>
      </w:r>
      <w:r w:rsidR="000573F3" w:rsidRPr="007D2737">
        <w:rPr>
          <w:sz w:val="20"/>
          <w:szCs w:val="20"/>
        </w:rPr>
        <w:t>s</w:t>
      </w:r>
      <w:r w:rsidR="00B00AF0" w:rsidRPr="007D2737">
        <w:rPr>
          <w:sz w:val="20"/>
          <w:szCs w:val="20"/>
        </w:rPr>
        <w:t xml:space="preserve">how that </w:t>
      </w:r>
      <w:r w:rsidR="00DA639D" w:rsidRPr="007D2737">
        <w:rPr>
          <w:sz w:val="20"/>
          <w:szCs w:val="20"/>
        </w:rPr>
        <w:t>using</w:t>
      </w:r>
      <w:r w:rsidR="00B00AF0" w:rsidRPr="007D2737">
        <w:rPr>
          <w:sz w:val="20"/>
          <w:szCs w:val="20"/>
        </w:rPr>
        <w:t xml:space="preserve"> my</w:t>
      </w:r>
      <w:r w:rsidR="00FF5E8E" w:rsidRPr="007D2737">
        <w:rPr>
          <w:sz w:val="20"/>
          <w:szCs w:val="20"/>
        </w:rPr>
        <w:t xml:space="preserve"> dataset,</w:t>
      </w:r>
      <w:r w:rsidR="00DA639D" w:rsidRPr="007D2737">
        <w:rPr>
          <w:sz w:val="20"/>
          <w:szCs w:val="20"/>
        </w:rPr>
        <w:t xml:space="preserve"> every method I try is insufficient at accurately classifying responders and non-responders.</w:t>
      </w:r>
      <w:r w:rsidR="00FF5E8E" w:rsidRPr="007D2737">
        <w:rPr>
          <w:sz w:val="20"/>
          <w:szCs w:val="20"/>
        </w:rPr>
        <w:t xml:space="preserve"> </w:t>
      </w:r>
    </w:p>
    <w:p w14:paraId="2AD5107A" w14:textId="77777777" w:rsidR="00E97402" w:rsidRDefault="00E97402"/>
    <w:p w14:paraId="4AE5DCCE" w14:textId="2858F2F7" w:rsidR="00E97402" w:rsidRDefault="00E97402">
      <w:pPr>
        <w:pStyle w:val="IndexTerms"/>
      </w:pPr>
      <w:bookmarkStart w:id="0" w:name="PointTmp"/>
      <w:r>
        <w:rPr>
          <w:i/>
          <w:iCs/>
        </w:rPr>
        <w:t>Index Terms</w:t>
      </w:r>
      <w:r w:rsidR="00F53E50">
        <w:rPr>
          <w:i/>
          <w:iCs/>
        </w:rPr>
        <w:t xml:space="preserve"> </w:t>
      </w:r>
      <w:r>
        <w:t>—</w:t>
      </w:r>
      <w:r w:rsidR="00F53E50">
        <w:t xml:space="preserve"> </w:t>
      </w:r>
      <w:r w:rsidR="002B174D">
        <w:t xml:space="preserve">Bladder Cancer, </w:t>
      </w:r>
      <w:r w:rsidR="00F53E50">
        <w:t>Chemotherapy, Classification, Machine Learning</w:t>
      </w:r>
    </w:p>
    <w:p w14:paraId="6F54A56C" w14:textId="77777777" w:rsidR="00E97402" w:rsidRDefault="00E97402"/>
    <w:bookmarkEnd w:id="0"/>
    <w:p w14:paraId="1D5B113B" w14:textId="77777777" w:rsidR="00E97402" w:rsidRPr="00971CA7" w:rsidRDefault="00E97402">
      <w:pPr>
        <w:pStyle w:val="Heading1"/>
        <w:rPr>
          <w:b/>
        </w:rPr>
      </w:pPr>
      <w:r w:rsidRPr="00971CA7">
        <w:rPr>
          <w:b/>
        </w:rPr>
        <w:t>I</w:t>
      </w:r>
      <w:r w:rsidRPr="00971CA7">
        <w:rPr>
          <w:b/>
          <w:sz w:val="16"/>
          <w:szCs w:val="16"/>
        </w:rPr>
        <w:t>NTRODUCTION</w:t>
      </w:r>
    </w:p>
    <w:p w14:paraId="49B0B49D" w14:textId="68BDBF3F" w:rsidR="00E97402" w:rsidRDefault="00D736C3">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684D8FD" w14:textId="29D432E4" w:rsidR="001B2C8B" w:rsidRDefault="00D736C3" w:rsidP="00D736C3">
      <w:pPr>
        <w:pStyle w:val="Text"/>
        <w:ind w:firstLine="0"/>
      </w:pPr>
      <w:r w:rsidRPr="00D736C3">
        <w:t>ladder tumours are classified ba</w:t>
      </w:r>
      <w:r w:rsidR="001B2C8B">
        <w:t xml:space="preserve">sed on their stage and grade </w:t>
      </w:r>
      <w:r w:rsidR="001B2C8B">
        <w:fldChar w:fldCharType="begin" w:fldLock="1"/>
      </w:r>
      <w:r w:rsidR="001B2C8B">
        <w:instrText>ADDIN CSL_CITATION { "citationItems" : [ { "id" : "ITEM-1", "itemData" : { "DOI" : "10.1016/j.urology.2005.07.062", "ISBN" : "1527-9995 (Electronic)", "ISSN" : "00904295", "PMID" : "16399414", "abstract" : "Bladder cancer is a heterogeneous disease with a variable natural history. At one end of the spectrum, low-grade Ta tumors have a low progression rate and require initial endoscopic treatment and surveillance but rarely present a threat to the patient. At the other extreme, high-grade tumors have a high malignant potential associated with significant progression and cancer death rates. In the Western world, bladder cancer is the fourth most common malignancy in men and the eighth most common in women. In Europe and the United States, bladder cancer accounts for 5% to 10% of all malignancies in men. The risk of developing bladder cancer at &lt;75 years of age is 2% to 4% for men and 0.5% to 1% in women compared with the risk of lung cancer, for example, which is 8% in men and 2% in women. For the geographic and temporal comparison of bladder cancer incidence, it is crucial to separate the low-grade from the high-grade tumors. In epidemiologic studies on risk factors for bladder cancer, it is important to distinguish the low-grade Ta tumors from high-grade carcinoma in situ (CIS) and tumors &gt;T1. Current studies do not support the routine screening for bladder cancer. However, prospective long-term studies are required to evaluate the benefits of bladder cancer screening, particularly in those at high risk. After assessing all available evidence, the Epidemiology and Diagnosis Committee has made recommendations on various diagnostic issues, including pathologic evaluation, urinary cytology, and imaging studies. Optimal resection techniques, role of repeat transurethral resection in high-grade T1 tumors, random bladder biopsy, and prostatic urethral biopsy are discussed, and appropriate recommendations are made according to the strength of available evidence. \u00a9 2005 Elsevier Inc.", "author" : [ { "dropping-particle" : "", "family" : "Kirkali", "given" : "Ziya", "non-dropping-particle" : "", "parse-names" : false, "suffix" : "" }, { "dropping-particle" : "", "family" : "Chan", "given" : "Theresa", "non-dropping-particle" : "", "parse-names" : false, "suffix" : "" }, { "dropping-particle" : "", "family" : "Manoharan", "given" : "Murugesan", "non-dropping-particle" : "", "parse-names" : false, "suffix" : "" }, { "dropping-particle" : "", "family" : "Algaba", "given" : "Ferran", "non-dropping-particle" : "", "parse-names" : false, "suffix" : "" }, { "dropping-particle" : "", "family" : "Busch", "given" : "Christer", "non-dropping-particle" : "", "parse-names" : false, "suffix" : "" }, { "dropping-particle" : "", "family" : "Cheng", "given" : "Liang", "non-dropping-particle" : "", "parse-names" : false, "suffix" : "" }, { "dropping-particle" : "", "family" : "Kiemeney", "given" : "Lambertus", "non-dropping-particle" : "", "parse-names" : false, "suffix" : "" }, { "dropping-particle" : "", "family" : "Kriegmair", "given" : "Martin", "non-dropping-particle" : "", "parse-names" : false, "suffix" : "" }, { "dropping-particle" : "", "family" : "Montironi", "given" : "R.", "non-dropping-particle" : "", "parse-names" : false, "suffix" : "" }, { "dropping-particle" : "", "family" : "Murphy", "given" : "William M.", "non-dropping-particle" : "", "parse-names" : false, "suffix" : "" }, { "dropping-particle" : "", "family" : "Sesterhenn", "given" : "Isabell a.", "non-dropping-particle" : "", "parse-names" : false, "suffix" : "" }, { "dropping-particle" : "", "family" : "Tachibana", "given" : "Masaaki", "non-dropping-particle" : "", "parse-names" : false, "suffix" : "" }, { "dropping-particle" : "", "family" : "Weider", "given" : "Jeff", "non-dropping-particle" : "", "parse-names" : false, "suffix" : "" } ], "container-title" : "Urology", "id" : "ITEM-1", "issued" : { "date-parts" : [ [ "2005" ] ] }, "page" : "4-34", "title" : "Bladder cancer: Epidemiology, staging and grading, and diagnosis", "type" : "article-journal", "volume" : "66" }, "uris" : [ "http://www.mendeley.com/documents/?uuid=bdb61b48-fb88-489f-978d-962c8eb89f62" ] } ], "mendeley" : { "formattedCitation" : "[1]", "plainTextFormattedCitation" : "[1]", "previouslyFormattedCitation" : "[1]" }, "properties" : { "noteIndex" : 0 }, "schema" : "https://github.com/citation-style-language/schema/raw/master/csl-citation.json" }</w:instrText>
      </w:r>
      <w:r w:rsidR="001B2C8B">
        <w:fldChar w:fldCharType="separate"/>
      </w:r>
      <w:r w:rsidR="001B2C8B" w:rsidRPr="001B2C8B">
        <w:rPr>
          <w:noProof/>
        </w:rPr>
        <w:t>[1]</w:t>
      </w:r>
      <w:r w:rsidR="001B2C8B">
        <w:fldChar w:fldCharType="end"/>
      </w:r>
      <w:r w:rsidRPr="00D736C3">
        <w:t xml:space="preserve">. Grade is given based on the cancer cells’ appearance compared to normal cells and stage describes the extent of penetration of the </w:t>
      </w:r>
      <w:r w:rsidR="00C3113B">
        <w:t>tumour</w:t>
      </w:r>
      <w:r w:rsidRPr="00D736C3">
        <w:t xml:space="preserve">. </w:t>
      </w:r>
      <w:r w:rsidR="00484E72">
        <w:t xml:space="preserve">These two clinical features are currently important factors when deciding which treatment to administer to patients with bladder cancer. </w:t>
      </w:r>
    </w:p>
    <w:p w14:paraId="2CBD7729" w14:textId="730890BE" w:rsidR="00585B8A" w:rsidRDefault="00585B8A" w:rsidP="00D736C3">
      <w:pPr>
        <w:pStyle w:val="Text"/>
        <w:ind w:firstLine="0"/>
      </w:pPr>
      <w:r w:rsidRPr="00585B8A">
        <w:t>Neoadjuvant chemotherapy is the administration of chemotherapeutic agents before a standard treatment. The current standard treatment for muscle-invasive bladder cancer</w:t>
      </w:r>
      <w:r w:rsidR="00D12857">
        <w:t xml:space="preserve"> (MIBC)</w:t>
      </w:r>
      <w:r w:rsidRPr="00585B8A">
        <w:t xml:space="preserve"> is radical cystectomy, which is the surgical removal of all or part of the bladder. The rationale for the administration of chemotherapy prior to cystectomy is that it can help treat micrometastatic diseases and downstage the diagnosed tumour so that there is an increase potential for complete resection of the tumour </w:t>
      </w:r>
      <w:r w:rsidR="007B3A63">
        <w:fldChar w:fldCharType="begin" w:fldLock="1"/>
      </w:r>
      <w:r w:rsidR="007B3A63">
        <w:instrText>ADDIN CSL_CITATION { "citationItems" : [ { "id" : "ITEM-1", "itemData" : { "DOI" : "10.1155/2012/364919", "ISSN" : "16876369", "PMID" : "22400017", "abstract" : "Platinum-based chemotherapy is commonly used for the treatment of locally advanced and metastatic bladder cancer. However, there are currently no methods to predict chemotherapy response in this disease setting. A better understanding of the biology of bladder cancer has led to developments of molecular biomarkers that may help guide clinical decision making. These biomarkers, while promising, have not yet been validated in prospective trials and are not ready for clinical applications. As alkylating agents, platinum drugs kill cancer cells mainly through induction of DNA damage. A microdosing approach is currently being tested to determine if chemoresistance can be identified by measuring platinum-induced DNA damage using highly sensitive accelerator mass spectrometry technology. The hope is that these emerging strategies will help pave the road towards personalized therapy in advanced bladder cancer.", "author" : [ { "dropping-particle" : "", "family" : "Chang", "given" : "James S.", "non-dropping-particle" : "", "parse-names" : false, "suffix" : "" }, { "dropping-particle" : "", "family" : "Lara", "given" : "Primo N.", "non-dropping-particle" : "", "parse-names" : false, "suffix" : "" }, { "dropping-particle" : "", "family" : "Pan", "given" : "Chong Xian", "non-dropping-particle" : "", "parse-names" : false, "suffix" : "" } ], "container-title" : "Advances in Urology", "id" : "ITEM-1", "issued" : { "date-parts" : [ [ "2012" ] ] }, "title" : "Progress in personalizing chemotherapy for bladder cancer", "type" : "article-journal", "volume" : "2012" }, "uris" : [ "http://www.mendeley.com/documents/?uuid=4670767a-19e0-468f-b898-0ff74c95b169" ] } ], "mendeley" : { "formattedCitation" : "[2]", "plainTextFormattedCitation" : "[2]", "previouslyFormattedCitation" : "[2]" }, "properties" : { "noteIndex" : 0 }, "schema" : "https://github.com/citation-style-language/schema/raw/master/csl-citation.json" }</w:instrText>
      </w:r>
      <w:r w:rsidR="007B3A63">
        <w:fldChar w:fldCharType="separate"/>
      </w:r>
      <w:r w:rsidR="007B3A63" w:rsidRPr="007B3A63">
        <w:rPr>
          <w:noProof/>
        </w:rPr>
        <w:t>[2]</w:t>
      </w:r>
      <w:r w:rsidR="007B3A63">
        <w:fldChar w:fldCharType="end"/>
      </w:r>
      <w:r w:rsidRPr="00585B8A">
        <w:t>. It has been shown that compared to radical cystectomy alone, the u</w:t>
      </w:r>
      <w:r w:rsidR="00484E72">
        <w:t xml:space="preserve">se of neoadjuvant chemotherapy </w:t>
      </w:r>
      <w:r w:rsidRPr="00585B8A">
        <w:t xml:space="preserve">followed by radical cystectomy increases the likelihood of eliminating residual cancer in the cystectomy specimen and is associated with improved survival among patients with locally advanced bladder cancer </w:t>
      </w:r>
      <w:r w:rsidR="007B3A63">
        <w:fldChar w:fldCharType="begin" w:fldLock="1"/>
      </w:r>
      <w:r w:rsidR="007B3A63">
        <w:instrText>ADDIN CSL_CITATION { "citationItems" : [ { "id" : "ITEM-1", "itemData" : { "DOI" : "10.1056/NEJMoa022148", "ISBN" : "1533-4406", "ISSN" : "1533-4406", "PMID" : "12944571", "abstract" : "BACKGROUND: Despite aggressive local therapy, patients with locally advanced bladder cancer are at significant risk for metastases. We evaluated the ability of neoadjuvant chemotherapy to improve the outcome in patients with locally advanced bladder cancer who were treated with radical cystectomy. METHODS: Patients were enrolled if they had muscle-invasive bladder cancer (stage T2 to T4a) and were to be treated with radical cystectomy. They were stratified according to age (less than 65 years vs. 65 years or older) and stage (superficial muscle invasion vs. more extensive disease) and were randomly assigned to radical cystectomy alone or three cycles of methotrexate, vinblastine, doxorubicin, and cisplatin followed by radical cystectomy. RESULTS: We enrolled 317 patients over an 11-year period, 10 of whom were found to be ineligible; thus, 154 were assigned to receive surgery alone and 153 to receive combination therapy. According to an intention-to-treat analysis, the median survival among patients assigned to surgery alone was 46 months, as compared with 77 months among patients assigned to combination therapy (P=0.06 by a two-sided stratified log-rank test). In both groups, improved survival was associated with the absence of residual cancer in the cystectomy specimen. Significantly more patients in the combination-therapy group had no residual disease than patients in the cystectomy group (38 percent vs. 15 percent, P&lt;0.001). CONCLUSIONS: As compared with radical cystectomy alone, the use of neoadjuvant methotrexate, vinblastine, doxorubicin, and cisplatin followed by radical cystectomy increases the likelihood of eliminating residual cancer in the cystectomy specimen and is associated with improved survival among patients with locally advanced bladder cancer.", "author" : [ { "dropping-particle" : "", "family" : "Grossman", "given" : "H Barton", "non-dropping-particle" : "", "parse-names" : false, "suffix" : "" }, { "dropping-particle" : "", "family" : "Natale", "given" : "Ronald B", "non-dropping-particle" : "", "parse-names" : false, "suffix" : "" }, { "dropping-particle" : "", "family" : "Tangen", "given" : "Catherine M", "non-dropping-particle" : "", "parse-names" : false, "suffix" : "" }, { "dropping-particle" : "", "family" : "Speights", "given" : "V O", "non-dropping-particle" : "", "parse-names" : false, "suffix" : "" }, { "dropping-particle" : "", "family" : "Vogelzang", "given" : "Nicholas J", "non-dropping-particle" : "", "parse-names" : false, "suffix" : "" }, { "dropping-particle" : "", "family" : "Trump", "given" : "Donald L", "non-dropping-particle" : "", "parse-names" : false, "suffix" : "" }, { "dropping-particle" : "", "family" : "deVere White", "given" : "Ralph W", "non-dropping-particle" : "", "parse-names" : false, "suffix" : "" }, { "dropping-particle" : "", "family" : "Sarosdy", "given" : "Michael F", "non-dropping-particle" : "", "parse-names" : false, "suffix" : "" }, { "dropping-particle" : "", "family" : "Wood", "given" : "David P", "non-dropping-particle" : "", "parse-names" : false, "suffix" : "" }, { "dropping-particle" : "", "family" : "Raghavan", "given" : "Derek", "non-dropping-particle" : "", "parse-names" : false, "suffix" : "" }, { "dropping-particle" : "", "family" : "Crawford", "given" : "E David", "non-dropping-particle" : "", "parse-names" : false, "suffix" : "" } ], "container-title" : "The New England journal of medicine", "id" : "ITEM-1", "issued" : { "date-parts" : [ [ "2003" ] ] }, "page" : "859-866", "title" : "Neoadjuvant chemotherapy plus cystectomy compared with cystectomy alone for locally advanced bladder cancer.", "type" : "article-journal", "volume" : "349" }, "uris" : [ "http://www.mendeley.com/documents/?uuid=572c6614-2fb7-468b-a5ae-0c0f987e6536" ] } ], "mendeley" : { "formattedCitation" : "[3]", "plainTextFormattedCitation" : "[3]", "previouslyFormattedCitation" : "[3]" }, "properties" : { "noteIndex" : 0 }, "schema" : "https://github.com/citation-style-language/schema/raw/master/csl-citation.json" }</w:instrText>
      </w:r>
      <w:r w:rsidR="007B3A63">
        <w:fldChar w:fldCharType="separate"/>
      </w:r>
      <w:r w:rsidR="007B3A63" w:rsidRPr="007B3A63">
        <w:rPr>
          <w:noProof/>
        </w:rPr>
        <w:t>[3]</w:t>
      </w:r>
      <w:r w:rsidR="007B3A63">
        <w:fldChar w:fldCharType="end"/>
      </w:r>
      <w:r w:rsidRPr="00585B8A">
        <w:t>. However, the overall response rate of neoadjuvant che</w:t>
      </w:r>
      <w:r w:rsidR="007B3A63">
        <w:t xml:space="preserve">motherapy is only 50% to 60% </w:t>
      </w:r>
      <w:r w:rsidR="007B3A63">
        <w:fldChar w:fldCharType="begin" w:fldLock="1"/>
      </w:r>
      <w:r w:rsidR="00CE1431">
        <w:instrText>ADDIN CSL_CITATION { "citationItems" : [ { "id" : "ITEM-1", "itemData" : { "DOI" : "10.1200/JCO.2010.32.3139", "ISBN" : "1527-7755 (Electronic)\\n0732-183X (Linking)", "ISSN" : "0732183X", "PMID" : "21502557", "abstract" : "This article presents the long-term results of the international multicenter randomized trial that investigated the use of neoadjuvant cisplatin, methotrexate, and vinblastine (CMV) chemotherapy in patients with muscle-invasive urothelial cancer of the bladder treated by cystectomy and/or radiotherapy. Nine hundred seventy-six patients were recruited between 1989 and 1995, and median follow-up is now 8.0 years.", "author" : [ { "dropping-particle" : "", "family" : "Griffiths", "given" : "Gareth", "non-dropping-particle" : "", "parse-names" : false, "suffix" : "" } ], "container-title" : "Journal of Clinical Oncology", "id" : "ITEM-1", "issue" : "16", "issued" : { "date-parts" : [ [ "2011" ] ] }, "page" : "2171-2177", "title" : "International phase III trial assessing neoadjuvant cisplatin, methotrexate, and vinblastine chemotherapy for muscle-invasive bladder cancer: Long-term results of the BA06 30894 trial", "type" : "article-journal", "volume" : "29" }, "uris" : [ "http://www.mendeley.com/documents/?uuid=cc098072-985f-4d9b-bf74-c49812dbcca9" ] } ], "mendeley" : { "formattedCitation" : "[4]", "plainTextFormattedCitation" : "[4]", "previouslyFormattedCitation" : "[4]" }, "properties" : { "noteIndex" : 0 }, "schema" : "https://github.com/citation-style-language/schema/raw/master/csl-citation.json" }</w:instrText>
      </w:r>
      <w:r w:rsidR="007B3A63">
        <w:fldChar w:fldCharType="separate"/>
      </w:r>
      <w:r w:rsidR="007B3A63" w:rsidRPr="007B3A63">
        <w:rPr>
          <w:noProof/>
        </w:rPr>
        <w:t>[4]</w:t>
      </w:r>
      <w:r w:rsidR="007B3A63">
        <w:fldChar w:fldCharType="end"/>
      </w:r>
      <w:r w:rsidRPr="00585B8A">
        <w:t>. Consequently</w:t>
      </w:r>
      <w:r w:rsidR="001C6092">
        <w:t xml:space="preserve">, </w:t>
      </w:r>
      <w:r w:rsidRPr="00585B8A">
        <w:t xml:space="preserve">neoadjuvant chemotherapy </w:t>
      </w:r>
      <w:r w:rsidR="001C6092">
        <w:t xml:space="preserve">negatively affects the health of non-responsive patients while they receive no benefit from the harmful treatment. </w:t>
      </w:r>
      <w:r w:rsidRPr="00585B8A">
        <w:t>Therefore, there is a critical need to predict those who will respond positively to neoadjuvant chemotherapy.</w:t>
      </w:r>
    </w:p>
    <w:p w14:paraId="15F33585" w14:textId="2307CFF4" w:rsidR="008F3CD9" w:rsidRDefault="00585B8A" w:rsidP="00D736C3">
      <w:pPr>
        <w:pStyle w:val="Text"/>
        <w:ind w:firstLine="0"/>
      </w:pPr>
      <w:r w:rsidRPr="00585B8A">
        <w:t>The expression of some genes have been found to have a correlation to chemotherapy response. BRCA1 plays a central role in DNA repair pathways. Font et al. found that patients with low/intermediate BRCA1 levels had a higher pathological response rate</w:t>
      </w:r>
      <w:r w:rsidR="00CE1431">
        <w:t xml:space="preserve"> than those with high levels </w:t>
      </w:r>
      <w:r w:rsidR="00CE1431">
        <w:fldChar w:fldCharType="begin" w:fldLock="1"/>
      </w:r>
      <w:r w:rsidR="00CE1431">
        <w:instrText>ADDIN CSL_CITATION { "citationItems" : [ { "id" : "ITEM-1", "itemData" : { "DOI" : "10.1093/annonc/mdq333", "ISBN" : "1569-8041", "ISSN" : "09237534", "PMID" : "20603439", "abstract" : "neoadjuvant chemotherapy has shown a modest benefit in muscle-invasive bladder cancer patients; however, the subset of patients most likely to benefit has not been identified. BRCA1 plays a central role in DNA repair pathways and low BRCA1 expression has been associated with sensitivity to cisplatin and longer survival in lung and ovarian cancer patients.", "author" : [ { "dropping-particle" : "", "family" : "Font", "given" : "A.", "non-dropping-particle" : "", "parse-names" : false, "suffix" : "" }, { "dropping-particle" : "", "family" : "Taron", "given" : "M.", "non-dropping-particle" : "", "parse-names" : false, "suffix" : "" }, { "dropping-particle" : "", "family" : "Gago", "given" : "J. L.", "non-dropping-particle" : "", "parse-names" : false, "suffix" : "" }, { "dropping-particle" : "", "family" : "Costa", "given" : "C.", "non-dropping-particle" : "", "parse-names" : false, "suffix" : "" }, { "dropping-particle" : "", "family" : "S\u00e1nchez", "given" : "J. J.", "non-dropping-particle" : "", "parse-names" : false, "suffix" : "" }, { "dropping-particle" : "", "family" : "Carrato", "given" : "C.", "non-dropping-particle" : "", "parse-names" : false, "suffix" : "" }, { "dropping-particle" : "", "family" : "Mora", "given" : "M.", "non-dropping-particle" : "", "parse-names" : false, "suffix" : "" }, { "dropping-particle" : "", "family" : "Celiz", "given" : "P.", "non-dropping-particle" : "", "parse-names" : false, "suffix" : "" }, { "dropping-particle" : "", "family" : "Perez", "given" : "L.", "non-dropping-particle" : "", "parse-names" : false, "suffix" : "" }, { "dropping-particle" : "", "family" : "Rodr\u00edguez", "given" : "D.", "non-dropping-particle" : "", "parse-names" : false, "suffix" : "" }, { "dropping-particle" : "", "family" : "Gimenez-Capitan", "given" : "A.", "non-dropping-particle" : "", "parse-names" : false, "suffix" : "" }, { "dropping-particle" : "", "family" : "Quiroga", "given" : "V.", "non-dropping-particle" : "", "parse-names" : false, "suffix" : "" }, { "dropping-particle" : "", "family" : "Benlloch", "given" : "S.", "non-dropping-particle" : "", "parse-names" : false, "suffix" : "" }, { "dropping-particle" : "", "family" : "Ibarz", "given" : "L.", "non-dropping-particle" : "", "parse-names" : false, "suffix" : "" }, { "dropping-particle" : "", "family" : "Rosell", "given" : "R.", "non-dropping-particle" : "", "parse-names" : false, "suffix" : "" } ], "container-title" : "Annals of Oncology", "id" : "ITEM-1", "issue" : "July 2010", "issued" : { "date-parts" : [ [ "2011" ] ] }, "page" : "139-144", "title" : "BRCA1 mRNA expression and outcome to neoadjuvant cisplatin-based chemotherapy in bladder cancer", "type" : "article-journal", "volume" : "22" }, "uris" : [ "http://www.mendeley.com/documents/?uuid=0526e791-7c93-4147-8b2f-4a12a5b887bd" ] } ], "mendeley" : { "formattedCitation" : "[5]", "plainTextFormattedCitation" : "[5]", "previouslyFormattedCitation" : "[5]" }, "properties" : { "noteIndex" : 0 }, "schema" : "https://github.com/citation-style-language/schema/raw/master/csl-citation.json" }</w:instrText>
      </w:r>
      <w:r w:rsidR="00CE1431">
        <w:fldChar w:fldCharType="separate"/>
      </w:r>
      <w:r w:rsidR="00CE1431" w:rsidRPr="00CE1431">
        <w:rPr>
          <w:noProof/>
        </w:rPr>
        <w:t>[5]</w:t>
      </w:r>
      <w:r w:rsidR="00CE1431">
        <w:fldChar w:fldCharType="end"/>
      </w:r>
      <w:r w:rsidRPr="00585B8A">
        <w:t>. Similarly, Kiss et al. observed that the overexpression of Bcl-2, an inhibitor of the apoptotic cascade, in chemotherapy-naive primary tumors is related to poor response to neoadjuvant chemotherapy, which might help discri</w:t>
      </w:r>
      <w:r w:rsidR="00CE1431">
        <w:t xml:space="preserve">minate likely non-responders </w:t>
      </w:r>
      <w:r w:rsidR="00CE1431">
        <w:fldChar w:fldCharType="begin" w:fldLock="1"/>
      </w:r>
      <w:r w:rsidR="008F3CD9">
        <w:instrText>ADDIN CSL_CITATION { "citationItems" : [ { "id" : "ITEM-1", "itemData" : { "DOI" : "10.1016/j.urolonc.2014.12.005", "ISSN" : "1078-1439", "author" : [ { "dropping-particle" : "", "family" : "Kiss", "given" : "Bernhard", "non-dropping-particle" : "", "parse-names" : false, "suffix" : "" }, { "dropping-particle" : "", "family" : "D", "given" : "M", "non-dropping-particle" : "", "parse-names" : false, "suffix" : "" }, { "dropping-particle" : "", "family" : "Skuginna", "given" : "Veronika", "non-dropping-particle" : "", "parse-names" : false, "suffix" : "" }, { "dropping-particle" : "", "family" : "D", "given" : "M", "non-dropping-particle" : "", "parse-names" : false, "suffix" : "" }, { "dropping-particle" : "", "family" : "Fleischmann", "given" : "Achim", "non-dropping-particle" : "", "parse-names" : false, "suffix" : "" }, { "dropping-particle" : "", "family" : "D", "given" : "M", "non-dropping-particle" : "", "parse-names" : false, "suffix" : "" }, { "dropping-particle" : "", "family" : "Bell", "given" : "Robert H", "non-dropping-particle" : "", "parse-names" : false, "suffix" : "" }, { "dropping-particle" : "", "family" : "Collins", "given" : "Colin", "non-dropping-particle" : "", "parse-names" : false, "suffix" : "" }, { "dropping-particle" : "", "family" : "Ph", "given" : "D", "non-dropping-particle" : "", "parse-names" : false, "suffix" : "" }, { "dropping-particle" : "", "family" : "Thalmann", "given" : "George N", "non-dropping-particle" : "", "parse-names" : false, "suffix" : "" }, { "dropping-particle" : "", "family" : "D", "given" : "M", "non-dropping-particle" : "", "parse-names" : false, "suffix" : "" }, { "dropping-particle" : "", "family" : "Seiler", "given" : "Roland", "non-dropping-particle" : "", "parse-names" : false, "suffix" : "" }, { "dropping-particle" : "", "family" : "D", "given" : "M", "non-dropping-particle" : "", "parse-names" : false, "suffix" : "" } ], "container-title" : "Urologic Oncology: Seminars and Original Investigations", "id" : "ITEM-1", "issued" : { "date-parts" : [ [ "2015" ] ] }, "page" : "1-8", "publisher" : "Elsevier", "title" : "Bcl-2 predicts response to neoadjuvant chemotherapy and is overexpressed in lymph node metastases of urothelial cancer of the bladder", "type" : "article-journal" }, "uris" : [ "http://www.mendeley.com/documents/?uuid=5721cb47-5a0a-4a2a-adbe-a0c19dc3ea2e" ] } ], "mendeley" : { "formattedCitation" : "[6]", "plainTextFormattedCitation" : "[6]", "previouslyFormattedCitation" : "[6]" }, "properties" : { "noteIndex" : 0 }, "schema" : "https://github.com/citation-style-language/schema/raw/master/csl-citation.json" }</w:instrText>
      </w:r>
      <w:r w:rsidR="00CE1431">
        <w:fldChar w:fldCharType="separate"/>
      </w:r>
      <w:r w:rsidR="00CE1431" w:rsidRPr="00CE1431">
        <w:rPr>
          <w:noProof/>
        </w:rPr>
        <w:t>[6]</w:t>
      </w:r>
      <w:r w:rsidR="00CE1431">
        <w:fldChar w:fldCharType="end"/>
      </w:r>
      <w:r w:rsidRPr="00585B8A">
        <w:t>. The expression of genes, such as BRCA1 and Bcl-2, are examples of features that can be used to distinguish responder vs non-responder.</w:t>
      </w:r>
    </w:p>
    <w:p w14:paraId="50E4DF2F" w14:textId="68623891" w:rsidR="00A030FE" w:rsidRDefault="00A030FE" w:rsidP="00D736C3">
      <w:pPr>
        <w:pStyle w:val="Text"/>
        <w:ind w:firstLine="0"/>
      </w:pPr>
      <w:r>
        <w:t xml:space="preserve">Furthermore, muscle-invasive bladder cancers </w:t>
      </w:r>
      <w:r w:rsidR="006457E6" w:rsidRPr="006457E6">
        <w:t>are biologically heterogeneous</w:t>
      </w:r>
      <w:r w:rsidR="006457E6">
        <w:t xml:space="preserve"> and can be stratified into</w:t>
      </w:r>
      <w:r>
        <w:t xml:space="preserve"> </w:t>
      </w:r>
      <w:r w:rsidR="006457E6">
        <w:t xml:space="preserve">2-4 </w:t>
      </w:r>
      <w:r>
        <w:t xml:space="preserve">subtypes, such as </w:t>
      </w:r>
      <w:r w:rsidR="006457E6">
        <w:t xml:space="preserve">basal, luminal, and p53-like </w:t>
      </w:r>
      <w:r w:rsidR="006457E6">
        <w:fldChar w:fldCharType="begin" w:fldLock="1"/>
      </w:r>
      <w:r w:rsidR="006457E6">
        <w:instrText>ADDIN CSL_CITATION { "citationItems" : [ { "id" : "ITEM-1", "itemData" : { "author" : [ { "dropping-particle" : "", "family" : "Mcconkey", "given" : "David J", "non-dropping-particle" : "", "parse-names" : false, "suffix" : "" }, { "dropping-particle" : "", "family" : "Choi", "given" : "Woonyoung", "non-dropping-particle" : "", "parse-names" : false, "suffix" : "" }, { "dropping-particle" : "", "family" : "Dinney", "given" : "Colin P N", "non-dropping-particle" : "", "parse-names" : false, "suffix" : "" } ], "id" : "ITEM-1", "issued" : { "date-parts" : [ [ "2014" ] ] }, "page" : "609-610", "title" : "New Insights into Subtypes of Invasive Bladder Cancer : Considerations of the Clinician", "type" : "article-journal", "volume" : "66" }, "uris" : [ "http://www.mendeley.com/documents/?uuid=9f653503-91cf-402e-80e8-0a5bf4a31f20" ] } ], "mendeley" : { "formattedCitation" : "[7]", "plainTextFormattedCitation" : "[7]", "previouslyFormattedCitation" : "[7]" }, "properties" : { "noteIndex" : 0 }, "schema" : "https://github.com/citation-style-language/schema/raw/master/csl-citation.json" }</w:instrText>
      </w:r>
      <w:r w:rsidR="006457E6">
        <w:fldChar w:fldCharType="separate"/>
      </w:r>
      <w:r w:rsidR="006457E6" w:rsidRPr="006457E6">
        <w:rPr>
          <w:noProof/>
        </w:rPr>
        <w:t>[7]</w:t>
      </w:r>
      <w:r w:rsidR="006457E6">
        <w:fldChar w:fldCharType="end"/>
      </w:r>
      <w:r w:rsidR="006457E6">
        <w:t>. These subtypes can have</w:t>
      </w:r>
      <w:r w:rsidR="006457E6" w:rsidRPr="006457E6">
        <w:t xml:space="preserve"> widely variable clinical outcomes and responses to conventional chemotherapy</w:t>
      </w:r>
      <w:r w:rsidR="00D12857">
        <w:t xml:space="preserve"> </w:t>
      </w:r>
      <w:r w:rsidR="00D12857">
        <w:fldChar w:fldCharType="begin" w:fldLock="1"/>
      </w:r>
      <w:r w:rsidR="00A53744">
        <w:instrText>ADDIN CSL_CITATION { "citationItems" : [ { "id" : "ITEM-1", "itemData" : { "DOI" : "10.1016/j.ccr.2014.01.009.Identification", "author" : [ { "dropping-particle" : "", "family" : "Choi", "given" : "Woonyoung", "non-dropping-particle" : "", "parse-names" : false, "suffix" : "" }, { "dropping-particle" : "", "family" : "Porten", "given" : "Sima", "non-dropping-particle" : "", "parse-names" : false, "suffix" : "" }, { "dropping-particle" : "", "family" : "Kim", "given" : "Seungchan", "non-dropping-particle" : "", "parse-names" : false, "suffix" : "" }, { "dropping-particle" : "", "family" : "Willis", "given" : "Daniel", "non-dropping-particle" : "", "parse-names" : false, "suffix" : "" }, { "dropping-particle" : "", "family" : "Plimack", "given" : "Elizabeth R", "non-dropping-particle" : "", "parse-names" : false, "suffix" : "" }, { "dropping-particle" : "", "family" : "Roth", "given" : "Beat", "non-dropping-particle" : "", "parse-names" : false, "suffix" : "" }, { "dropping-particle" : "", "family" : "Cheng", "given" : "Tiewei", "non-dropping-particle" : "", "parse-names" : false, "suffix" : "" }, { "dropping-particle" : "", "family" : "Tran", "given" : "Mai", "non-dropping-particle" : "", "parse-names" : false, "suffix" : "" }, { "dropping-particle" : "", "family" : "Lee", "given" : "I-ling", "non-dropping-particle" : "", "parse-names" : false, "suffix" : "" }, { "dropping-particle" : "", "family" : "Melquist", "given" : "Jonathan", "non-dropping-particle" : "", "parse-names" : false, "suffix" : "" }, { "dropping-particle" : "", "family" : "Bondaruk", "given" : "Jolanta", "non-dropping-particle" : "", "parse-names" : false, "suffix" : "" }, { "dropping-particle" : "", "family" : "Majewski", "given" : "Tadeusz", "non-dropping-particle" : "", "parse-names" : false, "suffix" : "" }, { "dropping-particle" : "", "family" : "Zhang", "given" : "Shizhen", "non-dropping-particle" : "", "parse-names" : false, "suffix" : "" }, { "dropping-particle" : "", "family" : "Pretzsch", "given" : "Shanna", "non-dropping-particle" : "", "parse-names" : false, "suffix" : "" }, { "dropping-particle" : "", "family" : "Baggerly", "given" : "Keith", "non-dropping-particle" : "", "parse-names" : false, "suffix" : "" } ], "id" : "ITEM-1", "issue" : "2", "issued" : { "date-parts" : [ [ "2014" ] ] }, "page" : "152-165", "title" : "chemotherapy", "type" : "article-journal", "volume" : "25" }, "uris" : [ "http://www.mendeley.com/documents/?uuid=d4c331e6-e9f9-4b77-b785-91ef77cdc02a" ] } ], "mendeley" : { "formattedCitation" : "[8]", "plainTextFormattedCitation" : "[8]", "previouslyFormattedCitation" : "[8]" }, "properties" : { "noteIndex" : 0 }, "schema" : "https://github.com/citation-style-language/schema/raw/master/csl-citation.json" }</w:instrText>
      </w:r>
      <w:r w:rsidR="00D12857">
        <w:fldChar w:fldCharType="separate"/>
      </w:r>
      <w:r w:rsidR="001356A9" w:rsidRPr="001356A9">
        <w:rPr>
          <w:noProof/>
        </w:rPr>
        <w:t>[8]</w:t>
      </w:r>
      <w:r w:rsidR="00D12857">
        <w:fldChar w:fldCharType="end"/>
      </w:r>
      <w:r w:rsidR="00D12857">
        <w:t xml:space="preserve">. Specifically, p53-like MIBC </w:t>
      </w:r>
      <w:r w:rsidR="00D12857" w:rsidRPr="00D12857">
        <w:t>were consistently resistant to neoadjuvant MVAC chemotherapy, and all chemoresistant tumors adopted a p53-like phenotype after therapy</w:t>
      </w:r>
      <w:r w:rsidR="00D12857">
        <w:t xml:space="preserve">. </w:t>
      </w:r>
      <w:r w:rsidR="003C7FF1">
        <w:t xml:space="preserve">Therefore, identifying subtypes can be another useful approach to predicting response to chemotherapy. </w:t>
      </w:r>
    </w:p>
    <w:p w14:paraId="4AC003A7" w14:textId="78C71D87" w:rsidR="008E67E0" w:rsidRDefault="00585B8A" w:rsidP="00D736C3">
      <w:pPr>
        <w:pStyle w:val="Text"/>
        <w:ind w:firstLine="0"/>
      </w:pPr>
      <w:r w:rsidRPr="00585B8A">
        <w:t xml:space="preserve">Various groups have come up with different methods to predict patient response to chemotherapy. </w:t>
      </w:r>
      <w:r w:rsidR="00A61BC7">
        <w:t>One approach uses</w:t>
      </w:r>
      <w:r w:rsidRPr="00585B8A">
        <w:t xml:space="preserve"> a method called coexpression extrapolation (COXEN) derived from expression microarray data of the National Cancer Institute (NCI)-60 cell line panel to predict drug sensitivity </w:t>
      </w:r>
      <w:r w:rsidR="00EA5078">
        <w:t xml:space="preserve">of bladder cancer cell lines </w:t>
      </w:r>
      <w:r w:rsidR="00EA5078">
        <w:fldChar w:fldCharType="begin" w:fldLock="1"/>
      </w:r>
      <w:r w:rsidR="00A53744">
        <w:instrText>ADDIN CSL_CITATION { "citationItems" : [ { "id" : "ITEM-1", "itemData" : { "DOI" : "10.1016/j.juro.2007.10.016", "ISBN" : "0027-8424 (Print)", "ISSN" : "00225347", "PMID" : "17666531", "abstract" : "The U.S. National Cancer Institute has used a panel of 60 diverse human cancer cell lines (the NCI-60) to screen &gt;100,000 chemical compounds for anticancer activity. However, not all important cancer types are included in the panel, nor are drug responses of the panel predictive of clinical efficacy in patients. We asked, therefore, whether it would be possible to extrapolate from that rich database (or analogous ones from other drug screens) to predict activity in cell types not included or, for that matter, clinical responses in patients with tumors. We address that challenge by developing and applying an algorithm we term \"coexpression extrapolation\" (COXEN). COXEN uses expression microarray data as a Rosetta Stone for translating from drug activities in the NCI-60 to drug activities in any other cell panel or set of clinical tumors. Here, we show that COXEN can accurately predict drug sensitivity of bladder cancer cell lines and clinical responses of breast cancer patients treated with commonly used chemotherapeutic drugs. Furthermore, we used COXEN for in silico screening of 45,545 compounds and identify an agent with activity against human bladder cancer.", "author" : [ { "dropping-particle" : "", "family" : "Lee", "given" : "J. K.", "non-dropping-particle" : "", "parse-names" : false, "suffix" : "" }, { "dropping-particle" : "", "family" : "Havaleshko", "given" : "D. M.", "non-dropping-particle" : "", "parse-names" : false, "suffix" : "" }, { "dropping-particle" : "", "family" : "Cho", "given" : "H.", "non-dropping-particle" : "", "parse-names" : false, "suffix" : "" }, { "dropping-particle" : "", "family" : "Weinstein", "given" : "J. N.", "non-dropping-particle" : "", "parse-names" : false, "suffix" : "" }, { "dropping-particle" : "", "family" : "Kaldjian", "given" : "E. P.", "non-dropping-particle" : "", "parse-names" : false, "suffix" : "" }, { "dropping-particle" : "", "family" : "Karpovich", "given" : "J.", "non-dropping-particle" : "", "parse-names" : false, "suffix" : "" }, { "dropping-particle" : "", "family" : "Grimshaw", "given" : "a.", "non-dropping-particle" : "", "parse-names" : false, "suffix" : "" }, { "dropping-particle" : "", "family" : "Theodorescu", "given" : "D.", "non-dropping-particle" : "", "parse-names" : false, "suffix" : "" } ], "container-title" : "Journal of Urology", "id" : "ITEM-1", "issued" : { "date-parts" : [ [ "2008" ] ] }, "page" : "787", "title" : "A strategy for predicting the chemosensitivity of human cancers and its application to drug discovery", "type" : "article-journal", "volume" : "179" }, "uris" : [ "http://www.mendeley.com/documents/?uuid=9db9830c-2c4d-4852-bbf9-5ac4bc2f690d" ] } ], "mendeley" : { "formattedCitation" : "[9]", "plainTextFormattedCitation" : "[9]", "previouslyFormattedCitation" : "[9]" }, "properties" : { "noteIndex" : 0 }, "schema" : "https://github.com/citation-style-language/schema/raw/master/csl-citation.json" }</w:instrText>
      </w:r>
      <w:r w:rsidR="00EA5078">
        <w:fldChar w:fldCharType="separate"/>
      </w:r>
      <w:r w:rsidR="001356A9" w:rsidRPr="001356A9">
        <w:rPr>
          <w:noProof/>
        </w:rPr>
        <w:t>[9]</w:t>
      </w:r>
      <w:r w:rsidR="00EA5078">
        <w:fldChar w:fldCharType="end"/>
      </w:r>
      <w:r w:rsidR="00EA5078">
        <w:t xml:space="preserve">, </w:t>
      </w:r>
      <w:r w:rsidR="00EA5078">
        <w:fldChar w:fldCharType="begin" w:fldLock="1"/>
      </w:r>
      <w:r w:rsidR="00A53744">
        <w:instrText>ADDIN CSL_CITATION { "citationItems" : [ { "id" : "ITEM-1", "itemData" : { "DOI" : "10.1158/0008-5472.CAN-09-3562", "ISBN" : "1538-7445", "ISSN" : "00085472", "PMID" : "20160033", "abstract" : "Substantial effort has been devoted to in vitro testing of candidate chemotherapeutic agents. In particular, the United States National Cancer Institute Developmental Therapeutics Program (NCI-DTP) Human Tumor Cell Line Screen has screened hundreds of thousands of compounds and extracts, for which data on more than 40,000 compounds tested on a panel of 60 cancer cell lines (NCI-60) are publically available. In tandem, gene expression profiling has brought about a sea change in our understanding of cancer biology, allowing discovery of biomarkers or signatures able to characterize, classify, and prognosticate clinical behavior of human tumors. Recent studies have used tumor profiling matched to clinical trial outcome data to derive gene expression models predicting therapeutic outcomes, though such efforts are costly, time-consuming, tumor type-specific, and not amenable to rare diseases. Furthermore, addition of new or established drugs to multidrug combinations in which such models are already available requires the entire model to be re-derived. Can the aforementioned in vitro testing platform, coupled to the universal language of genomics, be used to develop, a priori, gene expression models predictive of clinical outcomes? Recent advances, including the CO-eXpression ExtrapolatioN (COXEN) algorithm, suggest that development of these models may be possible and raise important implications for future trial design and drug discovery.", "author" : [ { "dropping-particle" : "", "family" : "Smith", "given" : "Steven C.", "non-dropping-particle" : "", "parse-names" : false, "suffix" : "" }, { "dropping-particle" : "", "family" : "Baras", "given" : "Alexander S.", "non-dropping-particle" : "", "parse-names" : false, "suffix" : "" }, { "dropping-particle" : "", "family" : "Lee", "given" : "Jae K.", "non-dropping-particle" : "", "parse-names" : false, "suffix" : "" }, { "dropping-particle" : "", "family" : "Theodorescu", "given" : "Dan", "non-dropping-particle" : "", "parse-names" : false, "suffix" : "" } ], "container-title" : "Cancer Research", "id" : "ITEM-1", "issued" : { "date-parts" : [ [ "2010" ] ] }, "page" : "1753-1758", "title" : "The COXEN principle: Translating signatures of in vitro chemosensitivity into tools for clinical outcome prediction and drug discovery in cancer", "type" : "article-journal", "volume" : "70" }, "uris" : [ "http://www.mendeley.com/documents/?uuid=ab661aab-dfd6-4c92-8987-33bf23df9bc9" ] } ], "mendeley" : { "formattedCitation" : "[10]", "plainTextFormattedCitation" : "[10]", "previouslyFormattedCitation" : "[10]" }, "properties" : { "noteIndex" : 0 }, "schema" : "https://github.com/citation-style-language/schema/raw/master/csl-citation.json" }</w:instrText>
      </w:r>
      <w:r w:rsidR="00EA5078">
        <w:fldChar w:fldCharType="separate"/>
      </w:r>
      <w:r w:rsidR="001356A9" w:rsidRPr="001356A9">
        <w:rPr>
          <w:noProof/>
        </w:rPr>
        <w:t>[10]</w:t>
      </w:r>
      <w:r w:rsidR="00EA5078">
        <w:fldChar w:fldCharType="end"/>
      </w:r>
      <w:r w:rsidRPr="00585B8A">
        <w:t xml:space="preserve">. To test its performance, they performed in vitro drug response experiments to determine the sensitivity of each bladder cell line to cisplatin and paclitaxel. For those cells, prediction accuracies averaged 85% for cisplatin and 78% for paclitaxel. </w:t>
      </w:r>
      <w:r w:rsidR="00423B1B">
        <w:t>A different</w:t>
      </w:r>
      <w:r w:rsidR="00A61BC7">
        <w:t xml:space="preserve"> group</w:t>
      </w:r>
      <w:r w:rsidRPr="00585B8A">
        <w:t xml:space="preserve"> study by Takata et al. predicted response to chemotherapy by selecting genes that discriminated responder vs non-responder then scored each sample by a</w:t>
      </w:r>
      <w:r w:rsidR="00EA5078">
        <w:t xml:space="preserve"> weighted-vote of each gene </w:t>
      </w:r>
      <w:r w:rsidR="00EA5078">
        <w:fldChar w:fldCharType="begin" w:fldLock="1"/>
      </w:r>
      <w:r w:rsidR="00A53744">
        <w:instrText>ADDIN CSL_CITATION { "citationItems" : [ { "id" : "ITEM-1", "itemData" : { "author" : [ { "dropping-particle" : "", "family" : "Takata", "given" : "R", "non-dropping-particle" : "", "parse-names" : false, "suffix" : "" }, { "dropping-particle" : "", "family" : "Katagiri", "given" : "T", "non-dropping-particle" : "", "parse-names" : false, "suffix" : "" }, { "dropping-particle" : "", "family" : "Kanehira", "given" : "M", "non-dropping-particle" : "", "parse-names" : false, "suffix" : "" }, { "dropping-particle" : "", "family" : "Tsunoda", "given" : "T", "non-dropping-particle" : "", "parse-names" : false, "suffix" : "" }, { "dropping-particle" : "", "family" : "Shuin", "given" : "T", "non-dropping-particle" : "", "parse-names" : false, "suffix" : "" }, { "dropping-particle" : "", "family" : "Miki", "given" : "T", "non-dropping-particle" : "", "parse-names" : false, "suffix" : "" }, { "dropping-particle" : "", "family" : "Namiki", "given" : "M", "non-dropping-particle" : "", "parse-names" : false, "suffix" : "" }, { "dropping-particle" : "", "family" : "Kohri", "given" : "K", "non-dropping-particle" : "", "parse-names" : false, "suffix" : "" }, { "dropping-particle" : "", "family" : "Matsushita", "given" : "Y", "non-dropping-particle" : "", "parse-names" : false, "suffix" : "" }, { "dropping-particle" : "", "family" : "Fujioka", "given" : "T", "non-dropping-particle" : "", "parse-names" : false, "suffix" : "" }, { "dropping-particle" : "", "family" : "Nakamura", "given" : "Y", "non-dropping-particle" : "", "parse-names" : false, "suffix" : "" } ], "container-title" : "Clin Cancer Res", "id" : "ITEM-1", "issue" : "7", "issued" : { "date-parts" : [ [ "2005" ] ] }, "page" : "2625-2636", "title" : "Predicting Response toMethotrexate,Vinblastine, Doxorubicin, and Cisplatin Neoadjuvant Chemotherapy for Bladder Cancers through Genome-Wide Gene Expression Profiling", "type" : "article-journal", "volume" : "11" }, "uris" : [ "http://www.mendeley.com/documents/?uuid=03741fcb-5d1d-4f53-bcd9-faf7936dd7fc" ] } ], "mendeley" : { "formattedCitation" : "[11]", "plainTextFormattedCitation" : "[11]", "previouslyFormattedCitation" : "[11]" }, "properties" : { "noteIndex" : 0 }, "schema" : "https://github.com/citation-style-language/schema/raw/master/csl-citation.json" }</w:instrText>
      </w:r>
      <w:r w:rsidR="00EA5078">
        <w:fldChar w:fldCharType="separate"/>
      </w:r>
      <w:r w:rsidR="001356A9" w:rsidRPr="001356A9">
        <w:rPr>
          <w:noProof/>
        </w:rPr>
        <w:t>[11]</w:t>
      </w:r>
      <w:r w:rsidR="00EA5078">
        <w:fldChar w:fldCharType="end"/>
      </w:r>
      <w:r w:rsidRPr="00585B8A">
        <w:t xml:space="preserve">. In a validation study, they applied their method to 22 additional cases of bladder cancer patients and found that the scoring system correctly predicted clinical response for 19 of the 22 test cases (see </w:t>
      </w:r>
      <w:r w:rsidR="00C24E1F">
        <w:t>Supplemental Fig. 5</w:t>
      </w:r>
      <w:r w:rsidRPr="00585B8A">
        <w:t xml:space="preserve"> for the distribution </w:t>
      </w:r>
      <w:r w:rsidR="00EA5078">
        <w:t xml:space="preserve">of their prediction scores) </w:t>
      </w:r>
      <w:r w:rsidR="00EA5078">
        <w:fldChar w:fldCharType="begin" w:fldLock="1"/>
      </w:r>
      <w:r w:rsidR="00A53744">
        <w:instrText>ADDIN CSL_CITATION { "citationItems" : [ { "id" : "ITEM-1", "itemData" : { "DOI" : "10.1111/j.1349-7006.2006.00366.x", "ISBN" : "1347-9032", "ISSN" : "13479032", "PMID" : "17116130", "abstract" : "To predict the efficacy of the M-VAC neoadjuvant chemotherapy for invasive bladder cancers, we previously established the method to calculate the prediction score on the basis of expression profiles of 14 predictive genes. This scoring system had clearly distinguished the responder group from the non-responder group. To further validate the clinical significance of the system, we applied it to 22 additional cases of bladder cancer patients and found that the scoring system correctly predicted clinical response for 19 of the 22 test cases. The group of patients with positive predictive scores had significantly longer survival than that with negative scores. When we compared our results with a previous report describing the prognosis of the patients with cystectomy alone, the results imply that patients with positive scores are likely to benefit from M-VAC neoadjuvant chemotherapy, but that the chemotherapy would shorten the lives of patients with negative scores. We are confident that our prediction system to M-VAC therapy should provide opportunities for achieving better prognosis and improving the quality of life of patients. Taken together, our data suggest that the goal of 'personalized medicine', prescribing the appropriate treatment regimen for each patient, may be achievable by selecting specific sets of genes for their predictive values according to the approach shown here.", "author" : [ { "dropping-particle" : "", "family" : "Takata", "given" : "Ryo", "non-dropping-particle" : "", "parse-names" : false, "suffix" : "" }, { "dropping-particle" : "", "family" : "Katagiri", "given" : "Toyomasa", "non-dropping-particle" : "", "parse-names" : false, "suffix" : "" }, { "dropping-particle" : "", "family" : "Kanehira", "given" : "Mitsugu", "non-dropping-particle" : "", "parse-names" : false, "suffix" : "" }, { "dropping-particle" : "", "family" : "Shuin", "given" : "Taro", "non-dropping-particle" : "", "parse-names" : false, "suffix" : "" }, { "dropping-particle" : "", "family" : "Miki", "given" : "Tsuneharu", "non-dropping-particle" : "", "parse-names" : false, "suffix" : "" }, { "dropping-particle" : "", "family" : "Namiki", "given" : "Mikio", "non-dropping-particle" : "", "parse-names" : false, "suffix" : "" }, { "dropping-particle" : "", "family" : "Kohri", "given" : "Kenjiro", "non-dropping-particle" : "", "parse-names" : false, "suffix" : "" }, { "dropping-particle" : "", "family" : "Tsunoda", "given" : "Tatsuhiko", "non-dropping-particle" : "", "parse-names" : false, "suffix" : "" }, { "dropping-particle" : "", "family" : "Fujioka", "given" : "Tomoaki", "non-dropping-particle" : "", "parse-names" : false, "suffix" : "" }, { "dropping-particle" : "", "family" : "Nakamura", "given" : "Yusuke", "non-dropping-particle" : "", "parse-names" : false, "suffix" : "" } ], "container-title" : "Cancer Science", "id" : "ITEM-1", "issue" : "1", "issued" : { "date-parts" : [ [ "2007" ] ] }, "page" : "113-117", "title" : "Validation study of the prediction system for clinical response of M-VAC neoadjuvant chemotherapy", "type" : "article-journal", "volume" : "98" }, "uris" : [ "http://www.mendeley.com/documents/?uuid=bcaba94b-a1ac-4452-89a6-f1d086c520c2" ] } ], "mendeley" : { "formattedCitation" : "[12]", "plainTextFormattedCitation" : "[12]", "previouslyFormattedCitation" : "[12]" }, "properties" : { "noteIndex" : 0 }, "schema" : "https://github.com/citation-style-language/schema/raw/master/csl-citation.json" }</w:instrText>
      </w:r>
      <w:r w:rsidR="00EA5078">
        <w:fldChar w:fldCharType="separate"/>
      </w:r>
      <w:r w:rsidR="001356A9" w:rsidRPr="001356A9">
        <w:rPr>
          <w:noProof/>
        </w:rPr>
        <w:t>[12]</w:t>
      </w:r>
      <w:r w:rsidR="00EA5078">
        <w:fldChar w:fldCharType="end"/>
      </w:r>
      <w:r w:rsidRPr="00585B8A">
        <w:t>.</w:t>
      </w:r>
      <w:r w:rsidR="00C24E1F">
        <w:t xml:space="preserve"> In 2011, the same group applied their method to </w:t>
      </w:r>
      <w:r w:rsidR="00CD7C0C">
        <w:t xml:space="preserve">the </w:t>
      </w:r>
      <w:r w:rsidR="00C24E1F">
        <w:t xml:space="preserve">same problem that this project faces: predicting response of neoadjuvant chemotherapy of </w:t>
      </w:r>
      <w:r w:rsidR="00C24E1F" w:rsidRPr="00607572">
        <w:t>gemcitabine and cisplatin</w:t>
      </w:r>
      <w:r w:rsidR="00C24E1F">
        <w:t xml:space="preserve"> treated muscle-invasive bladder cancer</w:t>
      </w:r>
      <w:r w:rsidR="00C02D4C">
        <w:t xml:space="preserve"> using microarray data</w:t>
      </w:r>
      <w:r w:rsidR="00C24E1F">
        <w:t xml:space="preserve">. </w:t>
      </w:r>
      <w:r w:rsidR="00C02D4C">
        <w:t xml:space="preserve">They achieved strong results, correctly classifying 18 out of 19 test samples </w:t>
      </w:r>
      <w:r w:rsidR="00C02D4C">
        <w:fldChar w:fldCharType="begin" w:fldLock="1"/>
      </w:r>
      <w:r w:rsidR="00A53744">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"previouslyFormattedCitation" : "[13]" }, "properties" : { "noteIndex" : 0 }, "schema" : "https://github.com/citation-style-language/schema/raw/master/csl-citation.json" }</w:instrText>
      </w:r>
      <w:r w:rsidR="00C02D4C">
        <w:fldChar w:fldCharType="separate"/>
      </w:r>
      <w:r w:rsidR="001356A9" w:rsidRPr="001356A9">
        <w:rPr>
          <w:noProof/>
        </w:rPr>
        <w:t>[13]</w:t>
      </w:r>
      <w:r w:rsidR="00C02D4C">
        <w:fldChar w:fldCharType="end"/>
      </w:r>
      <w:r w:rsidR="00C02D4C">
        <w:t xml:space="preserve">. </w:t>
      </w:r>
    </w:p>
    <w:p w14:paraId="753B85DC" w14:textId="7A76F69F" w:rsidR="0083601C" w:rsidRDefault="0083601C" w:rsidP="00D736C3">
      <w:pPr>
        <w:pStyle w:val="Text"/>
        <w:ind w:firstLine="0"/>
      </w:pPr>
      <w:r>
        <w:lastRenderedPageBreak/>
        <w:t>There are numerous machine learning classification methods that can be applied to this problem</w:t>
      </w:r>
      <w:r w:rsidR="00FF27FD">
        <w:t xml:space="preserve"> that use different techniques to decide on the class of a sample</w:t>
      </w:r>
      <w:r>
        <w:t xml:space="preserve">. For instance, logistic regression is a method that </w:t>
      </w:r>
      <w:r w:rsidR="00D52DA9">
        <w:t>defines</w:t>
      </w:r>
      <w:r>
        <w:t xml:space="preserve"> a linear decision boundary by minimizing </w:t>
      </w:r>
      <w:r w:rsidR="001811F1">
        <w:t>an</w:t>
      </w:r>
      <w:r>
        <w:t xml:space="preserve"> error</w:t>
      </w:r>
      <w:r w:rsidR="001811F1">
        <w:t xml:space="preserve"> function</w:t>
      </w:r>
      <w:r>
        <w:t xml:space="preserve"> of</w:t>
      </w:r>
      <w:r w:rsidR="001811F1">
        <w:t xml:space="preserve"> the</w:t>
      </w:r>
      <w:r>
        <w:t xml:space="preserve"> training samples’ target and output. </w:t>
      </w:r>
      <w:r w:rsidR="00FF27FD">
        <w:t xml:space="preserve">In contrast, k-Nearest Neighbors is a method that decides a sample’s class based on the class of the k samples that are nearest to it. </w:t>
      </w:r>
      <w:r w:rsidR="00D52DA9">
        <w:t>Consequently</w:t>
      </w:r>
      <w:r w:rsidR="00162B64">
        <w:t xml:space="preserve">, depending </w:t>
      </w:r>
      <w:r w:rsidR="00D52DA9">
        <w:t xml:space="preserve">on the method, the predicted class can be determined very differently. </w:t>
      </w:r>
    </w:p>
    <w:p w14:paraId="44CE3412" w14:textId="72D2AF29" w:rsidR="00D122AF" w:rsidRDefault="00D122AF" w:rsidP="00D736C3">
      <w:pPr>
        <w:pStyle w:val="Text"/>
        <w:ind w:firstLine="0"/>
      </w:pPr>
      <w:r>
        <w:t xml:space="preserve">In this project, I </w:t>
      </w:r>
      <w:r w:rsidR="00423B1B">
        <w:t xml:space="preserve">apply several </w:t>
      </w:r>
      <w:r w:rsidR="004D7512">
        <w:t xml:space="preserve">different </w:t>
      </w:r>
      <w:r w:rsidR="00423B1B">
        <w:t xml:space="preserve">classification methods </w:t>
      </w:r>
      <w:r w:rsidR="00162B64">
        <w:t>to bladder tumour microarray data and try to predict response.</w:t>
      </w:r>
      <w:r w:rsidR="004D7512">
        <w:t xml:space="preserve"> I also</w:t>
      </w:r>
      <w:r w:rsidR="00423B1B">
        <w:t xml:space="preserve"> compare </w:t>
      </w:r>
      <w:r w:rsidR="00AB0C11">
        <w:t xml:space="preserve">the performance of these methods to the method developed by Takata et al. by applying them to the same dataset. Finally, I attempt to use a neural network to model the complex features in the data with hopes of improving </w:t>
      </w:r>
      <w:r w:rsidR="006507A6">
        <w:t xml:space="preserve">prediction </w:t>
      </w:r>
      <w:r w:rsidR="00AB0C11">
        <w:t>accuracy.</w:t>
      </w:r>
    </w:p>
    <w:p w14:paraId="41F7A823" w14:textId="62C206E2" w:rsidR="001529B4" w:rsidRPr="00971CA7" w:rsidRDefault="00A42118" w:rsidP="001529B4">
      <w:pPr>
        <w:pStyle w:val="Heading1"/>
        <w:rPr>
          <w:b/>
        </w:rPr>
      </w:pPr>
      <w:r w:rsidRPr="00971CA7">
        <w:rPr>
          <w:b/>
        </w:rPr>
        <w:t>Materials And Methods</w:t>
      </w:r>
    </w:p>
    <w:p w14:paraId="025471AA" w14:textId="261CDA30" w:rsidR="00DE1F62" w:rsidRDefault="00FB56A9" w:rsidP="00DE1F62">
      <w:pPr>
        <w:pStyle w:val="Heading2"/>
      </w:pPr>
      <w:r>
        <w:t>Microarray</w:t>
      </w:r>
      <w:r w:rsidR="002E5A51">
        <w:t xml:space="preserve"> </w:t>
      </w:r>
      <w:r w:rsidR="00DE1F62">
        <w:t>Data</w:t>
      </w:r>
    </w:p>
    <w:p w14:paraId="3D2024FD" w14:textId="2BB5C8E8" w:rsidR="005D72BB" w:rsidRDefault="00D342E5" w:rsidP="00607572">
      <w:pPr>
        <w:pStyle w:val="Text"/>
        <w:ind w:firstLine="0"/>
      </w:pPr>
      <w:r>
        <w:t>The data used to predict response to chemotherapy is</w:t>
      </w:r>
      <w:r w:rsidR="00607572" w:rsidRPr="00607572">
        <w:t xml:space="preserve"> microarray data</w:t>
      </w:r>
      <w:r w:rsidR="00EE2B65">
        <w:t xml:space="preserve"> (17000 gene expressions)</w:t>
      </w:r>
      <w:r w:rsidR="00607572" w:rsidRPr="00607572">
        <w:t xml:space="preserve"> for </w:t>
      </w:r>
      <w:r w:rsidR="00EE2B65">
        <w:t>52</w:t>
      </w:r>
      <w:r w:rsidR="00607572" w:rsidRPr="00607572">
        <w:t xml:space="preserve"> muscle-invasive bladder cancer patients who received gemcitabine and cisplatin chemotherapy after their initial biopsy. </w:t>
      </w:r>
      <w:r w:rsidR="00DE1F62">
        <w:t>Out of the 52 patients, 15 (29%)</w:t>
      </w:r>
      <w:r w:rsidR="00607572" w:rsidRPr="00607572">
        <w:t xml:space="preserve"> were complete responders (pT&lt;2 and lymph node negative)</w:t>
      </w:r>
      <w:r w:rsidR="00DE1F62">
        <w:t xml:space="preserve"> and 37 (71%)</w:t>
      </w:r>
      <w:r w:rsidR="00607572" w:rsidRPr="00607572">
        <w:t xml:space="preserve"> were non-responders (pT2 or</w:t>
      </w:r>
      <w:r w:rsidR="00BA07BF">
        <w:t xml:space="preserve"> higher, or any node positive).</w:t>
      </w:r>
      <w:r w:rsidR="00F81095">
        <w:t xml:space="preserve"> </w:t>
      </w:r>
      <w:r w:rsidR="00FD7520">
        <w:t xml:space="preserve">The data was </w:t>
      </w:r>
      <w:r w:rsidR="00FD7520" w:rsidRPr="00FD7520">
        <w:t>quantile normaliz</w:t>
      </w:r>
      <w:r w:rsidR="00FD7520">
        <w:t>ed</w:t>
      </w:r>
      <w:r w:rsidR="00FD7520" w:rsidRPr="00FD7520">
        <w:t xml:space="preserve"> with R </w:t>
      </w:r>
      <w:r w:rsidR="00FD7520">
        <w:t>package aroma.light</w:t>
      </w:r>
      <w:bookmarkStart w:id="1" w:name="_GoBack"/>
      <w:bookmarkEnd w:id="1"/>
      <w:r w:rsidR="00FD7520">
        <w:t xml:space="preserve">. </w:t>
      </w:r>
      <w:r w:rsidR="00677F3A">
        <w:t xml:space="preserve">Prior to analyzing the data, a minimum cutoff mean and standard deviation gene expression was set to remove genes that had either very low expression or had expressions that did not significantly vary. </w:t>
      </w:r>
      <w:r w:rsidR="00C77C3B">
        <w:t xml:space="preserve">This helped reduce the dimensionality of the data to </w:t>
      </w:r>
      <w:r w:rsidR="00757429">
        <w:t>nearly</w:t>
      </w:r>
      <w:r w:rsidR="00C77C3B">
        <w:t xml:space="preserve"> 9000</w:t>
      </w:r>
      <w:r w:rsidR="00757429">
        <w:t xml:space="preserve"> genes</w:t>
      </w:r>
      <w:r w:rsidR="00C77C3B">
        <w:t>.</w:t>
      </w:r>
    </w:p>
    <w:p w14:paraId="5A90F6E7" w14:textId="02AAF087" w:rsidR="00BA07BF" w:rsidRDefault="00646C5B" w:rsidP="00BA07BF">
      <w:pPr>
        <w:pStyle w:val="Heading2"/>
      </w:pPr>
      <w:r>
        <w:t>Nested Two-Fold Cross-Validation</w:t>
      </w:r>
    </w:p>
    <w:p w14:paraId="12F19FED" w14:textId="44542F7D" w:rsidR="00BA07BF" w:rsidRDefault="00646C5B" w:rsidP="00802919">
      <w:r>
        <w:t xml:space="preserve">Since there </w:t>
      </w:r>
      <w:r w:rsidR="00135FCE">
        <w:t>is</w:t>
      </w:r>
      <w:r>
        <w:t xml:space="preserve"> only 52 samples to use for training, validation, and testing, I decided to implement nested two-fold cross-valid</w:t>
      </w:r>
      <w:r w:rsidR="00135FCE">
        <w:t>ation.</w:t>
      </w:r>
      <w:r w:rsidR="00135FCE" w:rsidRPr="00135FCE">
        <w:t xml:space="preserve"> </w:t>
      </w:r>
      <w:r w:rsidR="00135FCE">
        <w:t xml:space="preserve">Nested two-fold cross-validation means that the data is split in two, one half for training and the other half for testing, and then the training half is split again. </w:t>
      </w:r>
      <w:r>
        <w:t xml:space="preserve">The </w:t>
      </w:r>
      <w:r w:rsidR="00135FCE">
        <w:t>first</w:t>
      </w:r>
      <w:r>
        <w:t xml:space="preserve"> fold is used for testing the performance of the classifier on held out data </w:t>
      </w:r>
      <w:r w:rsidR="00135FCE">
        <w:t xml:space="preserve">and the inner </w:t>
      </w:r>
      <w:r>
        <w:t>fold is used to select hyperparameters for the models</w:t>
      </w:r>
      <w:r w:rsidR="00C63AF2">
        <w:t>.</w:t>
      </w:r>
      <w:r w:rsidR="00CD1AB8">
        <w:t xml:space="preserve"> More specifically, I use stratified two-fold cross-validation so that the proportion of each class remains relatively constant for each fold.</w:t>
      </w:r>
    </w:p>
    <w:p w14:paraId="6AA4E62D" w14:textId="71D99890" w:rsidR="00A73B09" w:rsidRDefault="00A73B09" w:rsidP="00A73B09">
      <w:pPr>
        <w:pStyle w:val="Heading2"/>
      </w:pPr>
      <w:r>
        <w:t>Machine Learning Methods</w:t>
      </w:r>
    </w:p>
    <w:p w14:paraId="4FCC45F7" w14:textId="4ECBACC7" w:rsidR="00A73B09" w:rsidRDefault="00A73B09" w:rsidP="00607572">
      <w:pPr>
        <w:pStyle w:val="Text"/>
        <w:ind w:firstLine="0"/>
      </w:pPr>
      <w:r>
        <w:t xml:space="preserve">The following </w:t>
      </w:r>
      <w:r w:rsidR="00FB56A9">
        <w:t xml:space="preserve">are the classification </w:t>
      </w:r>
      <w:r>
        <w:t xml:space="preserve">methods used in this project </w:t>
      </w:r>
      <w:r w:rsidR="00FB56A9">
        <w:t>which were</w:t>
      </w:r>
      <w:r>
        <w:t xml:space="preserve"> imported from Scikit Learn: </w:t>
      </w:r>
      <w:r w:rsidRPr="00A73B09">
        <w:t>Logistic Regression with L1</w:t>
      </w:r>
      <w:r w:rsidR="007C692D">
        <w:t xml:space="preserve"> (LR1)</w:t>
      </w:r>
      <w:r w:rsidRPr="00A73B09">
        <w:t>, L2</w:t>
      </w:r>
      <w:r w:rsidR="007C692D">
        <w:t xml:space="preserve"> (LR2)</w:t>
      </w:r>
      <w:r w:rsidRPr="00A73B09">
        <w:t>, an</w:t>
      </w:r>
      <w:r>
        <w:t>d ElasticNet</w:t>
      </w:r>
      <w:r w:rsidR="007C692D">
        <w:t xml:space="preserve"> (LRel)</w:t>
      </w:r>
      <w:r>
        <w:t xml:space="preserve"> regularization, k-Nearest Neighbors</w:t>
      </w:r>
      <w:r w:rsidR="00341467">
        <w:t xml:space="preserve"> (kNN)</w:t>
      </w:r>
      <w:r w:rsidRPr="00A73B09">
        <w:t>, Random Forests</w:t>
      </w:r>
      <w:r w:rsidR="00AD1B8A">
        <w:t xml:space="preserve"> (RF)</w:t>
      </w:r>
      <w:r w:rsidRPr="00A73B09">
        <w:t>, S</w:t>
      </w:r>
      <w:r>
        <w:t xml:space="preserve">upport </w:t>
      </w:r>
      <w:r w:rsidRPr="00A73B09">
        <w:t>V</w:t>
      </w:r>
      <w:r>
        <w:t xml:space="preserve">ector </w:t>
      </w:r>
      <w:r w:rsidRPr="00A73B09">
        <w:t>C</w:t>
      </w:r>
      <w:r>
        <w:t>lassification</w:t>
      </w:r>
      <w:r w:rsidR="00341467">
        <w:t xml:space="preserve"> (SVC)</w:t>
      </w:r>
      <w:r w:rsidRPr="00A73B09">
        <w:t xml:space="preserve">, </w:t>
      </w:r>
      <w:r>
        <w:t>Gaussian Naive Bayes</w:t>
      </w:r>
      <w:r w:rsidR="00341467">
        <w:t xml:space="preserve"> (GNB)</w:t>
      </w:r>
      <w:r>
        <w:t>, Linear Discriminate Analysis</w:t>
      </w:r>
      <w:r w:rsidR="00341467">
        <w:t xml:space="preserve"> (LDA)</w:t>
      </w:r>
      <w:r w:rsidR="00F5430F">
        <w:t xml:space="preserve"> and AdaBoost (ADA)</w:t>
      </w:r>
      <w:r>
        <w:t>.</w:t>
      </w:r>
    </w:p>
    <w:p w14:paraId="56E96969" w14:textId="0273CE97" w:rsidR="005A3D76" w:rsidRDefault="004D7512" w:rsidP="005A3D76">
      <w:pPr>
        <w:pStyle w:val="Heading2"/>
      </w:pPr>
      <w:r>
        <w:t>Takata/</w:t>
      </w:r>
      <w:r w:rsidR="00BC14F9">
        <w:t>Kato 2011</w:t>
      </w:r>
      <w:r w:rsidR="005A3D76">
        <w:t xml:space="preserve"> Method</w:t>
      </w:r>
    </w:p>
    <w:p w14:paraId="4880BD22" w14:textId="3A44C2F5" w:rsidR="005A3D76" w:rsidRPr="000943C9" w:rsidRDefault="00222D6F" w:rsidP="005A3D76">
      <w:r>
        <w:t>I implemented the method</w:t>
      </w:r>
      <w:r w:rsidR="00BC14F9">
        <w:t xml:space="preserve"> used by Kato et al. </w:t>
      </w:r>
      <w:r w:rsidR="00BC14F9">
        <w:fldChar w:fldCharType="begin" w:fldLock="1"/>
      </w:r>
      <w:r w:rsidR="00A53744">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"previouslyFormattedCitation" : "[13]" }, "properties" : { "noteIndex" : 0 }, "schema" : "https://github.com/citation-style-language/schema/raw/master/csl-citation.json" }</w:instrText>
      </w:r>
      <w:r w:rsidR="00BC14F9">
        <w:fldChar w:fldCharType="separate"/>
      </w:r>
      <w:r w:rsidR="001356A9" w:rsidRPr="001356A9">
        <w:rPr>
          <w:noProof/>
        </w:rPr>
        <w:t>[13]</w:t>
      </w:r>
      <w:r w:rsidR="00BC14F9">
        <w:fldChar w:fldCharType="end"/>
      </w:r>
      <w:r w:rsidR="00961DB8">
        <w:t xml:space="preserve"> which was shown to be an effective method at predicting response</w:t>
      </w:r>
      <w:r w:rsidR="00414A91">
        <w:t xml:space="preserve"> given the same scenario</w:t>
      </w:r>
      <w:r w:rsidR="00961DB8">
        <w:t>. Their method first identifies genes that discriminate between the two classes then calculate</w:t>
      </w:r>
      <w:r w:rsidR="006F4846">
        <w:t>s</w:t>
      </w:r>
      <w:r w:rsidR="00961DB8">
        <w:t xml:space="preserve"> a prediction score</w:t>
      </w:r>
      <w:r w:rsidR="000943C9">
        <w:t xml:space="preserve"> (PS)</w:t>
      </w:r>
      <w:r w:rsidR="00961DB8">
        <w:t xml:space="preserve"> for </w:t>
      </w:r>
      <w:r w:rsidR="006F4846">
        <w:t>each test sample</w:t>
      </w:r>
      <w:r w:rsidR="00961DB8">
        <w:t xml:space="preserve"> </w:t>
      </w:r>
      <w:r w:rsidR="006F4846">
        <w:t xml:space="preserve">using </w:t>
      </w:r>
      <w:r w:rsidR="00961DB8">
        <w:t xml:space="preserve">those </w:t>
      </w:r>
      <w:r w:rsidR="00961DB8">
        <w:lastRenderedPageBreak/>
        <w:t xml:space="preserve">discriminating genes. </w:t>
      </w:r>
      <w:r w:rsidR="000943C9" w:rsidRPr="000943C9">
        <w:t>Mean (µ) and standard deviation (δ) were calculated</w:t>
      </w:r>
      <w:r w:rsidR="000943C9">
        <w:t xml:space="preserve"> from the log-transformed data</w:t>
      </w:r>
      <w:r w:rsidR="000943C9" w:rsidRPr="000943C9">
        <w:t xml:space="preserve"> </w:t>
      </w:r>
      <w:r w:rsidR="000943C9">
        <w:t>of each gene in the responder (R) and non-responder (N</w:t>
      </w:r>
      <w:r w:rsidR="000943C9" w:rsidRPr="000943C9">
        <w:t xml:space="preserve">) </w:t>
      </w:r>
      <w:r w:rsidR="000943C9">
        <w:t>cases. A discrimination score (D</w:t>
      </w:r>
      <w:r w:rsidR="000943C9" w:rsidRPr="000943C9">
        <w:t>S) for each gene was defined as:</w:t>
      </w:r>
      <w:r w:rsidR="00967CCA">
        <w:br/>
      </w:r>
      <m:oMathPara>
        <m:oMath>
          <m:r>
            <w:rPr>
              <w:rFonts w:ascii="Cambria Math" w:hAnsi="Cambria Math"/>
            </w:rPr>
            <m:t xml:space="preserve"> </m:t>
          </m:r>
          <m:sSub>
            <m:sSubPr>
              <m:ctrlPr>
                <w:rPr>
                  <w:rFonts w:ascii="Cambria Math" w:hAnsi="Cambria Math"/>
                  <w:i/>
                </w:rPr>
              </m:ctrlPr>
            </m:sSubPr>
            <m:e>
              <m:r>
                <w:rPr>
                  <w:rFonts w:ascii="Cambria Math" w:hAnsi="Cambria Math"/>
                </w:rPr>
                <m:t>DS=(μ</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 xml:space="preserve">) </m:t>
          </m:r>
        </m:oMath>
      </m:oMathPara>
    </w:p>
    <w:p w14:paraId="17FDAEC5" w14:textId="1B0A401D" w:rsidR="000943C9" w:rsidRDefault="000943C9" w:rsidP="005A3D76">
      <w:r>
        <w:t xml:space="preserve">Next, </w:t>
      </w:r>
      <w:r w:rsidRPr="000943C9">
        <w:t xml:space="preserve">samples were randomly permutated between the two </w:t>
      </w:r>
      <w:r>
        <w:t>classes 10,000 times and Since the D</w:t>
      </w:r>
      <w:r w:rsidRPr="000943C9">
        <w:t xml:space="preserve">S data set of each gene showed a normal distribution, </w:t>
      </w:r>
      <w:r>
        <w:t>the</w:t>
      </w:r>
      <w:r w:rsidRPr="000943C9">
        <w:t xml:space="preserve"> P-value</w:t>
      </w:r>
      <w:r>
        <w:t xml:space="preserve"> for each gene is calculated. </w:t>
      </w:r>
      <w:r w:rsidR="00D63F5B">
        <w:t xml:space="preserve">Cross-validation is used to determine how many of the top significant genes will be used in the gene set. </w:t>
      </w:r>
      <w:r w:rsidR="007B186F">
        <w:t>To classify a sample</w:t>
      </w:r>
      <w:r w:rsidR="00D63F5B">
        <w:t>, e</w:t>
      </w:r>
      <w:r w:rsidR="00D63F5B" w:rsidRPr="00D63F5B">
        <w:t>ach gene</w:t>
      </w:r>
      <w:r w:rsidR="007B186F">
        <w:t xml:space="preserve"> </w:t>
      </w:r>
      <w:r w:rsidR="00D63F5B">
        <w:t>in the gene set</w:t>
      </w:r>
      <w:r w:rsidR="00D63F5B" w:rsidRPr="00D63F5B">
        <w:t xml:space="preserve"> votes for either responder or non-responder depending on whether the e</w:t>
      </w:r>
      <w:r w:rsidR="007B186F">
        <w:t>xpression level (x</w:t>
      </w:r>
      <w:r w:rsidR="007B186F" w:rsidRPr="007B186F">
        <w:rPr>
          <w:vertAlign w:val="subscript"/>
        </w:rPr>
        <w:t>i</w:t>
      </w:r>
      <w:r w:rsidR="00D63F5B" w:rsidRPr="00D63F5B">
        <w:t>) in the sample is closer to the mean expression level of the responders or non-responders in the reference samples</w:t>
      </w:r>
      <w:r w:rsidR="007B186F">
        <w:t>. The magnitude of the vote (</w:t>
      </w:r>
      <w:proofErr w:type="gramStart"/>
      <w:r w:rsidR="007B186F">
        <w:t>V</w:t>
      </w:r>
      <w:r w:rsidR="007B186F" w:rsidRPr="007B186F">
        <w:rPr>
          <w:vertAlign w:val="subscript"/>
        </w:rPr>
        <w:t>i</w:t>
      </w:r>
      <w:proofErr w:type="gramEnd"/>
      <w:r w:rsidR="00D63F5B" w:rsidRPr="00D63F5B">
        <w:t>) reflects the deviation of the expression level in the sample from the average of the two classe</w:t>
      </w:r>
      <w:r w:rsidR="007B186F">
        <w:t xml:space="preserve">s. </w:t>
      </w:r>
    </w:p>
    <w:p w14:paraId="4F3D1840" w14:textId="2E7BBA0F" w:rsidR="007B186F" w:rsidRDefault="007B186F" w:rsidP="007B186F">
      <w:pPr>
        <w:jc w:val="center"/>
      </w:pPr>
      <w:r>
        <w:t>Prediction Score = (V</w:t>
      </w:r>
      <w:r w:rsidRPr="007B186F">
        <w:rPr>
          <w:vertAlign w:val="subscript"/>
        </w:rPr>
        <w:t>R</w:t>
      </w:r>
      <w:r>
        <w:t xml:space="preserve"> - </w:t>
      </w:r>
      <w:proofErr w:type="gramStart"/>
      <w:r>
        <w:t>V</w:t>
      </w:r>
      <w:r w:rsidRPr="007B186F">
        <w:rPr>
          <w:vertAlign w:val="subscript"/>
        </w:rPr>
        <w:t>N</w:t>
      </w:r>
      <w:r>
        <w:t xml:space="preserve"> )</w:t>
      </w:r>
      <w:proofErr w:type="gramEnd"/>
      <w:r>
        <w:t>/(V</w:t>
      </w:r>
      <w:r w:rsidRPr="007B186F">
        <w:rPr>
          <w:vertAlign w:val="subscript"/>
        </w:rPr>
        <w:t>R</w:t>
      </w:r>
      <w:r>
        <w:t xml:space="preserve"> + V</w:t>
      </w:r>
      <w:r w:rsidRPr="007B186F">
        <w:rPr>
          <w:vertAlign w:val="subscript"/>
        </w:rPr>
        <w:t>N</w:t>
      </w:r>
      <w:r>
        <w:t xml:space="preserve"> )</w:t>
      </w:r>
    </w:p>
    <w:p w14:paraId="5B9D8C6B" w14:textId="23D58C07" w:rsidR="007B186F" w:rsidRDefault="007B186F" w:rsidP="007B186F">
      <w:pPr>
        <w:jc w:val="center"/>
      </w:pPr>
      <w:r>
        <w:t xml:space="preserve">Where </w:t>
      </w:r>
      <w:proofErr w:type="gramStart"/>
      <w:r w:rsidRPr="007B186F">
        <w:t>V</w:t>
      </w:r>
      <w:r w:rsidRPr="007B186F">
        <w:rPr>
          <w:vertAlign w:val="subscript"/>
        </w:rPr>
        <w:t>i</w:t>
      </w:r>
      <w:proofErr w:type="gramEnd"/>
      <w:r>
        <w:t xml:space="preserve"> = | x</w:t>
      </w:r>
      <w:r w:rsidRPr="007B186F">
        <w:rPr>
          <w:vertAlign w:val="subscript"/>
        </w:rPr>
        <w:t>i</w:t>
      </w:r>
      <w:r>
        <w:t xml:space="preserve"> - (µ</w:t>
      </w:r>
      <w:r w:rsidRPr="007B186F">
        <w:rPr>
          <w:vertAlign w:val="subscript"/>
        </w:rPr>
        <w:t>R</w:t>
      </w:r>
      <w:r>
        <w:t xml:space="preserve"> + µ</w:t>
      </w:r>
      <w:r w:rsidRPr="007B186F">
        <w:rPr>
          <w:vertAlign w:val="subscript"/>
        </w:rPr>
        <w:t>N</w:t>
      </w:r>
      <w:r>
        <w:t>)/2 |</w:t>
      </w:r>
    </w:p>
    <w:p w14:paraId="734A6303" w14:textId="1C63C108" w:rsidR="007B186F" w:rsidRPr="000943C9" w:rsidRDefault="007B186F" w:rsidP="007B186F">
      <w:r>
        <w:t xml:space="preserve">Therefore, a positive PS predicts responder whereas a negative PS predicts non-responder and </w:t>
      </w:r>
      <w:r w:rsidRPr="007B186F">
        <w:t xml:space="preserve">a higher absolute value reflects a stronger </w:t>
      </w:r>
      <w:r>
        <w:t xml:space="preserve">confidence in the </w:t>
      </w:r>
      <w:r w:rsidRPr="007B186F">
        <w:t>predictio</w:t>
      </w:r>
      <w:r>
        <w:t xml:space="preserve">n. </w:t>
      </w:r>
    </w:p>
    <w:p w14:paraId="34A69D4B" w14:textId="1C417817" w:rsidR="002A37BB" w:rsidRDefault="002A37BB" w:rsidP="002A37BB">
      <w:pPr>
        <w:pStyle w:val="Heading2"/>
      </w:pPr>
      <w:r>
        <w:t>Neural Network</w:t>
      </w:r>
    </w:p>
    <w:p w14:paraId="12241371" w14:textId="08415258" w:rsidR="00D47BE0" w:rsidRDefault="00D47BE0" w:rsidP="002A37BB">
      <w:r>
        <w:t>To implement a</w:t>
      </w:r>
      <w:r w:rsidR="002A37BB">
        <w:t xml:space="preserve"> neural network</w:t>
      </w:r>
      <w:r>
        <w:t xml:space="preserve">, I </w:t>
      </w:r>
      <w:r w:rsidR="009D1F6E">
        <w:t>modified</w:t>
      </w:r>
      <w:r>
        <w:t xml:space="preserve"> the Python code from </w:t>
      </w:r>
      <w:r w:rsidRPr="00D47BE0">
        <w:t>http://neuralnetworksanddeeplearning.com/</w:t>
      </w:r>
      <w:r>
        <w:t xml:space="preserve"> to </w:t>
      </w:r>
      <w:r w:rsidR="009D1F6E">
        <w:t xml:space="preserve">fit </w:t>
      </w:r>
      <w:r>
        <w:t>my problem.</w:t>
      </w:r>
      <w:r w:rsidR="002A37BB">
        <w:t xml:space="preserve"> </w:t>
      </w:r>
      <w:r w:rsidR="005714B5">
        <w:t>I implemented networks with</w:t>
      </w:r>
      <w:r>
        <w:t xml:space="preserve"> sigmoid activation functions and cross-entropy error. </w:t>
      </w:r>
    </w:p>
    <w:p w14:paraId="37A061C2" w14:textId="77777777" w:rsidR="00A61CED" w:rsidRDefault="00A61CED" w:rsidP="00A61CED">
      <w:pPr>
        <w:pStyle w:val="Heading2"/>
      </w:pPr>
      <w:r>
        <w:t>Accuracy vs AUC</w:t>
      </w:r>
    </w:p>
    <w:p w14:paraId="4AFBC423" w14:textId="6A0C8533" w:rsidR="00A61CED" w:rsidRDefault="00B769E3" w:rsidP="002A37BB">
      <w:r>
        <w:t xml:space="preserve">Since there is an imbalance in the number of each class (15 responders vs 37 non-responders), if we predict all samples to be non-responders we will achieve 71% </w:t>
      </w:r>
      <w:r w:rsidR="008B4EC7">
        <w:t xml:space="preserve">accuracy </w:t>
      </w:r>
      <w:r w:rsidR="00AD4D51">
        <w:t xml:space="preserve">(See Table 1 in Supplemental) </w:t>
      </w:r>
      <w:r w:rsidR="008B4EC7">
        <w:t xml:space="preserve">and </w:t>
      </w:r>
      <w:r w:rsidR="00CC354E">
        <w:t>only 50% AUC.</w:t>
      </w:r>
      <w:r>
        <w:t xml:space="preserve"> </w:t>
      </w:r>
      <w:r w:rsidR="008B4EC7">
        <w:t xml:space="preserve">I have chosen to report the AUC rather than accuracy for each method because it is </w:t>
      </w:r>
      <w:r w:rsidR="007D7115">
        <w:t>unaff</w:t>
      </w:r>
      <w:r w:rsidR="009817E3">
        <w:t xml:space="preserve">ected by the imbalanced classes and is a better indicator of a method’s predictive </w:t>
      </w:r>
      <w:r w:rsidR="009609C2">
        <w:t>performance</w:t>
      </w:r>
      <w:r w:rsidR="009817E3">
        <w:t>.</w:t>
      </w:r>
    </w:p>
    <w:p w14:paraId="5CECE8EE" w14:textId="77777777" w:rsidR="00D05BA7" w:rsidRDefault="00D05BA7" w:rsidP="00D05BA7">
      <w:pPr>
        <w:pStyle w:val="Heading1"/>
        <w:rPr>
          <w:b/>
        </w:rPr>
      </w:pPr>
      <w:r w:rsidRPr="00971CA7">
        <w:rPr>
          <w:b/>
        </w:rPr>
        <w:t>Results</w:t>
      </w:r>
    </w:p>
    <w:p w14:paraId="0D4043A2" w14:textId="00966C38" w:rsidR="00A73B09" w:rsidRDefault="00CC7EB4" w:rsidP="00A73B09">
      <w:pPr>
        <w:pStyle w:val="Heading2"/>
      </w:pPr>
      <w:r>
        <w:t>Prediction Results</w:t>
      </w:r>
    </w:p>
    <w:p w14:paraId="62885204" w14:textId="61BA4CAA" w:rsidR="00DB4DDD" w:rsidRDefault="00DB4DDD" w:rsidP="00DB4DDD">
      <w:r>
        <w:t xml:space="preserve">I applied various classification methods to the microarray data. Fig. 1 is a plot of the </w:t>
      </w:r>
      <w:r w:rsidR="00246F7F">
        <w:t xml:space="preserve">average </w:t>
      </w:r>
      <w:r>
        <w:t>r</w:t>
      </w:r>
      <w:r w:rsidRPr="00DB4DDD">
        <w:t>eceiver operating characteristic</w:t>
      </w:r>
      <w:r>
        <w:t xml:space="preserve"> (ROC) c</w:t>
      </w:r>
      <w:r w:rsidR="00CB4CD4">
        <w:t xml:space="preserve">urves </w:t>
      </w:r>
      <w:r w:rsidR="00246F7F">
        <w:t xml:space="preserve">over 10 iterations </w:t>
      </w:r>
      <w:r w:rsidR="00CB4CD4">
        <w:t>of these various methods</w:t>
      </w:r>
      <w:r w:rsidR="00E95A63">
        <w:t xml:space="preserve"> when they output 0 </w:t>
      </w:r>
      <w:r w:rsidR="00292307">
        <w:t>for responders and</w:t>
      </w:r>
      <w:r w:rsidR="00E95A63">
        <w:t xml:space="preserve"> 1</w:t>
      </w:r>
      <w:r w:rsidR="00292307">
        <w:t xml:space="preserve"> for non-responders</w:t>
      </w:r>
      <w:r w:rsidR="00E95A63">
        <w:t xml:space="preserve"> (</w:t>
      </w:r>
      <w:r w:rsidR="00855099">
        <w:t>&lt;0.5 = 0, &gt;0.5 =1</w:t>
      </w:r>
      <w:r w:rsidR="00E95A63">
        <w:t>)</w:t>
      </w:r>
      <w:r w:rsidR="00292307">
        <w:t xml:space="preserve">. </w:t>
      </w:r>
      <w:r w:rsidR="00E95A63">
        <w:t>The plot shows that none of the methods are capable of properly classifying the two classes.</w:t>
      </w:r>
      <w:r w:rsidR="00292307">
        <w:t xml:space="preserve"> The AUC of methods are all near 50%, indicating they are essentially random.</w:t>
      </w:r>
      <w:r w:rsidR="00013820">
        <w:t xml:space="preserve"> The highest AUC is kNN at 0.54 and the lowest is Random Forest at 0.45.</w:t>
      </w:r>
      <w:r w:rsidR="00AD4D51">
        <w:t xml:space="preserve"> Table 1 shows the accuracy of </w:t>
      </w:r>
      <w:r w:rsidR="00013820">
        <w:t>the methods. T</w:t>
      </w:r>
      <w:r w:rsidR="00AD4D51">
        <w:t>hey achieve 71% by predicting non-responder for all samples</w:t>
      </w:r>
      <w:r w:rsidR="00013820">
        <w:t xml:space="preserve"> and since none of the methods achieve higher than that benchmark</w:t>
      </w:r>
      <w:r w:rsidR="00AD4D51">
        <w:t xml:space="preserve">. </w:t>
      </w:r>
      <w:r w:rsidR="00292307">
        <w:t xml:space="preserve">The </w:t>
      </w:r>
      <w:r w:rsidR="00CC354E">
        <w:t>continuous value</w:t>
      </w:r>
      <w:r w:rsidR="00292307">
        <w:t xml:space="preserve"> output of the majority of the methods ends up being 0.71</w:t>
      </w:r>
      <w:r w:rsidR="00AD4D51">
        <w:t xml:space="preserve"> (non-responder)</w:t>
      </w:r>
      <w:r w:rsidR="00292307">
        <w:t xml:space="preserve">, which is equal to the average label value (37/52). This output is </w:t>
      </w:r>
      <w:r w:rsidR="005A1EA2">
        <w:t xml:space="preserve">due to </w:t>
      </w:r>
      <w:r w:rsidR="00292307">
        <w:t xml:space="preserve">the imbalanced classes (15 responders vs 37 non-responders) because it minimizes the </w:t>
      </w:r>
      <w:r w:rsidR="005A1EA2">
        <w:t>error when classes are predicted by chance. If the classes are balanced by subsampling the majority class, then the methods output 0.5 for most samples</w:t>
      </w:r>
      <w:r w:rsidR="00F36D35">
        <w:t xml:space="preserve">, indicating they are unable to predict class. </w:t>
      </w:r>
    </w:p>
    <w:p w14:paraId="5D246B4C" w14:textId="55954CE7" w:rsidR="00E37200" w:rsidRDefault="0003785B" w:rsidP="00E37200">
      <w:pPr>
        <w:keepNext/>
      </w:pPr>
      <w:r>
        <w:rPr>
          <w:noProof/>
        </w:rPr>
        <w:lastRenderedPageBreak/>
        <w:drawing>
          <wp:inline distT="0" distB="0" distL="0" distR="0" wp14:anchorId="21FE320F" wp14:editId="170929CD">
            <wp:extent cx="3200400" cy="248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482215"/>
                    </a:xfrm>
                    <a:prstGeom prst="rect">
                      <a:avLst/>
                    </a:prstGeom>
                  </pic:spPr>
                </pic:pic>
              </a:graphicData>
            </a:graphic>
          </wp:inline>
        </w:drawing>
      </w:r>
    </w:p>
    <w:p w14:paraId="2A80F568" w14:textId="51661F23" w:rsidR="00E37200" w:rsidRPr="00E85E1D" w:rsidRDefault="00E37200" w:rsidP="00E85E1D">
      <w:pPr>
        <w:pStyle w:val="Caption"/>
        <w:jc w:val="both"/>
        <w:rPr>
          <w:i w:val="0"/>
          <w:color w:val="auto"/>
          <w:sz w:val="16"/>
          <w:szCs w:val="16"/>
        </w:rPr>
      </w:pPr>
      <w:r w:rsidRPr="009B49EA">
        <w:rPr>
          <w:color w:val="auto"/>
          <w:sz w:val="16"/>
          <w:szCs w:val="16"/>
        </w:rPr>
        <w:t xml:space="preserve">Fig </w:t>
      </w:r>
      <w:r w:rsidRPr="009B49EA">
        <w:rPr>
          <w:color w:val="auto"/>
          <w:sz w:val="16"/>
          <w:szCs w:val="16"/>
        </w:rPr>
        <w:fldChar w:fldCharType="begin"/>
      </w:r>
      <w:r w:rsidRPr="009B49EA">
        <w:rPr>
          <w:color w:val="auto"/>
          <w:sz w:val="16"/>
          <w:szCs w:val="16"/>
        </w:rPr>
        <w:instrText xml:space="preserve"> SEQ Figure \* ARABIC </w:instrText>
      </w:r>
      <w:r w:rsidRPr="009B49EA">
        <w:rPr>
          <w:color w:val="auto"/>
          <w:sz w:val="16"/>
          <w:szCs w:val="16"/>
        </w:rPr>
        <w:fldChar w:fldCharType="separate"/>
      </w:r>
      <w:r w:rsidR="00BF39EA">
        <w:rPr>
          <w:noProof/>
          <w:color w:val="auto"/>
          <w:sz w:val="16"/>
          <w:szCs w:val="16"/>
        </w:rPr>
        <w:t>1</w:t>
      </w:r>
      <w:r w:rsidRPr="009B49EA">
        <w:rPr>
          <w:color w:val="auto"/>
          <w:sz w:val="16"/>
          <w:szCs w:val="16"/>
        </w:rPr>
        <w:fldChar w:fldCharType="end"/>
      </w:r>
      <w:r w:rsidRPr="009B49EA">
        <w:rPr>
          <w:color w:val="auto"/>
          <w:sz w:val="16"/>
          <w:szCs w:val="16"/>
        </w:rPr>
        <w:t>:</w:t>
      </w:r>
      <w:r w:rsidRPr="009B49EA">
        <w:rPr>
          <w:i w:val="0"/>
          <w:color w:val="auto"/>
          <w:sz w:val="16"/>
          <w:szCs w:val="16"/>
        </w:rPr>
        <w:t xml:space="preserve"> True</w:t>
      </w:r>
      <w:r>
        <w:rPr>
          <w:i w:val="0"/>
          <w:color w:val="auto"/>
          <w:sz w:val="16"/>
          <w:szCs w:val="16"/>
        </w:rPr>
        <w:t xml:space="preserve"> Positive Rate vs False Positive Rate of</w:t>
      </w:r>
      <w:r w:rsidR="00246F7F">
        <w:rPr>
          <w:i w:val="0"/>
          <w:color w:val="auto"/>
          <w:sz w:val="16"/>
          <w:szCs w:val="16"/>
        </w:rPr>
        <w:t xml:space="preserve"> several classification methods based on averaging 10 iterations.</w:t>
      </w:r>
    </w:p>
    <w:p w14:paraId="49969740" w14:textId="1BAB810D" w:rsidR="002E06DE" w:rsidRDefault="002E06DE" w:rsidP="002E06DE">
      <w:pPr>
        <w:pStyle w:val="Heading2"/>
      </w:pPr>
      <w:r>
        <w:t>Kato</w:t>
      </w:r>
      <w:r w:rsidR="00557CB6">
        <w:t xml:space="preserve"> Method</w:t>
      </w:r>
      <w:r>
        <w:t xml:space="preserve"> Results</w:t>
      </w:r>
    </w:p>
    <w:p w14:paraId="29832AC0" w14:textId="696408B9" w:rsidR="00C110F2" w:rsidRDefault="001F732A" w:rsidP="00E71AA9">
      <w:r>
        <w:t xml:space="preserve">Since the various classification methods I used previously were not successful at distinguishing the two classes, </w:t>
      </w:r>
      <w:r w:rsidR="00E71AA9">
        <w:t>I implemented the</w:t>
      </w:r>
      <w:r>
        <w:t xml:space="preserve"> method from </w:t>
      </w:r>
      <w:r>
        <w:fldChar w:fldCharType="begin" w:fldLock="1"/>
      </w:r>
      <w:r w:rsidR="00A53744">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"previouslyFormattedCitation" : "[13]" }, "properties" : { "noteIndex" : 0 }, "schema" : "https://github.com/citation-style-language/schema/raw/master/csl-citation.json" }</w:instrText>
      </w:r>
      <w:r>
        <w:fldChar w:fldCharType="separate"/>
      </w:r>
      <w:r w:rsidR="001356A9" w:rsidRPr="001356A9">
        <w:rPr>
          <w:noProof/>
        </w:rPr>
        <w:t>[13]</w:t>
      </w:r>
      <w:r>
        <w:fldChar w:fldCharType="end"/>
      </w:r>
      <w:r>
        <w:t xml:space="preserve"> which was shown to be </w:t>
      </w:r>
      <w:r w:rsidR="00C110F2">
        <w:t xml:space="preserve">an </w:t>
      </w:r>
      <w:r>
        <w:t xml:space="preserve">effective method given the same classification problem. See ‘Kato 2011 Method’ in Material and Methods for a description of the method. </w:t>
      </w:r>
      <w:r w:rsidR="00C110F2">
        <w:t>In their paper they came up with a gene set that could correctly classify 18 out of 19 test samples. I applied their method to my data to come up with another ge</w:t>
      </w:r>
      <w:r w:rsidR="005B4820">
        <w:t>ne set. Using the gene set obtained from their data and the one from my data</w:t>
      </w:r>
      <w:r w:rsidR="00C110F2">
        <w:t>, I calculated a prediction score for each test sample in my data set. Figure 2 is t</w:t>
      </w:r>
      <w:r w:rsidR="00896898">
        <w:t xml:space="preserve">he ROC curve </w:t>
      </w:r>
      <w:r w:rsidR="00C110F2">
        <w:t>of the predictions using each gene set</w:t>
      </w:r>
      <w:r w:rsidR="00896898">
        <w:t xml:space="preserve">. </w:t>
      </w:r>
      <w:r w:rsidR="0008461F">
        <w:t>The AUC nearly .50 for both</w:t>
      </w:r>
      <w:r w:rsidR="002B58A5">
        <w:t>, which is</w:t>
      </w:r>
      <w:r w:rsidR="0008461F">
        <w:t xml:space="preserve"> in indication that their predictions are</w:t>
      </w:r>
      <w:r w:rsidR="002B58A5">
        <w:t xml:space="preserve"> essentially random. </w:t>
      </w:r>
      <w:r w:rsidR="0008461F">
        <w:t>This is the same result as Fig 1</w:t>
      </w:r>
      <w:r w:rsidR="00822EC3">
        <w:t>; the genes in the training set that are found to be significant to not generalize to the test set</w:t>
      </w:r>
      <w:r w:rsidR="0008461F">
        <w:t xml:space="preserve">. </w:t>
      </w:r>
    </w:p>
    <w:p w14:paraId="7F18B165" w14:textId="447A20B9" w:rsidR="002E26A6" w:rsidRDefault="00341DA6" w:rsidP="002E26A6">
      <w:pPr>
        <w:keepNext/>
      </w:pPr>
      <w:r>
        <w:rPr>
          <w:noProof/>
        </w:rPr>
        <w:drawing>
          <wp:inline distT="0" distB="0" distL="0" distR="0" wp14:anchorId="50B87C0C" wp14:editId="507BA6E3">
            <wp:extent cx="3200400"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49525"/>
                    </a:xfrm>
                    <a:prstGeom prst="rect">
                      <a:avLst/>
                    </a:prstGeom>
                  </pic:spPr>
                </pic:pic>
              </a:graphicData>
            </a:graphic>
          </wp:inline>
        </w:drawing>
      </w:r>
      <w:r>
        <w:rPr>
          <w:noProof/>
        </w:rPr>
        <w:t xml:space="preserve"> </w:t>
      </w:r>
    </w:p>
    <w:p w14:paraId="6EF7930D" w14:textId="3BE03B22" w:rsidR="002E26A6" w:rsidRPr="002E26A6" w:rsidRDefault="002E26A6" w:rsidP="002E26A6">
      <w:pPr>
        <w:pStyle w:val="Caption"/>
        <w:jc w:val="both"/>
        <w:rPr>
          <w:i w:val="0"/>
          <w:color w:val="auto"/>
          <w:sz w:val="16"/>
          <w:szCs w:val="16"/>
        </w:rPr>
      </w:pPr>
      <w:r w:rsidRPr="002E26A6">
        <w:rPr>
          <w:color w:val="auto"/>
          <w:sz w:val="16"/>
          <w:szCs w:val="16"/>
        </w:rPr>
        <w:t xml:space="preserve">Fig </w:t>
      </w:r>
      <w:r w:rsidRPr="002E26A6">
        <w:rPr>
          <w:color w:val="auto"/>
          <w:sz w:val="16"/>
          <w:szCs w:val="16"/>
        </w:rPr>
        <w:fldChar w:fldCharType="begin"/>
      </w:r>
      <w:r w:rsidRPr="002E26A6">
        <w:rPr>
          <w:color w:val="auto"/>
          <w:sz w:val="16"/>
          <w:szCs w:val="16"/>
        </w:rPr>
        <w:instrText xml:space="preserve"> SEQ Figure \* ARABIC </w:instrText>
      </w:r>
      <w:r w:rsidRPr="002E26A6">
        <w:rPr>
          <w:color w:val="auto"/>
          <w:sz w:val="16"/>
          <w:szCs w:val="16"/>
        </w:rPr>
        <w:fldChar w:fldCharType="separate"/>
      </w:r>
      <w:r w:rsidR="00BF39EA">
        <w:rPr>
          <w:noProof/>
          <w:color w:val="auto"/>
          <w:sz w:val="16"/>
          <w:szCs w:val="16"/>
        </w:rPr>
        <w:t>2</w:t>
      </w:r>
      <w:r w:rsidRPr="002E26A6">
        <w:rPr>
          <w:color w:val="auto"/>
          <w:sz w:val="16"/>
          <w:szCs w:val="16"/>
        </w:rPr>
        <w:fldChar w:fldCharType="end"/>
      </w:r>
      <w:r w:rsidRPr="002E26A6">
        <w:rPr>
          <w:color w:val="auto"/>
          <w:sz w:val="16"/>
          <w:szCs w:val="16"/>
        </w:rPr>
        <w:t>.</w:t>
      </w:r>
      <w:r w:rsidRPr="002E26A6">
        <w:rPr>
          <w:i w:val="0"/>
          <w:color w:val="auto"/>
          <w:sz w:val="16"/>
          <w:szCs w:val="16"/>
        </w:rPr>
        <w:t xml:space="preserve"> </w:t>
      </w:r>
      <w:r w:rsidRPr="009B49EA">
        <w:rPr>
          <w:i w:val="0"/>
          <w:color w:val="auto"/>
          <w:sz w:val="16"/>
          <w:szCs w:val="16"/>
        </w:rPr>
        <w:t>True</w:t>
      </w:r>
      <w:r>
        <w:rPr>
          <w:i w:val="0"/>
          <w:color w:val="auto"/>
          <w:sz w:val="16"/>
          <w:szCs w:val="16"/>
        </w:rPr>
        <w:t xml:space="preserve"> Positive Rate vs False Positive Rate of </w:t>
      </w:r>
      <w:r w:rsidR="004A643D">
        <w:rPr>
          <w:i w:val="0"/>
          <w:color w:val="auto"/>
          <w:sz w:val="16"/>
          <w:szCs w:val="16"/>
        </w:rPr>
        <w:t xml:space="preserve">the method from </w:t>
      </w:r>
      <w:r w:rsidR="004A643D">
        <w:rPr>
          <w:i w:val="0"/>
          <w:color w:val="auto"/>
          <w:sz w:val="16"/>
          <w:szCs w:val="16"/>
        </w:rPr>
        <w:fldChar w:fldCharType="begin" w:fldLock="1"/>
      </w:r>
      <w:r w:rsidR="00A53744">
        <w:rPr>
          <w:i w:val="0"/>
          <w:color w:val="auto"/>
          <w:sz w:val="16"/>
          <w:szCs w:val="16"/>
        </w:rPr>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"previouslyFormattedCitation" : "[13]" }, "properties" : { "noteIndex" : 0 }, "schema" : "https://github.com/citation-style-language/schema/raw/master/csl-citation.json" }</w:instrText>
      </w:r>
      <w:r w:rsidR="004A643D">
        <w:rPr>
          <w:i w:val="0"/>
          <w:color w:val="auto"/>
          <w:sz w:val="16"/>
          <w:szCs w:val="16"/>
        </w:rPr>
        <w:fldChar w:fldCharType="separate"/>
      </w:r>
      <w:r w:rsidR="001356A9" w:rsidRPr="001356A9">
        <w:rPr>
          <w:i w:val="0"/>
          <w:noProof/>
          <w:color w:val="auto"/>
          <w:sz w:val="16"/>
          <w:szCs w:val="16"/>
        </w:rPr>
        <w:t>[13]</w:t>
      </w:r>
      <w:r w:rsidR="004A643D">
        <w:rPr>
          <w:i w:val="0"/>
          <w:color w:val="auto"/>
          <w:sz w:val="16"/>
          <w:szCs w:val="16"/>
        </w:rPr>
        <w:fldChar w:fldCharType="end"/>
      </w:r>
      <w:r w:rsidR="004A643D">
        <w:rPr>
          <w:i w:val="0"/>
          <w:color w:val="auto"/>
          <w:sz w:val="16"/>
          <w:szCs w:val="16"/>
        </w:rPr>
        <w:t xml:space="preserve"> using the gene set they published (blue line)  as well as the gene set obtained from  applying their published method.</w:t>
      </w:r>
    </w:p>
    <w:p w14:paraId="6CE2D3A9" w14:textId="71FE5CF2" w:rsidR="002E06DE" w:rsidRDefault="002E06DE" w:rsidP="002E06DE">
      <w:pPr>
        <w:pStyle w:val="Heading2"/>
      </w:pPr>
      <w:r>
        <w:t>Neural Network Results</w:t>
      </w:r>
    </w:p>
    <w:p w14:paraId="5D5433D5" w14:textId="30CCA643" w:rsidR="00D05BA7" w:rsidRDefault="00CB5AEF" w:rsidP="00E21F2E">
      <w:r>
        <w:t>In an effort to identify more complex features in the data</w:t>
      </w:r>
      <w:r w:rsidR="007855AB">
        <w:t xml:space="preserve"> to improve predictions</w:t>
      </w:r>
      <w:r>
        <w:t xml:space="preserve">, I implemented a neural network. I </w:t>
      </w:r>
      <w:r>
        <w:lastRenderedPageBreak/>
        <w:t xml:space="preserve">experimented with a wide range of hyperparameters. For instance, I tested networks with 1 to 3 </w:t>
      </w:r>
      <w:r w:rsidR="002541CD">
        <w:t xml:space="preserve">hidden </w:t>
      </w:r>
      <w:r>
        <w:t xml:space="preserve">layers and 2 to 1000 nodes per layer. </w:t>
      </w:r>
      <w:r w:rsidR="002541CD">
        <w:t>Fig. 3 is a comparison of the error on the training set vs the test set over 300 epochs</w:t>
      </w:r>
      <w:r w:rsidR="009F60DF">
        <w:t xml:space="preserve"> of a network with a</w:t>
      </w:r>
      <w:r w:rsidR="002541CD">
        <w:t xml:space="preserve"> topology of two hidden layers with 10 nodes each. </w:t>
      </w:r>
      <w:r w:rsidR="00921626">
        <w:t>Most network topologies resulted in a very similar plot as Fig 3.</w:t>
      </w:r>
      <w:r w:rsidR="00921626">
        <w:t xml:space="preserve"> </w:t>
      </w:r>
      <w:r w:rsidR="009F60DF">
        <w:t xml:space="preserve">The training error is seen to descend initially then level off until epoch 200 where it begins to descend again. In contrast, the test set error increases initially then fluctuates at a high error for the remaining epochs. </w:t>
      </w:r>
      <w:r w:rsidR="002541CD">
        <w:t xml:space="preserve">This is an indication that the features learned in the training set do </w:t>
      </w:r>
      <w:r w:rsidR="00367B19">
        <w:t xml:space="preserve">not generalize to the test set. </w:t>
      </w:r>
      <w:r w:rsidR="0008461F">
        <w:t xml:space="preserve">If the model were overfitting, we would expect the test set error to initially drop then begin to increase when the model overfits. If the model were underfitting, then we would expect the training error to not descend at higher epochs. </w:t>
      </w:r>
      <w:r w:rsidR="00F77C0F">
        <w:t>Thus it is not a problem of overfitting or underfitting, it’s that there is not enough structure in the data to make strong predictions.</w:t>
      </w:r>
      <w:r w:rsidR="0008461F">
        <w:t xml:space="preserve"> </w:t>
      </w:r>
      <w:r w:rsidR="008F6D7A">
        <w:t xml:space="preserve">Fig 5 in the Supplemental section is a comparison of the network trained on the real microarray data (Fig 3) and the network trained on data that is completely random. The random data was sampled from a uniform distribution for each feature of each sample. </w:t>
      </w:r>
      <w:r w:rsidR="00D96F6F">
        <w:t xml:space="preserve">The </w:t>
      </w:r>
      <w:r w:rsidR="00D46E76">
        <w:t xml:space="preserve">two graphs are similar in that the test error does not decrease when the training error decreases, but they are different at the later epochs as the real data graph A) has high fluctuations in its test error whereas the simulated random data does not. </w:t>
      </w:r>
      <w:r w:rsidR="007367C2">
        <w:t xml:space="preserve">Nonetheless, </w:t>
      </w:r>
      <w:r w:rsidR="00581218">
        <w:t>Fig 5 is a</w:t>
      </w:r>
      <w:r w:rsidR="00B90EFA">
        <w:t>n</w:t>
      </w:r>
      <w:r w:rsidR="00581218">
        <w:t xml:space="preserve"> indication that the real data may not have much more structure than random data.  </w:t>
      </w:r>
    </w:p>
    <w:p w14:paraId="1BCD110B" w14:textId="77777777" w:rsidR="00EB6F66" w:rsidRDefault="00753891" w:rsidP="00EB6F66">
      <w:pPr>
        <w:keepNext/>
      </w:pPr>
      <w:r>
        <w:rPr>
          <w:noProof/>
        </w:rPr>
        <w:drawing>
          <wp:inline distT="0" distB="0" distL="0" distR="0" wp14:anchorId="4D3BB178" wp14:editId="06142F40">
            <wp:extent cx="320040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520315"/>
                    </a:xfrm>
                    <a:prstGeom prst="rect">
                      <a:avLst/>
                    </a:prstGeom>
                  </pic:spPr>
                </pic:pic>
              </a:graphicData>
            </a:graphic>
          </wp:inline>
        </w:drawing>
      </w:r>
    </w:p>
    <w:p w14:paraId="730C97D1" w14:textId="44004225" w:rsidR="00EE53EE" w:rsidRPr="00367B19" w:rsidRDefault="00EB6F66" w:rsidP="00367B19">
      <w:pPr>
        <w:pStyle w:val="Caption"/>
        <w:jc w:val="both"/>
        <w:rPr>
          <w:i w:val="0"/>
          <w:color w:val="auto"/>
          <w:sz w:val="16"/>
          <w:szCs w:val="16"/>
        </w:rPr>
      </w:pPr>
      <w:r w:rsidRPr="00EB6F66">
        <w:rPr>
          <w:color w:val="auto"/>
          <w:sz w:val="16"/>
          <w:szCs w:val="16"/>
        </w:rPr>
        <w:t xml:space="preserve">Fig </w:t>
      </w:r>
      <w:r w:rsidRPr="00EB6F66">
        <w:rPr>
          <w:color w:val="auto"/>
          <w:sz w:val="16"/>
          <w:szCs w:val="16"/>
        </w:rPr>
        <w:fldChar w:fldCharType="begin"/>
      </w:r>
      <w:r w:rsidRPr="00EB6F66">
        <w:rPr>
          <w:color w:val="auto"/>
          <w:sz w:val="16"/>
          <w:szCs w:val="16"/>
        </w:rPr>
        <w:instrText xml:space="preserve"> SEQ Figure \* ARABIC </w:instrText>
      </w:r>
      <w:r w:rsidRPr="00EB6F66">
        <w:rPr>
          <w:color w:val="auto"/>
          <w:sz w:val="16"/>
          <w:szCs w:val="16"/>
        </w:rPr>
        <w:fldChar w:fldCharType="separate"/>
      </w:r>
      <w:r w:rsidR="00BF39EA">
        <w:rPr>
          <w:noProof/>
          <w:color w:val="auto"/>
          <w:sz w:val="16"/>
          <w:szCs w:val="16"/>
        </w:rPr>
        <w:t>3</w:t>
      </w:r>
      <w:r w:rsidRPr="00EB6F66">
        <w:rPr>
          <w:color w:val="auto"/>
          <w:sz w:val="16"/>
          <w:szCs w:val="16"/>
        </w:rPr>
        <w:fldChar w:fldCharType="end"/>
      </w:r>
      <w:r w:rsidR="009B22DE">
        <w:rPr>
          <w:color w:val="auto"/>
          <w:sz w:val="16"/>
          <w:szCs w:val="16"/>
        </w:rPr>
        <w:t>.</w:t>
      </w:r>
      <w:r w:rsidRPr="00EB6F66">
        <w:rPr>
          <w:i w:val="0"/>
          <w:color w:val="auto"/>
          <w:sz w:val="16"/>
          <w:szCs w:val="16"/>
        </w:rPr>
        <w:t xml:space="preserve"> Neural Network Training (dashed blue) and Test Error (solid green)</w:t>
      </w:r>
      <w:r w:rsidR="008358FD">
        <w:rPr>
          <w:i w:val="0"/>
          <w:color w:val="auto"/>
          <w:sz w:val="16"/>
          <w:szCs w:val="16"/>
        </w:rPr>
        <w:t xml:space="preserve"> over 300 epochs.</w:t>
      </w:r>
    </w:p>
    <w:p w14:paraId="0255531E" w14:textId="77777777" w:rsidR="00D05BA7" w:rsidRDefault="00D05BA7" w:rsidP="00D05BA7">
      <w:pPr>
        <w:pStyle w:val="Heading1"/>
        <w:rPr>
          <w:b/>
        </w:rPr>
      </w:pPr>
      <w:r>
        <w:rPr>
          <w:b/>
        </w:rPr>
        <w:t>Discussion</w:t>
      </w:r>
    </w:p>
    <w:p w14:paraId="1D4D76D9" w14:textId="0688282A" w:rsidR="00E304B0" w:rsidRPr="00E304B0" w:rsidRDefault="00E304B0" w:rsidP="00E304B0">
      <w:pPr>
        <w:pStyle w:val="Heading2"/>
      </w:pPr>
      <w:r>
        <w:t>Possible Explanations for Poor Results</w:t>
      </w:r>
    </w:p>
    <w:p w14:paraId="0A0DE2B6" w14:textId="06942DCA" w:rsidR="00865664" w:rsidRDefault="00865664" w:rsidP="00865664">
      <w:r>
        <w:t xml:space="preserve">Takata and Kato have shown previously that their method could discriminate responders and non-responders </w:t>
      </w:r>
      <w:r w:rsidR="000D7B92">
        <w:t>almost perfectly (18/19 correct test samples)</w:t>
      </w:r>
      <w:r>
        <w:t xml:space="preserve">. However, using my dataset, they achieve </w:t>
      </w:r>
      <w:r w:rsidR="00CF228D">
        <w:t>an</w:t>
      </w:r>
      <w:r>
        <w:t xml:space="preserve"> </w:t>
      </w:r>
      <w:r w:rsidR="000D7B92">
        <w:t>AUC of</w:t>
      </w:r>
      <w:r w:rsidR="00CF228D">
        <w:t xml:space="preserve"> </w:t>
      </w:r>
      <w:r w:rsidR="00022378">
        <w:t>nearly 0.5</w:t>
      </w:r>
      <w:r w:rsidR="00CF228D">
        <w:t xml:space="preserve">, meaning there method </w:t>
      </w:r>
      <w:r w:rsidR="00022378">
        <w:t>was effectively random, just like the results of all the other methods I tried</w:t>
      </w:r>
      <w:r w:rsidR="00CF228D">
        <w:t xml:space="preserve">. </w:t>
      </w:r>
      <w:r w:rsidR="00A53744">
        <w:t xml:space="preserve">As an illustration of the difference between datasets, Fig 4A is a figure from Kato’s paper </w:t>
      </w:r>
      <w:r w:rsidR="00A53744">
        <w:fldChar w:fldCharType="begin" w:fldLock="1"/>
      </w:r>
      <w:r w:rsidR="00A53744">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 "properties" : { "noteIndex" : 0 }, "schema" : "https://github.com/citation-style-language/schema/raw/master/csl-citation.json" }</w:instrText>
      </w:r>
      <w:r w:rsidR="00A53744">
        <w:fldChar w:fldCharType="separate"/>
      </w:r>
      <w:r w:rsidR="00A53744" w:rsidRPr="00A53744">
        <w:rPr>
          <w:noProof/>
        </w:rPr>
        <w:t>[13]</w:t>
      </w:r>
      <w:r w:rsidR="00A53744">
        <w:fldChar w:fldCharType="end"/>
      </w:r>
      <w:r w:rsidR="00A53744">
        <w:t xml:space="preserve"> showing the prediction scores of the training and test sets. It is clear that the scores are clearly distinct between the two </w:t>
      </w:r>
      <w:r w:rsidR="00A53744">
        <w:lastRenderedPageBreak/>
        <w:t>classes. Fig 4B is the</w:t>
      </w:r>
      <w:r w:rsidR="00CB3DBA">
        <w:t xml:space="preserve"> prediction scores of the test set from</w:t>
      </w:r>
      <w:r w:rsidR="00A53744">
        <w:t xml:space="preserve"> </w:t>
      </w:r>
      <w:r w:rsidR="00CB3DBA">
        <w:t xml:space="preserve">applying the </w:t>
      </w:r>
      <w:r w:rsidR="00A53744">
        <w:t xml:space="preserve">same method to my dataset. There is no </w:t>
      </w:r>
      <w:r w:rsidR="00382518">
        <w:t xml:space="preserve">longer any </w:t>
      </w:r>
      <w:r w:rsidR="00A53744">
        <w:t xml:space="preserve">difference </w:t>
      </w:r>
      <w:r w:rsidR="00CB3DBA">
        <w:t>between the responders and non-responders</w:t>
      </w:r>
      <w:r w:rsidR="00A53744">
        <w:t xml:space="preserve">.  </w:t>
      </w:r>
      <w:r w:rsidR="00CF228D">
        <w:t>The reason for this</w:t>
      </w:r>
      <w:r>
        <w:t xml:space="preserve"> </w:t>
      </w:r>
      <w:r w:rsidR="00CF228D">
        <w:t>outcome</w:t>
      </w:r>
      <w:r>
        <w:t xml:space="preserve"> could be that</w:t>
      </w:r>
      <w:r w:rsidRPr="00865664">
        <w:t xml:space="preserve"> the measurements of the gene expressions from the microarrays </w:t>
      </w:r>
      <w:r>
        <w:t xml:space="preserve">in my dataset </w:t>
      </w:r>
      <w:r w:rsidR="00CF228D">
        <w:t>may</w:t>
      </w:r>
      <w:r w:rsidRPr="00865664">
        <w:t xml:space="preserve"> have been very noisy causing the input data to be imprecise. Similarly, there could have been errors when labeling the samples as a responder</w:t>
      </w:r>
      <w:r>
        <w:t>s</w:t>
      </w:r>
      <w:r w:rsidRPr="00865664">
        <w:t xml:space="preserve"> or non-responder</w:t>
      </w:r>
      <w:r>
        <w:t xml:space="preserve">s. For these possible reasons, </w:t>
      </w:r>
      <w:r w:rsidR="00022378">
        <w:t>the method used by Takata and Kato</w:t>
      </w:r>
      <w:r>
        <w:t xml:space="preserve"> performed </w:t>
      </w:r>
      <w:r w:rsidR="001D33BF">
        <w:t>much better on their dataset tha</w:t>
      </w:r>
      <w:r>
        <w:t>n mine.</w:t>
      </w:r>
    </w:p>
    <w:p w14:paraId="3F278382" w14:textId="489F2B29" w:rsidR="00E304B0" w:rsidRDefault="00E304B0" w:rsidP="00865664">
      <w:pPr>
        <w:pStyle w:val="Heading2"/>
      </w:pPr>
      <w:r>
        <w:t>Relabeling Data</w:t>
      </w:r>
    </w:p>
    <w:p w14:paraId="79A5C93A" w14:textId="49BCE690" w:rsidR="00022378" w:rsidRDefault="00EF2936" w:rsidP="00865664">
      <w:r>
        <w:t xml:space="preserve">To ensure that the reason for the poor accuracy was not due to mislabeling, I tried relabeling the data based on different definitions of being a responder. Initially, the definition of responder was </w:t>
      </w:r>
      <w:r w:rsidR="00B1761D">
        <w:t>that the post-chemo sample be</w:t>
      </w:r>
      <w:r>
        <w:t xml:space="preserve"> at a stage less than 2 (</w:t>
      </w:r>
      <w:r w:rsidRPr="00607572">
        <w:t>pT&lt;2</w:t>
      </w:r>
      <w:r>
        <w:t>)</w:t>
      </w:r>
      <w:r w:rsidRPr="00607572">
        <w:t xml:space="preserve"> and</w:t>
      </w:r>
      <w:r>
        <w:t xml:space="preserve"> </w:t>
      </w:r>
      <w:r w:rsidR="00B1761D">
        <w:t>be</w:t>
      </w:r>
      <w:r w:rsidRPr="00607572">
        <w:t xml:space="preserve"> lymph node negative</w:t>
      </w:r>
      <w:r>
        <w:t xml:space="preserve">. One example of a new responder definition is if there is any decrease in stage of the tumour </w:t>
      </w:r>
      <w:r w:rsidR="00B1761D">
        <w:t xml:space="preserve">(not necessarily less than 2) </w:t>
      </w:r>
      <w:r>
        <w:t>then we classify that sample as a responder. I tested this relabeling scheme and others but unfortunately the methods were still unsuccessful at effectively classifying the two classes.</w:t>
      </w:r>
    </w:p>
    <w:p w14:paraId="60A1EC34" w14:textId="35401D1C" w:rsidR="00F30FD0" w:rsidRDefault="00F30FD0" w:rsidP="00865664">
      <w:pPr>
        <w:pStyle w:val="Heading2"/>
      </w:pPr>
      <w:r>
        <w:t>Simulated</w:t>
      </w:r>
      <w:r>
        <w:t xml:space="preserve"> Data</w:t>
      </w:r>
      <w:r>
        <w:t xml:space="preserve"> and L1 Logistic Regression</w:t>
      </w:r>
    </w:p>
    <w:p w14:paraId="7043910E" w14:textId="00A799DB" w:rsidR="00ED10D2" w:rsidRDefault="00ED10D2" w:rsidP="00865664">
      <w:r>
        <w:t xml:space="preserve">As a proof of concept, </w:t>
      </w:r>
      <w:r w:rsidR="0092512B">
        <w:t>I</w:t>
      </w:r>
      <w:r>
        <w:t xml:space="preserve"> simulated data to compare the effectiveness of the various methods. </w:t>
      </w:r>
      <w:r w:rsidRPr="00ED10D2">
        <w:t xml:space="preserve">The assumption I make for the simulated data is that the majority of the features/genes are non-informative for distinguishing the two classes but there is a small subset of the features that are informative. So for the majority of the features, I sample from the same Gaussian for both classes, whereas for a minority of the features, each class is sampled from two different (possibly overlapping) Gaussians. If I make 100 samples (50 for training, 50 for validation) with 100 features and 10 of those features being distinguishable, then most of the methods perform well (&gt;96% accuracy). If I increase the number of features to 9000 (similar to this project) and keep 10 distinguishable features, then most methods do poorly (&lt;60% accuracy) except Logistic Regression with L1 regularization (&gt;90% accuracy). This must be because L1 gives zero weight to all features that don't seem useful whereas the other methods give a little weight to most features which ends up being a significant amount of noise when predicting validation samples. </w:t>
      </w:r>
      <w:r>
        <w:t xml:space="preserve">This result is in accordance with Andrew Ng’s paper on L1 regularization and irrelevant features </w:t>
      </w:r>
      <w:r>
        <w:fldChar w:fldCharType="begin" w:fldLock="1"/>
      </w:r>
      <w:r w:rsidR="00A53744">
        <w:instrText>ADDIN CSL_CITATION { "citationItems" : [ { "id" : "ITEM-1", "itemData" : { "DOI" : "10.1145/1015330.1015435", "ISBN" : "1581138285", "abstract" : "We consider supervised learning in the presence of very many irrelevant features, and study two different regularization methods for preventing overfitting. Focusing on logistic regression, we show that using L1 regularization of the parameters, the sample complexity (i.e., the number of training examples required to learn \"well,\") grows only logarithmically in the number of irrelevant features. This logarithmic rate matches the best known bounds for feature selection, and indicates that L1 regularized logistic regression can be effective even if there are exponentially many irrelevant features as there are training examples. We also give a lower-bound showing that any rotationally invariant algorithm---including logistic regression with L2 regularization, SVMs, and neural networks trained by backpropagation---has a worst case sample complexity that grows at least linearly in the number of irrelevant features.", "author" : [ { "dropping-particle" : "", "family" : "Ng", "given" : "Andrew Y.", "non-dropping-particle" : "", "parse-names" : false, "suffix" : "" } ], "container-title" : "Twenty-first international conference on Machine learning - ICML '04", "id" : "ITEM-1", "issued" : { "date-parts" : [ [ "2004" ] ] }, "page" : "78", "title" : "Feature selection, L1 vs. L2 regularization, and rotational invariance", "type" : "article-journal" }, "uris" : [ "http://www.mendeley.com/documents/?uuid=8a7869c6-b964-451a-a25c-a668a3d3de66" ] } ], "mendeley" : { "formattedCitation" : "[14]", "plainTextFormattedCitation" : "[14]", "previouslyFormattedCitation" : "[14]" }, "properties" : { "noteIndex" : 0 }, "schema" : "https://github.com/citation-style-language/schema/raw/master/csl-citation.json" }</w:instrText>
      </w:r>
      <w:r>
        <w:fldChar w:fldCharType="separate"/>
      </w:r>
      <w:r w:rsidR="001356A9" w:rsidRPr="001356A9">
        <w:rPr>
          <w:noProof/>
        </w:rPr>
        <w:t>[14]</w:t>
      </w:r>
      <w:r>
        <w:fldChar w:fldCharType="end"/>
      </w:r>
      <w:r>
        <w:t xml:space="preserve">. </w:t>
      </w:r>
      <w:r w:rsidRPr="00ED10D2">
        <w:t>Bas</w:t>
      </w:r>
      <w:r>
        <w:t>ically, the simulated data showed</w:t>
      </w:r>
      <w:r w:rsidRPr="00ED10D2">
        <w:t xml:space="preserve"> that if there were genes that were differentially expressed then atleast L1 Logistic regression should be able to find them. </w:t>
      </w:r>
    </w:p>
    <w:p w14:paraId="073E6AAD" w14:textId="72ADC7CC" w:rsidR="00B7786F" w:rsidRDefault="00B7786F" w:rsidP="00865664">
      <w:pPr>
        <w:pStyle w:val="Heading2"/>
      </w:pPr>
      <w:r>
        <w:t xml:space="preserve">Other </w:t>
      </w:r>
      <w:r w:rsidR="00B270A8">
        <w:t>Attempts</w:t>
      </w:r>
    </w:p>
    <w:p w14:paraId="43623670" w14:textId="360DAA67" w:rsidR="00BB3054" w:rsidRDefault="00BB3054" w:rsidP="00865664">
      <w:r>
        <w:t>I tried taking a majority vote for each sample to decide its class using a few different methods. The result was that the combination was the same or worse than any individual method.</w:t>
      </w:r>
    </w:p>
    <w:p w14:paraId="7F66D1B0" w14:textId="4886BDCB" w:rsidR="00300B4B" w:rsidRDefault="00AA2E5F" w:rsidP="00865664">
      <w:r>
        <w:t xml:space="preserve">Next, rather than trying to find significant genes, I investigated whether genes that have been reported to have an influence on chemotherapy response were predictive in my dataset. To this end, I </w:t>
      </w:r>
      <w:r w:rsidR="00FA351D">
        <w:t xml:space="preserve">selected genes BRCA1, Bcl-2, </w:t>
      </w:r>
      <w:r w:rsidR="00057C8B">
        <w:t xml:space="preserve">and </w:t>
      </w:r>
      <w:r w:rsidR="00FA351D">
        <w:t>p53</w:t>
      </w:r>
      <w:r w:rsidR="00057C8B">
        <w:t xml:space="preserve"> and ran </w:t>
      </w:r>
      <w:r w:rsidR="00BB3054">
        <w:t xml:space="preserve">my methods on them individually. None of the methods achieved </w:t>
      </w:r>
      <w:r w:rsidR="00BB3054">
        <w:lastRenderedPageBreak/>
        <w:t>an accuracy higher than 71%, which is equal to assigning all samples to one class.</w:t>
      </w:r>
    </w:p>
    <w:p w14:paraId="2D399F37" w14:textId="751CCCD4" w:rsidR="00AA2E5F" w:rsidRDefault="00D97A7E" w:rsidP="00865664">
      <w:r>
        <w:t>Finally, instead applying supervised methods, I tried clustering the data to see if the assigned labels</w:t>
      </w:r>
      <w:r w:rsidR="006865BB">
        <w:t xml:space="preserve"> would</w:t>
      </w:r>
      <w:r>
        <w:t xml:space="preserve"> have any relation to response. </w:t>
      </w:r>
      <w:r w:rsidR="006865BB">
        <w:t>I first applied PCA to reduce the dimensionality to 50 then fitted a Gaussian Mixture Model</w:t>
      </w:r>
      <w:r w:rsidR="00833EC4">
        <w:t xml:space="preserve"> with two clusters</w:t>
      </w:r>
      <w:r w:rsidR="006865BB">
        <w:t>. The predicted classes ended up not having any sensible relation to the response of the samples.</w:t>
      </w:r>
    </w:p>
    <w:p w14:paraId="795DDEB7" w14:textId="77077DFD" w:rsidR="00B23B10" w:rsidRDefault="00416D44" w:rsidP="00865664">
      <w:pPr>
        <w:pStyle w:val="Heading2"/>
      </w:pPr>
      <w:r>
        <w:t>Future Directions</w:t>
      </w:r>
    </w:p>
    <w:p w14:paraId="637C17E8" w14:textId="79B37D82" w:rsidR="002A1A87" w:rsidRDefault="002A1A87" w:rsidP="00865664">
      <w:r>
        <w:t>For my future directions, I will aim to acquire a new dataset. Ideally, the new dataset will have more samples which will reduce the overfitting of my models</w:t>
      </w:r>
      <w:r w:rsidR="00D71289">
        <w:t xml:space="preserve"> and reduce the effect of outliers</w:t>
      </w:r>
      <w:r>
        <w:t xml:space="preserve">. </w:t>
      </w:r>
      <w:r w:rsidR="00D71289">
        <w:t>Furthermore, the data come from RNASeq rather than microarray. The TCGA would good source for this data.</w:t>
      </w:r>
      <w:r w:rsidR="00057C8B">
        <w:t xml:space="preserve"> Furthermore, rather than predicting from single gene expressions</w:t>
      </w:r>
      <w:r w:rsidR="005939C2">
        <w:t>, we should be looking at pathways. We could create</w:t>
      </w:r>
      <w:r w:rsidR="00057C8B">
        <w:t xml:space="preserve"> </w:t>
      </w:r>
      <w:r w:rsidR="00862D31">
        <w:t>metagene</w:t>
      </w:r>
      <w:r w:rsidR="005939C2">
        <w:t xml:space="preserve">s based on the expressions of genes involved in the same pathway. </w:t>
      </w:r>
      <w:r w:rsidR="00714FCC">
        <w:t>These metagenes would help reduce dimensionality, increase regularization, and help the interpretability of the model.</w:t>
      </w:r>
    </w:p>
    <w:p w14:paraId="49ED7B75" w14:textId="77777777" w:rsidR="001D33BF" w:rsidRDefault="001D33BF" w:rsidP="00865664"/>
    <w:p w14:paraId="738DACAC" w14:textId="77777777" w:rsidR="00D05BA7" w:rsidRPr="00971CA7" w:rsidRDefault="00D05BA7" w:rsidP="00D05BA7">
      <w:pPr>
        <w:pStyle w:val="Heading1"/>
        <w:rPr>
          <w:b/>
        </w:rPr>
      </w:pPr>
      <w:r w:rsidRPr="00971CA7">
        <w:rPr>
          <w:b/>
        </w:rPr>
        <w:t>Conclusion</w:t>
      </w:r>
    </w:p>
    <w:p w14:paraId="5DF92135" w14:textId="6F1DBB99" w:rsidR="00D05BA7" w:rsidRPr="00625436" w:rsidRDefault="0005368C" w:rsidP="00625436">
      <w:pPr>
        <w:pStyle w:val="Heading2"/>
        <w:numPr>
          <w:ilvl w:val="0"/>
          <w:numId w:val="0"/>
        </w:numPr>
        <w:rPr>
          <w:i w:val="0"/>
        </w:rPr>
      </w:pPr>
      <w:r>
        <w:rPr>
          <w:i w:val="0"/>
        </w:rPr>
        <w:t>The goal of this project was</w:t>
      </w:r>
      <w:r w:rsidR="00D05BA7" w:rsidRPr="00607572">
        <w:rPr>
          <w:i w:val="0"/>
        </w:rPr>
        <w:t xml:space="preserve"> to improve the prediction of response of muscle-invasive bladder cancer to neoadjuvant chemotherapy</w:t>
      </w:r>
      <w:r>
        <w:rPr>
          <w:i w:val="0"/>
        </w:rPr>
        <w:t xml:space="preserve">. </w:t>
      </w:r>
      <w:r w:rsidR="006B3A37">
        <w:rPr>
          <w:i w:val="0"/>
        </w:rPr>
        <w:t xml:space="preserve">Given my dataset, none of the methods that I used were able to efficiently distinguish responders from non-responders. </w:t>
      </w:r>
      <w:r w:rsidR="008245B2">
        <w:rPr>
          <w:i w:val="0"/>
        </w:rPr>
        <w:t>In addition, t</w:t>
      </w:r>
      <w:r w:rsidR="006B3A37">
        <w:rPr>
          <w:i w:val="0"/>
        </w:rPr>
        <w:t xml:space="preserve">he method </w:t>
      </w:r>
      <w:r w:rsidR="008245B2">
        <w:rPr>
          <w:i w:val="0"/>
        </w:rPr>
        <w:t>used in Kato</w:t>
      </w:r>
      <w:r w:rsidR="006B3A37">
        <w:rPr>
          <w:i w:val="0"/>
        </w:rPr>
        <w:t xml:space="preserve"> et al. was </w:t>
      </w:r>
      <w:r w:rsidR="0072703E">
        <w:rPr>
          <w:i w:val="0"/>
        </w:rPr>
        <w:t xml:space="preserve">also </w:t>
      </w:r>
      <w:r w:rsidR="006B3A37">
        <w:rPr>
          <w:i w:val="0"/>
        </w:rPr>
        <w:t xml:space="preserve">unable to accurately classify the two classes. Furthermore, the features learned by the neural net </w:t>
      </w:r>
      <w:r w:rsidR="0072703E">
        <w:rPr>
          <w:i w:val="0"/>
        </w:rPr>
        <w:t>using</w:t>
      </w:r>
      <w:r w:rsidR="006B3A37">
        <w:rPr>
          <w:i w:val="0"/>
        </w:rPr>
        <w:t xml:space="preserve"> the training set did not generalize to the test set. Therefore, it is likely that this particular dataset may be </w:t>
      </w:r>
      <w:r w:rsidR="00770612">
        <w:rPr>
          <w:i w:val="0"/>
        </w:rPr>
        <w:t>too noisy to accurately predict response. Future work should incorporate data from other sources, such as the TCGA.</w:t>
      </w:r>
    </w:p>
    <w:p w14:paraId="397BC552" w14:textId="77777777" w:rsidR="00D05BA7" w:rsidRDefault="00D05BA7" w:rsidP="00D05BA7">
      <w:pPr>
        <w:pStyle w:val="Text"/>
        <w:ind w:firstLine="0"/>
      </w:pPr>
    </w:p>
    <w:p w14:paraId="5C4DB72D" w14:textId="77777777" w:rsidR="00D05BA7" w:rsidRPr="00971CA7" w:rsidRDefault="00D05BA7" w:rsidP="00D05BA7">
      <w:pPr>
        <w:pStyle w:val="ReferenceHead"/>
        <w:rPr>
          <w:b/>
        </w:rPr>
      </w:pPr>
      <w:r w:rsidRPr="00971CA7">
        <w:rPr>
          <w:b/>
        </w:rPr>
        <w:t>References</w:t>
      </w:r>
    </w:p>
    <w:p w14:paraId="5CA37190" w14:textId="44A17D43" w:rsidR="00A53744" w:rsidRPr="00A53744" w:rsidRDefault="00D05BA7">
      <w:pPr>
        <w:pStyle w:val="NormalWeb"/>
        <w:ind w:left="640" w:hanging="640"/>
        <w:divId w:val="952443261"/>
        <w:rPr>
          <w:rFonts w:ascii="TimesNewRomanPS-ItalicMT" w:hAnsi="TimesNewRomanPS-ItalicMT"/>
          <w:noProof/>
          <w:sz w:val="16"/>
        </w:rPr>
      </w:pPr>
      <w:r w:rsidRPr="00EF103E">
        <w:rPr>
          <w:rFonts w:ascii="TimesNewRomanPS-ItalicMT" w:hAnsi="TimesNewRomanPS-ItalicMT" w:cs="TimesNewRomanPS-ItalicMT"/>
          <w:i/>
          <w:iCs/>
          <w:sz w:val="16"/>
          <w:szCs w:val="16"/>
        </w:rPr>
        <w:fldChar w:fldCharType="begin" w:fldLock="1"/>
      </w:r>
      <w:r w:rsidRPr="00EF103E">
        <w:rPr>
          <w:rFonts w:ascii="TimesNewRomanPS-ItalicMT" w:hAnsi="TimesNewRomanPS-ItalicMT" w:cs="TimesNewRomanPS-ItalicMT"/>
          <w:i/>
          <w:iCs/>
          <w:sz w:val="16"/>
          <w:szCs w:val="16"/>
        </w:rPr>
        <w:instrText xml:space="preserve">ADDIN Mendeley Bibliography CSL_BIBLIOGRAPHY </w:instrText>
      </w:r>
      <w:r w:rsidRPr="00EF103E">
        <w:rPr>
          <w:rFonts w:ascii="TimesNewRomanPS-ItalicMT" w:hAnsi="TimesNewRomanPS-ItalicMT" w:cs="TimesNewRomanPS-ItalicMT"/>
          <w:i/>
          <w:iCs/>
          <w:sz w:val="16"/>
          <w:szCs w:val="16"/>
        </w:rPr>
        <w:fldChar w:fldCharType="separate"/>
      </w:r>
      <w:r w:rsidR="00A53744" w:rsidRPr="00A53744">
        <w:rPr>
          <w:rFonts w:ascii="TimesNewRomanPS-ItalicMT" w:hAnsi="TimesNewRomanPS-ItalicMT"/>
          <w:noProof/>
          <w:sz w:val="16"/>
        </w:rPr>
        <w:t>[1]</w:t>
      </w:r>
      <w:r w:rsidR="00A53744" w:rsidRPr="00A53744">
        <w:rPr>
          <w:rFonts w:ascii="TimesNewRomanPS-ItalicMT" w:hAnsi="TimesNewRomanPS-ItalicMT"/>
          <w:noProof/>
          <w:sz w:val="16"/>
        </w:rPr>
        <w:tab/>
        <w:t xml:space="preserve">Z. Kirkali, T. Chan, M. Manoharan, F. Algaba, C. Busch, L. Cheng, L. Kiemeney, M. Kriegmair, R. Montironi, W. M. Murphy, I. a. Sesterhenn, M. Tachibana, and J. Weider, “Bladder cancer: Epidemiology, staging and grading, and diagnosis,” </w:t>
      </w:r>
      <w:r w:rsidR="00A53744" w:rsidRPr="00A53744">
        <w:rPr>
          <w:rFonts w:ascii="TimesNewRomanPS-ItalicMT" w:hAnsi="TimesNewRomanPS-ItalicMT"/>
          <w:i/>
          <w:iCs/>
          <w:noProof/>
          <w:sz w:val="16"/>
        </w:rPr>
        <w:t>Urology</w:t>
      </w:r>
      <w:r w:rsidR="00A53744" w:rsidRPr="00A53744">
        <w:rPr>
          <w:rFonts w:ascii="TimesNewRomanPS-ItalicMT" w:hAnsi="TimesNewRomanPS-ItalicMT"/>
          <w:noProof/>
          <w:sz w:val="16"/>
        </w:rPr>
        <w:t>, vol. 66, pp. 4–34, 2005.</w:t>
      </w:r>
    </w:p>
    <w:p w14:paraId="05488D83"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[2]</w:t>
      </w:r>
      <w:r w:rsidRPr="00A53744">
        <w:rPr>
          <w:rFonts w:ascii="TimesNewRomanPS-ItalicMT" w:hAnsi="TimesNewRomanPS-ItalicMT"/>
          <w:noProof/>
          <w:sz w:val="16"/>
        </w:rPr>
        <w:tab/>
        <w:t xml:space="preserve">J. S. Chang, P. N. Lara, and C. X. Pan, “Progress in personalizing chemotherapy for bladder cancer,” </w:t>
      </w:r>
      <w:r w:rsidRPr="00A53744">
        <w:rPr>
          <w:rFonts w:ascii="TimesNewRomanPS-ItalicMT" w:hAnsi="TimesNewRomanPS-ItalicMT"/>
          <w:i/>
          <w:iCs/>
          <w:noProof/>
          <w:sz w:val="16"/>
        </w:rPr>
        <w:t>Adv. Urol.</w:t>
      </w:r>
      <w:r w:rsidRPr="00A53744">
        <w:rPr>
          <w:rFonts w:ascii="TimesNewRomanPS-ItalicMT" w:hAnsi="TimesNewRomanPS-ItalicMT"/>
          <w:noProof/>
          <w:sz w:val="16"/>
        </w:rPr>
        <w:t>, vol. 2012, 2012.</w:t>
      </w:r>
    </w:p>
    <w:p w14:paraId="4B699928"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[3]</w:t>
      </w:r>
      <w:r w:rsidRPr="00A53744">
        <w:rPr>
          <w:rFonts w:ascii="TimesNewRomanPS-ItalicMT" w:hAnsi="TimesNewRomanPS-ItalicMT"/>
          <w:noProof/>
          <w:sz w:val="16"/>
        </w:rPr>
        <w:tab/>
        <w:t xml:space="preserve">H. B. Grossman, R. B. Natale, C. M. Tangen, V. O. Speights, N. J. Vogelzang, D. L. Trump, R. W. deVere White, M. F. Sarosdy, D. P. Wood, D. Raghavan, and E. D. Crawford, “Neoadjuvant chemotherapy plus cystectomy compared with cystectomy alone for locally advanced bladder cancer.,” </w:t>
      </w:r>
      <w:r w:rsidRPr="00A53744">
        <w:rPr>
          <w:rFonts w:ascii="TimesNewRomanPS-ItalicMT" w:hAnsi="TimesNewRomanPS-ItalicMT"/>
          <w:i/>
          <w:iCs/>
          <w:noProof/>
          <w:sz w:val="16"/>
        </w:rPr>
        <w:t>N. Engl. J. Med.</w:t>
      </w:r>
      <w:r w:rsidRPr="00A53744">
        <w:rPr>
          <w:rFonts w:ascii="TimesNewRomanPS-ItalicMT" w:hAnsi="TimesNewRomanPS-ItalicMT"/>
          <w:noProof/>
          <w:sz w:val="16"/>
        </w:rPr>
        <w:t>, vol. 349, pp. 859–866, 2003.</w:t>
      </w:r>
    </w:p>
    <w:p w14:paraId="2D2560B5"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[4]</w:t>
      </w:r>
      <w:r w:rsidRPr="00A53744">
        <w:rPr>
          <w:rFonts w:ascii="TimesNewRomanPS-ItalicMT" w:hAnsi="TimesNewRomanPS-ItalicMT"/>
          <w:noProof/>
          <w:sz w:val="16"/>
        </w:rPr>
        <w:tab/>
        <w:t xml:space="preserve">G. Griffiths, “International phase III trial assessing neoadjuvant cisplatin, methotrexate, and vinblastine chemotherapy for muscle-invasive bladder cancer: Long-term results of the BA06 30894 trial,” </w:t>
      </w:r>
      <w:r w:rsidRPr="00A53744">
        <w:rPr>
          <w:rFonts w:ascii="TimesNewRomanPS-ItalicMT" w:hAnsi="TimesNewRomanPS-ItalicMT"/>
          <w:i/>
          <w:iCs/>
          <w:noProof/>
          <w:sz w:val="16"/>
        </w:rPr>
        <w:t>J. Clin. Oncol.</w:t>
      </w:r>
      <w:r w:rsidRPr="00A53744">
        <w:rPr>
          <w:rFonts w:ascii="TimesNewRomanPS-ItalicMT" w:hAnsi="TimesNewRomanPS-ItalicMT"/>
          <w:noProof/>
          <w:sz w:val="16"/>
        </w:rPr>
        <w:t>, vol. 29, no. 16, pp. 2171–2177, 2011.</w:t>
      </w:r>
    </w:p>
    <w:p w14:paraId="0DFBDD0B"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[5]</w:t>
      </w:r>
      <w:r w:rsidRPr="00A53744">
        <w:rPr>
          <w:rFonts w:ascii="TimesNewRomanPS-ItalicMT" w:hAnsi="TimesNewRomanPS-ItalicMT"/>
          <w:noProof/>
          <w:sz w:val="16"/>
        </w:rPr>
        <w:tab/>
        <w:t xml:space="preserve">A. Font, M. Taron, J. L. Gago, C. Costa, J. J. Sánchez, C. Carrato, M. Mora, P. Celiz, L. Perez, D. Rodríguez, A. Gimenez-Capitan, V. </w:t>
      </w:r>
      <w:r w:rsidRPr="00A53744">
        <w:rPr>
          <w:rFonts w:ascii="TimesNewRomanPS-ItalicMT" w:hAnsi="TimesNewRomanPS-ItalicMT"/>
          <w:noProof/>
          <w:sz w:val="16"/>
        </w:rPr>
        <w:lastRenderedPageBreak/>
        <w:t xml:space="preserve">Quiroga, S. Benlloch, L. Ibarz, and R. Rosell, “BRCA1 mRNA expression and outcome to neoadjuvant cisplatin-based chemotherapy in bladder cancer,” </w:t>
      </w:r>
      <w:r w:rsidRPr="00A53744">
        <w:rPr>
          <w:rFonts w:ascii="TimesNewRomanPS-ItalicMT" w:hAnsi="TimesNewRomanPS-ItalicMT"/>
          <w:i/>
          <w:iCs/>
          <w:noProof/>
          <w:sz w:val="16"/>
        </w:rPr>
        <w:t>Ann. Oncol.</w:t>
      </w:r>
      <w:r w:rsidRPr="00A53744">
        <w:rPr>
          <w:rFonts w:ascii="TimesNewRomanPS-ItalicMT" w:hAnsi="TimesNewRomanPS-ItalicMT"/>
          <w:noProof/>
          <w:sz w:val="16"/>
        </w:rPr>
        <w:t>, vol. 22, no. July 2010, pp. 139–144, 2011.</w:t>
      </w:r>
    </w:p>
    <w:p w14:paraId="125BA7F2"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[6]</w:t>
      </w:r>
      <w:r w:rsidRPr="00A53744">
        <w:rPr>
          <w:rFonts w:ascii="TimesNewRomanPS-ItalicMT" w:hAnsi="TimesNewRomanPS-ItalicMT"/>
          <w:noProof/>
          <w:sz w:val="16"/>
        </w:rPr>
        <w:tab/>
        <w:t xml:space="preserve">B. Kiss, M. D, V. Skuginna, M. D, A. Fleischmann, M. D, R. H. Bell, C. Collins, D. Ph, G. N. Thalmann, M. D, R. Seiler, and M. D, “Bcl-2 predicts response to neoadjuvant chemotherapy and is overexpressed in lymph node metastases of urothelial cancer of the bladder,” </w:t>
      </w:r>
      <w:r w:rsidRPr="00A53744">
        <w:rPr>
          <w:rFonts w:ascii="TimesNewRomanPS-ItalicMT" w:hAnsi="TimesNewRomanPS-ItalicMT"/>
          <w:i/>
          <w:iCs/>
          <w:noProof/>
          <w:sz w:val="16"/>
        </w:rPr>
        <w:t>Urol. Oncol. Semin. Orig. Investig.</w:t>
      </w:r>
      <w:r w:rsidRPr="00A53744">
        <w:rPr>
          <w:rFonts w:ascii="TimesNewRomanPS-ItalicMT" w:hAnsi="TimesNewRomanPS-ItalicMT"/>
          <w:noProof/>
          <w:sz w:val="16"/>
        </w:rPr>
        <w:t>, pp. 1–8, 2015.</w:t>
      </w:r>
    </w:p>
    <w:p w14:paraId="6146A430"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[7]</w:t>
      </w:r>
      <w:r w:rsidRPr="00A53744">
        <w:rPr>
          <w:rFonts w:ascii="TimesNewRomanPS-ItalicMT" w:hAnsi="TimesNewRomanPS-ItalicMT"/>
          <w:noProof/>
          <w:sz w:val="16"/>
        </w:rPr>
        <w:tab/>
        <w:t>D. J. Mcconkey, W. Choi, and C. P. N. Dinney, “New Insights into Subtypes of Invasive Bladder Cancer : Considerations of the Clinician,” vol. 66, pp. 609–610, 2014.</w:t>
      </w:r>
    </w:p>
    <w:p w14:paraId="6E15A4E5"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[8]</w:t>
      </w:r>
      <w:r w:rsidRPr="00A53744">
        <w:rPr>
          <w:rFonts w:ascii="TimesNewRomanPS-ItalicMT" w:hAnsi="TimesNewRomanPS-ItalicMT"/>
          <w:noProof/>
          <w:sz w:val="16"/>
        </w:rPr>
        <w:tab/>
        <w:t>W. Choi, S. Porten, S. Kim, D. Willis, E. R. Plimack, B. Roth, T. Cheng, M. Tran, I. Lee, J. Melquist, J. Bondaruk, T. Majewski, S. Zhang, S. Pretzsch, and K. Baggerly, “chemotherapy,” vol. 25, no. 2, pp. 152–165, 2014.</w:t>
      </w:r>
    </w:p>
    <w:p w14:paraId="4F63CEC4"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[9]</w:t>
      </w:r>
      <w:r w:rsidRPr="00A53744">
        <w:rPr>
          <w:rFonts w:ascii="TimesNewRomanPS-ItalicMT" w:hAnsi="TimesNewRomanPS-ItalicMT"/>
          <w:noProof/>
          <w:sz w:val="16"/>
        </w:rPr>
        <w:tab/>
        <w:t xml:space="preserve">J. K. Lee, D. M. Havaleshko, H. Cho, J. N. Weinstein, E. P. Kaldjian, J. Karpovich, a. Grimshaw, and D. Theodorescu, “A strategy for predicting the chemosensitivity of human cancers and its application to drug discovery,” </w:t>
      </w:r>
      <w:r w:rsidRPr="00A53744">
        <w:rPr>
          <w:rFonts w:ascii="TimesNewRomanPS-ItalicMT" w:hAnsi="TimesNewRomanPS-ItalicMT"/>
          <w:i/>
          <w:iCs/>
          <w:noProof/>
          <w:sz w:val="16"/>
        </w:rPr>
        <w:t>J. Urol.</w:t>
      </w:r>
      <w:r w:rsidRPr="00A53744">
        <w:rPr>
          <w:rFonts w:ascii="TimesNewRomanPS-ItalicMT" w:hAnsi="TimesNewRomanPS-ItalicMT"/>
          <w:noProof/>
          <w:sz w:val="16"/>
        </w:rPr>
        <w:t>, vol. 179, p. 787, 2008.</w:t>
      </w:r>
    </w:p>
    <w:p w14:paraId="43000C7F"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[10]</w:t>
      </w:r>
      <w:r w:rsidRPr="00A53744">
        <w:rPr>
          <w:rFonts w:ascii="TimesNewRomanPS-ItalicMT" w:hAnsi="TimesNewRomanPS-ItalicMT"/>
          <w:noProof/>
          <w:sz w:val="16"/>
        </w:rPr>
        <w:tab/>
        <w:t xml:space="preserve">S. C. Smith, A. S. Baras, J. K. Lee, and D. Theodorescu, “The COXEN principle: Translating signatures of in vitro </w:t>
      </w:r>
      <w:r w:rsidRPr="00A53744">
        <w:rPr>
          <w:rFonts w:ascii="TimesNewRomanPS-ItalicMT" w:hAnsi="TimesNewRomanPS-ItalicMT"/>
          <w:noProof/>
          <w:sz w:val="16"/>
        </w:rPr>
        <w:lastRenderedPageBreak/>
        <w:t xml:space="preserve">chemosensitivity into tools for clinical outcome prediction and drug discovery in cancer,” </w:t>
      </w:r>
      <w:r w:rsidRPr="00A53744">
        <w:rPr>
          <w:rFonts w:ascii="TimesNewRomanPS-ItalicMT" w:hAnsi="TimesNewRomanPS-ItalicMT"/>
          <w:i/>
          <w:iCs/>
          <w:noProof/>
          <w:sz w:val="16"/>
        </w:rPr>
        <w:t>Cancer Res.</w:t>
      </w:r>
      <w:r w:rsidRPr="00A53744">
        <w:rPr>
          <w:rFonts w:ascii="TimesNewRomanPS-ItalicMT" w:hAnsi="TimesNewRomanPS-ItalicMT"/>
          <w:noProof/>
          <w:sz w:val="16"/>
        </w:rPr>
        <w:t>, vol. 70, pp. 1753–1758, 2010.</w:t>
      </w:r>
    </w:p>
    <w:p w14:paraId="73EC2F10"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[11]</w:t>
      </w:r>
      <w:r w:rsidRPr="00A53744">
        <w:rPr>
          <w:rFonts w:ascii="TimesNewRomanPS-ItalicMT" w:hAnsi="TimesNewRomanPS-ItalicMT"/>
          <w:noProof/>
          <w:sz w:val="16"/>
        </w:rPr>
        <w:tab/>
        <w:t xml:space="preserve">R. Takata, T. Katagiri, M. Kanehira, T. Tsunoda, T. Shuin, T. Miki, M. Namiki, K. Kohri, Y. Matsushita, T. Fujioka, and Y. Nakamura, “Predicting Response toMethotrexate,Vinblastine, Doxorubicin, and Cisplatin Neoadjuvant Chemotherapy for Bladder Cancers through Genome-Wide Gene Expression Profiling,” </w:t>
      </w:r>
      <w:r w:rsidRPr="00A53744">
        <w:rPr>
          <w:rFonts w:ascii="TimesNewRomanPS-ItalicMT" w:hAnsi="TimesNewRomanPS-ItalicMT"/>
          <w:i/>
          <w:iCs/>
          <w:noProof/>
          <w:sz w:val="16"/>
        </w:rPr>
        <w:t>Clin Cancer Res</w:t>
      </w:r>
      <w:r w:rsidRPr="00A53744">
        <w:rPr>
          <w:rFonts w:ascii="TimesNewRomanPS-ItalicMT" w:hAnsi="TimesNewRomanPS-ItalicMT"/>
          <w:noProof/>
          <w:sz w:val="16"/>
        </w:rPr>
        <w:t>, vol. 11, no. 7, pp. 2625–2636, 2005.</w:t>
      </w:r>
    </w:p>
    <w:p w14:paraId="46D66B3A"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[12]</w:t>
      </w:r>
      <w:r w:rsidRPr="00A53744">
        <w:rPr>
          <w:rFonts w:ascii="TimesNewRomanPS-ItalicMT" w:hAnsi="TimesNewRomanPS-ItalicMT"/>
          <w:noProof/>
          <w:sz w:val="16"/>
        </w:rPr>
        <w:tab/>
        <w:t xml:space="preserve">R. Takata, T. Katagiri, M. Kanehira, T. Shuin, T. Miki, M. Namiki, K. Kohri, T. Tsunoda, T. Fujioka, and Y. Nakamura, “Validation study of the prediction system for clinical response of M-VAC neoadjuvant chemotherapy,” </w:t>
      </w:r>
      <w:r w:rsidRPr="00A53744">
        <w:rPr>
          <w:rFonts w:ascii="TimesNewRomanPS-ItalicMT" w:hAnsi="TimesNewRomanPS-ItalicMT"/>
          <w:i/>
          <w:iCs/>
          <w:noProof/>
          <w:sz w:val="16"/>
        </w:rPr>
        <w:t>Cancer Sci.</w:t>
      </w:r>
      <w:r w:rsidRPr="00A53744">
        <w:rPr>
          <w:rFonts w:ascii="TimesNewRomanPS-ItalicMT" w:hAnsi="TimesNewRomanPS-ItalicMT"/>
          <w:noProof/>
          <w:sz w:val="16"/>
        </w:rPr>
        <w:t>, vol. 98, no. 1, pp. 113–117, 2007.</w:t>
      </w:r>
    </w:p>
    <w:p w14:paraId="2ADC77FF"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[13]</w:t>
      </w:r>
      <w:r w:rsidRPr="00A53744">
        <w:rPr>
          <w:rFonts w:ascii="TimesNewRomanPS-ItalicMT" w:hAnsi="TimesNewRomanPS-ItalicMT"/>
          <w:noProof/>
          <w:sz w:val="16"/>
        </w:rPr>
        <w:tab/>
        <w:t xml:space="preserve">Y. Kato, H. Zembutsu, R. Takata, F. Miya, T. Tsunoda, W. Obara, T. Fujioka, and Y. Nakamura, “Predicting response of bladder cancers to gemcitabine and carboplatin neoadjuvant chemotherapy through genome-wide gene expression profiling,” </w:t>
      </w:r>
      <w:r w:rsidRPr="00A53744">
        <w:rPr>
          <w:rFonts w:ascii="TimesNewRomanPS-ItalicMT" w:hAnsi="TimesNewRomanPS-ItalicMT"/>
          <w:i/>
          <w:iCs/>
          <w:noProof/>
          <w:sz w:val="16"/>
        </w:rPr>
        <w:t>Exp. Ther. Med.</w:t>
      </w:r>
      <w:r w:rsidRPr="00A53744">
        <w:rPr>
          <w:rFonts w:ascii="TimesNewRomanPS-ItalicMT" w:hAnsi="TimesNewRomanPS-ItalicMT"/>
          <w:noProof/>
          <w:sz w:val="16"/>
        </w:rPr>
        <w:t>, vol. 2, pp. 47–56, 2011.</w:t>
      </w:r>
    </w:p>
    <w:p w14:paraId="66F44900" w14:textId="77777777" w:rsidR="00A53744" w:rsidRPr="00A53744" w:rsidRDefault="00A53744">
      <w:pPr>
        <w:pStyle w:val="NormalWeb"/>
        <w:ind w:left="640" w:hanging="640"/>
        <w:divId w:val="952443261"/>
        <w:rPr>
          <w:rFonts w:ascii="TimesNewRomanPS-ItalicMT" w:hAnsi="TimesNewRomanPS-ItalicMT"/>
          <w:noProof/>
          <w:sz w:val="16"/>
        </w:rPr>
      </w:pPr>
      <w:r w:rsidRPr="00A53744">
        <w:rPr>
          <w:rFonts w:ascii="TimesNewRomanPS-ItalicMT" w:hAnsi="TimesNewRomanPS-ItalicMT"/>
          <w:noProof/>
          <w:sz w:val="16"/>
        </w:rPr>
        <w:t>[14]</w:t>
      </w:r>
      <w:r w:rsidRPr="00A53744">
        <w:rPr>
          <w:rFonts w:ascii="TimesNewRomanPS-ItalicMT" w:hAnsi="TimesNewRomanPS-ItalicMT"/>
          <w:noProof/>
          <w:sz w:val="16"/>
        </w:rPr>
        <w:tab/>
        <w:t xml:space="preserve">A. Y. Ng, “Feature selection, L1 vs. L2 regularization, and rotational invariance,” </w:t>
      </w:r>
      <w:r w:rsidRPr="00A53744">
        <w:rPr>
          <w:rFonts w:ascii="TimesNewRomanPS-ItalicMT" w:hAnsi="TimesNewRomanPS-ItalicMT"/>
          <w:i/>
          <w:iCs/>
          <w:noProof/>
          <w:sz w:val="16"/>
        </w:rPr>
        <w:t>Twenty-first Int. Conf. Mach. Learn. - ICML ’04</w:t>
      </w:r>
      <w:r w:rsidRPr="00A53744">
        <w:rPr>
          <w:rFonts w:ascii="TimesNewRomanPS-ItalicMT" w:hAnsi="TimesNewRomanPS-ItalicMT"/>
          <w:noProof/>
          <w:sz w:val="16"/>
        </w:rPr>
        <w:t xml:space="preserve">, p. 78, 2004. </w:t>
      </w:r>
    </w:p>
    <w:p w14:paraId="36EF8033" w14:textId="5DD05675" w:rsidR="00EF267B" w:rsidRDefault="00D05BA7" w:rsidP="00D05BA7">
      <w:pPr>
        <w:autoSpaceDE w:val="0"/>
        <w:autoSpaceDN w:val="0"/>
        <w:adjustRightInd w:val="0"/>
        <w:rPr>
          <w:rFonts w:ascii="TimesNewRomanPS-ItalicMT" w:hAnsi="TimesNewRomanPS-ItalicMT" w:cs="TimesNewRomanPS-ItalicMT"/>
          <w:i/>
          <w:iCs/>
          <w:sz w:val="16"/>
          <w:szCs w:val="16"/>
        </w:rPr>
      </w:pPr>
      <w:r w:rsidRPr="00EF103E">
        <w:rPr>
          <w:rFonts w:ascii="TimesNewRomanPS-ItalicMT" w:hAnsi="TimesNewRomanPS-ItalicMT" w:cs="TimesNewRomanPS-ItalicMT"/>
          <w:i/>
          <w:iCs/>
          <w:sz w:val="16"/>
          <w:szCs w:val="16"/>
        </w:rPr>
        <w:fldChar w:fldCharType="end"/>
      </w:r>
    </w:p>
    <w:p w14:paraId="1D15F17B" w14:textId="77777777" w:rsidR="00EF267B" w:rsidRDefault="00EF267B" w:rsidP="00D05BA7">
      <w:pPr>
        <w:autoSpaceDE w:val="0"/>
        <w:autoSpaceDN w:val="0"/>
        <w:adjustRightInd w:val="0"/>
        <w:rPr>
          <w:rFonts w:ascii="TimesNewRomanPS-ItalicMT" w:hAnsi="TimesNewRomanPS-ItalicMT" w:cs="TimesNewRomanPS-ItalicMT"/>
          <w:i/>
          <w:iCs/>
          <w:sz w:val="16"/>
          <w:szCs w:val="16"/>
        </w:rPr>
      </w:pPr>
    </w:p>
    <w:p w14:paraId="23EC0580" w14:textId="77777777" w:rsidR="009F3457" w:rsidRDefault="009F3457" w:rsidP="00F22226">
      <w:pPr>
        <w:pStyle w:val="Heading1"/>
        <w:numPr>
          <w:ilvl w:val="0"/>
          <w:numId w:val="0"/>
        </w:numPr>
        <w:jc w:val="left"/>
        <w:rPr>
          <w:b/>
        </w:rPr>
        <w:sectPr w:rsidR="009F3457" w:rsidSect="00143F2E">
          <w:headerReference w:type="default" r:id="rId11"/>
          <w:type w:val="continuous"/>
          <w:pgSz w:w="12240" w:h="15840" w:code="1"/>
          <w:pgMar w:top="1008" w:right="936" w:bottom="1008" w:left="936" w:header="432" w:footer="432" w:gutter="0"/>
          <w:cols w:num="2" w:space="288"/>
        </w:sectPr>
      </w:pPr>
    </w:p>
    <w:p w14:paraId="1D6E27B0" w14:textId="3BA78026" w:rsidR="00D05BA7" w:rsidRDefault="00D05BA7" w:rsidP="004F2233">
      <w:pPr>
        <w:pStyle w:val="Heading1"/>
        <w:jc w:val="left"/>
        <w:rPr>
          <w:b/>
        </w:rPr>
      </w:pPr>
      <w:r>
        <w:rPr>
          <w:b/>
        </w:rPr>
        <w:lastRenderedPageBreak/>
        <w:t>Supplemental</w:t>
      </w:r>
    </w:p>
    <w:p w14:paraId="45DA2D49" w14:textId="77777777" w:rsidR="004F2233" w:rsidRPr="004F2233" w:rsidRDefault="004F2233" w:rsidP="004F2233"/>
    <w:tbl>
      <w:tblPr>
        <w:tblStyle w:val="TableGrid"/>
        <w:tblW w:w="0" w:type="auto"/>
        <w:jc w:val="center"/>
        <w:tblLook w:val="04A0" w:firstRow="1" w:lastRow="0" w:firstColumn="1" w:lastColumn="0" w:noHBand="0" w:noVBand="1"/>
      </w:tblPr>
      <w:tblGrid>
        <w:gridCol w:w="1676"/>
        <w:gridCol w:w="1677"/>
        <w:gridCol w:w="1677"/>
        <w:gridCol w:w="1677"/>
      </w:tblGrid>
      <w:tr w:rsidR="001E6DDC" w14:paraId="7C47A0E1" w14:textId="32EEB4E8" w:rsidTr="00167C5A">
        <w:trPr>
          <w:trHeight w:val="724"/>
          <w:jc w:val="center"/>
        </w:trPr>
        <w:tc>
          <w:tcPr>
            <w:tcW w:w="1676" w:type="dxa"/>
          </w:tcPr>
          <w:p w14:paraId="2234CE5A" w14:textId="77777777" w:rsidR="001E6DDC" w:rsidRDefault="001E6DDC" w:rsidP="009F3457">
            <w:pPr>
              <w:pStyle w:val="Text"/>
              <w:ind w:firstLine="0"/>
              <w:jc w:val="center"/>
            </w:pPr>
          </w:p>
          <w:p w14:paraId="5EDD1947" w14:textId="77777777" w:rsidR="001E6DDC" w:rsidRPr="00376D05" w:rsidRDefault="001E6DDC" w:rsidP="009F3457">
            <w:pPr>
              <w:pStyle w:val="Text"/>
              <w:ind w:firstLine="0"/>
              <w:jc w:val="center"/>
            </w:pPr>
            <w:r w:rsidRPr="00376D05">
              <w:t>Method</w:t>
            </w:r>
          </w:p>
        </w:tc>
        <w:tc>
          <w:tcPr>
            <w:tcW w:w="1677" w:type="dxa"/>
          </w:tcPr>
          <w:p w14:paraId="631F96AD" w14:textId="77777777" w:rsidR="001E6DDC" w:rsidRPr="00376D05" w:rsidRDefault="001E6DDC" w:rsidP="009F3457">
            <w:pPr>
              <w:pStyle w:val="Text"/>
              <w:ind w:firstLine="0"/>
              <w:jc w:val="center"/>
            </w:pPr>
            <w:r w:rsidRPr="00376D05">
              <w:t>Training Accuracy</w:t>
            </w:r>
          </w:p>
          <w:p w14:paraId="4DE45B8A" w14:textId="77777777" w:rsidR="001E6DDC" w:rsidRPr="00376D05" w:rsidRDefault="001E6DDC" w:rsidP="009F3457">
            <w:pPr>
              <w:pStyle w:val="Text"/>
              <w:ind w:firstLine="0"/>
              <w:jc w:val="center"/>
            </w:pPr>
            <w:r w:rsidRPr="00376D05">
              <w:t>(%)</w:t>
            </w:r>
          </w:p>
        </w:tc>
        <w:tc>
          <w:tcPr>
            <w:tcW w:w="1677" w:type="dxa"/>
          </w:tcPr>
          <w:p w14:paraId="4C989E2A" w14:textId="77777777" w:rsidR="001E6DDC" w:rsidRPr="00376D05" w:rsidRDefault="001E6DDC" w:rsidP="009F3457">
            <w:pPr>
              <w:pStyle w:val="Text"/>
              <w:ind w:firstLine="0"/>
              <w:jc w:val="center"/>
            </w:pPr>
            <w:r w:rsidRPr="00376D05">
              <w:t>Validation Accuracy</w:t>
            </w:r>
          </w:p>
          <w:p w14:paraId="15F893B7" w14:textId="77777777" w:rsidR="001E6DDC" w:rsidRPr="00376D05" w:rsidRDefault="001E6DDC" w:rsidP="009F3457">
            <w:pPr>
              <w:pStyle w:val="Text"/>
              <w:ind w:firstLine="0"/>
              <w:jc w:val="center"/>
            </w:pPr>
            <w:r w:rsidRPr="00376D05">
              <w:t>(%)</w:t>
            </w:r>
          </w:p>
        </w:tc>
        <w:tc>
          <w:tcPr>
            <w:tcW w:w="1677" w:type="dxa"/>
          </w:tcPr>
          <w:p w14:paraId="18A91D77" w14:textId="079AC32C" w:rsidR="001E6DDC" w:rsidRDefault="00F63A65" w:rsidP="009F3457">
            <w:pPr>
              <w:pStyle w:val="Text"/>
              <w:ind w:firstLine="0"/>
              <w:jc w:val="center"/>
            </w:pPr>
            <w:r>
              <w:t>Validation</w:t>
            </w:r>
          </w:p>
          <w:p w14:paraId="191AAACA" w14:textId="77777777" w:rsidR="001E6DDC" w:rsidRDefault="001E6DDC" w:rsidP="009F3457">
            <w:pPr>
              <w:pStyle w:val="Text"/>
              <w:ind w:firstLine="0"/>
              <w:jc w:val="center"/>
            </w:pPr>
            <w:r>
              <w:t>AUC</w:t>
            </w:r>
          </w:p>
          <w:p w14:paraId="0A9EF89C" w14:textId="2F16CC51" w:rsidR="001E6DDC" w:rsidRPr="00376D05" w:rsidRDefault="001E6DDC" w:rsidP="009F3457">
            <w:pPr>
              <w:pStyle w:val="Text"/>
              <w:ind w:firstLine="0"/>
              <w:jc w:val="center"/>
            </w:pPr>
            <w:r>
              <w:t>(%)</w:t>
            </w:r>
          </w:p>
        </w:tc>
      </w:tr>
      <w:tr w:rsidR="001E6DDC" w14:paraId="24892564" w14:textId="0FB4215C" w:rsidTr="00167C5A">
        <w:trPr>
          <w:trHeight w:val="576"/>
          <w:jc w:val="center"/>
        </w:trPr>
        <w:tc>
          <w:tcPr>
            <w:tcW w:w="1676" w:type="dxa"/>
          </w:tcPr>
          <w:p w14:paraId="62F3C9ED" w14:textId="77777777" w:rsidR="001E6DDC" w:rsidRDefault="001E6DDC" w:rsidP="009F3457">
            <w:pPr>
              <w:pStyle w:val="Text"/>
              <w:ind w:firstLine="0"/>
              <w:jc w:val="center"/>
            </w:pPr>
            <w:r w:rsidRPr="00376D05">
              <w:rPr>
                <w:sz w:val="18"/>
                <w:szCs w:val="18"/>
              </w:rPr>
              <w:t>Gaussian Naive Bayes</w:t>
            </w:r>
          </w:p>
        </w:tc>
        <w:tc>
          <w:tcPr>
            <w:tcW w:w="1677" w:type="dxa"/>
          </w:tcPr>
          <w:p w14:paraId="3D968268" w14:textId="77777777" w:rsidR="001E6DDC" w:rsidRPr="00376D05" w:rsidRDefault="001E6DDC" w:rsidP="009F3457">
            <w:pPr>
              <w:pStyle w:val="Text"/>
              <w:ind w:firstLine="0"/>
              <w:jc w:val="center"/>
            </w:pPr>
            <w:r>
              <w:t>100</w:t>
            </w:r>
          </w:p>
        </w:tc>
        <w:tc>
          <w:tcPr>
            <w:tcW w:w="1677" w:type="dxa"/>
          </w:tcPr>
          <w:p w14:paraId="5215AC8B" w14:textId="77777777" w:rsidR="001E6DDC" w:rsidRPr="00376D05" w:rsidRDefault="001E6DDC" w:rsidP="009F3457">
            <w:pPr>
              <w:pStyle w:val="Text"/>
              <w:ind w:firstLine="0"/>
              <w:jc w:val="center"/>
            </w:pPr>
            <w:r>
              <w:t>71</w:t>
            </w:r>
          </w:p>
        </w:tc>
        <w:tc>
          <w:tcPr>
            <w:tcW w:w="1677" w:type="dxa"/>
          </w:tcPr>
          <w:p w14:paraId="0C70921A" w14:textId="5ED4276D" w:rsidR="001E6DDC" w:rsidRDefault="000C6F8A" w:rsidP="009F3457">
            <w:pPr>
              <w:pStyle w:val="Text"/>
              <w:ind w:firstLine="0"/>
              <w:jc w:val="center"/>
            </w:pPr>
            <w:r>
              <w:t>52</w:t>
            </w:r>
          </w:p>
        </w:tc>
      </w:tr>
      <w:tr w:rsidR="001E6DDC" w14:paraId="74A0F28D" w14:textId="55A1B474" w:rsidTr="00167C5A">
        <w:trPr>
          <w:trHeight w:val="576"/>
          <w:jc w:val="center"/>
        </w:trPr>
        <w:tc>
          <w:tcPr>
            <w:tcW w:w="1676" w:type="dxa"/>
          </w:tcPr>
          <w:p w14:paraId="3C6C3F73" w14:textId="77777777" w:rsidR="001E6DDC" w:rsidRPr="00376D05" w:rsidRDefault="001E6DDC" w:rsidP="009F3457">
            <w:pPr>
              <w:pStyle w:val="Text"/>
              <w:ind w:firstLine="0"/>
              <w:jc w:val="center"/>
              <w:rPr>
                <w:sz w:val="18"/>
                <w:szCs w:val="18"/>
              </w:rPr>
            </w:pPr>
            <w:r w:rsidRPr="00376D05">
              <w:rPr>
                <w:sz w:val="18"/>
                <w:szCs w:val="18"/>
              </w:rPr>
              <w:t>Linear Discriminate Analysis</w:t>
            </w:r>
          </w:p>
        </w:tc>
        <w:tc>
          <w:tcPr>
            <w:tcW w:w="1677" w:type="dxa"/>
          </w:tcPr>
          <w:p w14:paraId="1FCAFB9E" w14:textId="77777777" w:rsidR="001E6DDC" w:rsidRDefault="001E6DDC" w:rsidP="009F3457">
            <w:pPr>
              <w:pStyle w:val="Text"/>
              <w:ind w:firstLine="0"/>
              <w:jc w:val="center"/>
            </w:pPr>
            <w:r>
              <w:t>77</w:t>
            </w:r>
          </w:p>
        </w:tc>
        <w:tc>
          <w:tcPr>
            <w:tcW w:w="1677" w:type="dxa"/>
          </w:tcPr>
          <w:p w14:paraId="492391E6" w14:textId="77777777" w:rsidR="001E6DDC" w:rsidRDefault="001E6DDC" w:rsidP="009F3457">
            <w:pPr>
              <w:pStyle w:val="Text"/>
              <w:ind w:firstLine="0"/>
              <w:jc w:val="center"/>
            </w:pPr>
            <w:r>
              <w:t>71</w:t>
            </w:r>
          </w:p>
        </w:tc>
        <w:tc>
          <w:tcPr>
            <w:tcW w:w="1677" w:type="dxa"/>
          </w:tcPr>
          <w:p w14:paraId="3794AB25" w14:textId="0BF9642E" w:rsidR="001E6DDC" w:rsidRDefault="000C6F8A" w:rsidP="009F3457">
            <w:pPr>
              <w:pStyle w:val="Text"/>
              <w:ind w:firstLine="0"/>
              <w:jc w:val="center"/>
            </w:pPr>
            <w:r>
              <w:t>49</w:t>
            </w:r>
          </w:p>
        </w:tc>
      </w:tr>
      <w:tr w:rsidR="001E6DDC" w14:paraId="2A888847" w14:textId="145C21B8" w:rsidTr="00167C5A">
        <w:trPr>
          <w:trHeight w:val="576"/>
          <w:jc w:val="center"/>
        </w:trPr>
        <w:tc>
          <w:tcPr>
            <w:tcW w:w="1676" w:type="dxa"/>
          </w:tcPr>
          <w:p w14:paraId="6FC81908" w14:textId="77777777" w:rsidR="001E6DDC" w:rsidRPr="00376D05" w:rsidRDefault="001E6DDC" w:rsidP="009F3457">
            <w:pPr>
              <w:pStyle w:val="Text"/>
              <w:ind w:firstLine="0"/>
              <w:jc w:val="center"/>
              <w:rPr>
                <w:sz w:val="18"/>
                <w:szCs w:val="18"/>
              </w:rPr>
            </w:pPr>
            <w:r w:rsidRPr="00376D05">
              <w:rPr>
                <w:sz w:val="18"/>
                <w:szCs w:val="18"/>
              </w:rPr>
              <w:t>Support Vector Classification</w:t>
            </w:r>
          </w:p>
        </w:tc>
        <w:tc>
          <w:tcPr>
            <w:tcW w:w="1677" w:type="dxa"/>
          </w:tcPr>
          <w:p w14:paraId="6A752BA2" w14:textId="77777777" w:rsidR="001E6DDC" w:rsidRDefault="001E6DDC" w:rsidP="009F3457">
            <w:pPr>
              <w:pStyle w:val="Text"/>
              <w:ind w:firstLine="0"/>
              <w:jc w:val="center"/>
            </w:pPr>
            <w:r>
              <w:t>71</w:t>
            </w:r>
          </w:p>
        </w:tc>
        <w:tc>
          <w:tcPr>
            <w:tcW w:w="1677" w:type="dxa"/>
          </w:tcPr>
          <w:p w14:paraId="2C17DD10" w14:textId="77777777" w:rsidR="001E6DDC" w:rsidRDefault="001E6DDC" w:rsidP="009F3457">
            <w:pPr>
              <w:pStyle w:val="Text"/>
              <w:ind w:firstLine="0"/>
              <w:jc w:val="center"/>
            </w:pPr>
            <w:r>
              <w:t>71</w:t>
            </w:r>
          </w:p>
        </w:tc>
        <w:tc>
          <w:tcPr>
            <w:tcW w:w="1677" w:type="dxa"/>
          </w:tcPr>
          <w:p w14:paraId="2D864199" w14:textId="2BF6324B" w:rsidR="001E6DDC" w:rsidRDefault="000C6F8A" w:rsidP="009F3457">
            <w:pPr>
              <w:pStyle w:val="Text"/>
              <w:ind w:firstLine="0"/>
              <w:jc w:val="center"/>
            </w:pPr>
            <w:r>
              <w:t>48</w:t>
            </w:r>
          </w:p>
        </w:tc>
      </w:tr>
      <w:tr w:rsidR="001E6DDC" w14:paraId="2274208A" w14:textId="128F5570" w:rsidTr="00167C5A">
        <w:trPr>
          <w:trHeight w:val="576"/>
          <w:jc w:val="center"/>
        </w:trPr>
        <w:tc>
          <w:tcPr>
            <w:tcW w:w="1676" w:type="dxa"/>
          </w:tcPr>
          <w:p w14:paraId="609FCD14" w14:textId="04201A42" w:rsidR="001E6DDC" w:rsidRPr="00376D05" w:rsidRDefault="001E6DDC" w:rsidP="009F3457">
            <w:pPr>
              <w:pStyle w:val="Text"/>
              <w:ind w:firstLine="0"/>
              <w:jc w:val="center"/>
              <w:rPr>
                <w:sz w:val="18"/>
                <w:szCs w:val="18"/>
              </w:rPr>
            </w:pPr>
            <w:r>
              <w:rPr>
                <w:sz w:val="18"/>
                <w:szCs w:val="18"/>
              </w:rPr>
              <w:t>k</w:t>
            </w:r>
            <w:r w:rsidRPr="00376D05">
              <w:rPr>
                <w:sz w:val="18"/>
                <w:szCs w:val="18"/>
              </w:rPr>
              <w:t>-Nearest Neighbors</w:t>
            </w:r>
          </w:p>
        </w:tc>
        <w:tc>
          <w:tcPr>
            <w:tcW w:w="1677" w:type="dxa"/>
          </w:tcPr>
          <w:p w14:paraId="6D8B4FC8" w14:textId="77777777" w:rsidR="001E6DDC" w:rsidRDefault="001E6DDC" w:rsidP="009F3457">
            <w:pPr>
              <w:pStyle w:val="Text"/>
              <w:ind w:firstLine="0"/>
              <w:jc w:val="center"/>
            </w:pPr>
            <w:r>
              <w:t>73</w:t>
            </w:r>
          </w:p>
        </w:tc>
        <w:tc>
          <w:tcPr>
            <w:tcW w:w="1677" w:type="dxa"/>
          </w:tcPr>
          <w:p w14:paraId="14808B7E" w14:textId="77777777" w:rsidR="001E6DDC" w:rsidRDefault="001E6DDC" w:rsidP="009F3457">
            <w:pPr>
              <w:pStyle w:val="Text"/>
              <w:ind w:firstLine="0"/>
              <w:jc w:val="center"/>
            </w:pPr>
            <w:r>
              <w:t>67</w:t>
            </w:r>
          </w:p>
        </w:tc>
        <w:tc>
          <w:tcPr>
            <w:tcW w:w="1677" w:type="dxa"/>
          </w:tcPr>
          <w:p w14:paraId="1FCD6EC6" w14:textId="1DFA720E" w:rsidR="001E6DDC" w:rsidRDefault="000C6F8A" w:rsidP="009F3457">
            <w:pPr>
              <w:pStyle w:val="Text"/>
              <w:ind w:firstLine="0"/>
              <w:jc w:val="center"/>
            </w:pPr>
            <w:r>
              <w:t>54</w:t>
            </w:r>
          </w:p>
        </w:tc>
      </w:tr>
      <w:tr w:rsidR="001E6DDC" w14:paraId="5C488F76" w14:textId="271F678A" w:rsidTr="00167C5A">
        <w:trPr>
          <w:trHeight w:val="576"/>
          <w:jc w:val="center"/>
        </w:trPr>
        <w:tc>
          <w:tcPr>
            <w:tcW w:w="1676" w:type="dxa"/>
          </w:tcPr>
          <w:p w14:paraId="5C1117B6" w14:textId="1DCBF6D8" w:rsidR="001E6DDC" w:rsidRPr="00376D05" w:rsidRDefault="001E6DDC" w:rsidP="00E47055">
            <w:pPr>
              <w:pStyle w:val="Text"/>
              <w:ind w:firstLine="0"/>
              <w:jc w:val="center"/>
              <w:rPr>
                <w:sz w:val="18"/>
                <w:szCs w:val="18"/>
              </w:rPr>
            </w:pPr>
            <w:r w:rsidRPr="00376D05">
              <w:rPr>
                <w:sz w:val="18"/>
                <w:szCs w:val="18"/>
              </w:rPr>
              <w:t>Logistic Regression with L1 Reg</w:t>
            </w:r>
            <w:r w:rsidR="00E47055">
              <w:rPr>
                <w:sz w:val="18"/>
                <w:szCs w:val="18"/>
              </w:rPr>
              <w:t>.</w:t>
            </w:r>
          </w:p>
        </w:tc>
        <w:tc>
          <w:tcPr>
            <w:tcW w:w="1677" w:type="dxa"/>
          </w:tcPr>
          <w:p w14:paraId="16C78932" w14:textId="77777777" w:rsidR="001E6DDC" w:rsidRDefault="001E6DDC" w:rsidP="009F3457">
            <w:pPr>
              <w:pStyle w:val="Text"/>
              <w:ind w:firstLine="0"/>
              <w:jc w:val="center"/>
            </w:pPr>
            <w:r>
              <w:t>100</w:t>
            </w:r>
          </w:p>
        </w:tc>
        <w:tc>
          <w:tcPr>
            <w:tcW w:w="1677" w:type="dxa"/>
          </w:tcPr>
          <w:p w14:paraId="7FE7021A" w14:textId="77777777" w:rsidR="001E6DDC" w:rsidRDefault="001E6DDC" w:rsidP="009F3457">
            <w:pPr>
              <w:pStyle w:val="Text"/>
              <w:ind w:firstLine="0"/>
              <w:jc w:val="center"/>
            </w:pPr>
            <w:r>
              <w:t>63</w:t>
            </w:r>
          </w:p>
        </w:tc>
        <w:tc>
          <w:tcPr>
            <w:tcW w:w="1677" w:type="dxa"/>
          </w:tcPr>
          <w:p w14:paraId="7AD3E927" w14:textId="7984FB8B" w:rsidR="001E6DDC" w:rsidRDefault="000C6F8A" w:rsidP="009F3457">
            <w:pPr>
              <w:pStyle w:val="Text"/>
              <w:ind w:firstLine="0"/>
              <w:jc w:val="center"/>
            </w:pPr>
            <w:r>
              <w:t>48</w:t>
            </w:r>
          </w:p>
        </w:tc>
      </w:tr>
      <w:tr w:rsidR="001E6DDC" w14:paraId="733107B8" w14:textId="2EA47D12" w:rsidTr="00167C5A">
        <w:trPr>
          <w:trHeight w:val="576"/>
          <w:jc w:val="center"/>
        </w:trPr>
        <w:tc>
          <w:tcPr>
            <w:tcW w:w="1676" w:type="dxa"/>
          </w:tcPr>
          <w:p w14:paraId="66B490FC" w14:textId="47FCE778" w:rsidR="001E6DDC" w:rsidRPr="00376D05" w:rsidRDefault="001E6DDC" w:rsidP="00E47055">
            <w:pPr>
              <w:pStyle w:val="Text"/>
              <w:ind w:firstLine="0"/>
              <w:jc w:val="center"/>
              <w:rPr>
                <w:sz w:val="18"/>
                <w:szCs w:val="18"/>
              </w:rPr>
            </w:pPr>
            <w:r w:rsidRPr="00376D05">
              <w:rPr>
                <w:sz w:val="18"/>
                <w:szCs w:val="18"/>
              </w:rPr>
              <w:t>Logistic Regression with L2 Reg</w:t>
            </w:r>
            <w:r w:rsidR="00E47055">
              <w:rPr>
                <w:sz w:val="18"/>
                <w:szCs w:val="18"/>
              </w:rPr>
              <w:t>.</w:t>
            </w:r>
          </w:p>
        </w:tc>
        <w:tc>
          <w:tcPr>
            <w:tcW w:w="1677" w:type="dxa"/>
          </w:tcPr>
          <w:p w14:paraId="382AFBB3" w14:textId="77777777" w:rsidR="001E6DDC" w:rsidRDefault="001E6DDC" w:rsidP="009F3457">
            <w:pPr>
              <w:pStyle w:val="Text"/>
              <w:ind w:firstLine="0"/>
              <w:jc w:val="center"/>
            </w:pPr>
            <w:r>
              <w:t>100</w:t>
            </w:r>
          </w:p>
        </w:tc>
        <w:tc>
          <w:tcPr>
            <w:tcW w:w="1677" w:type="dxa"/>
          </w:tcPr>
          <w:p w14:paraId="6406C7EF" w14:textId="77777777" w:rsidR="001E6DDC" w:rsidRDefault="001E6DDC" w:rsidP="009F3457">
            <w:pPr>
              <w:pStyle w:val="Text"/>
              <w:ind w:firstLine="0"/>
              <w:jc w:val="center"/>
            </w:pPr>
            <w:r>
              <w:t>63</w:t>
            </w:r>
          </w:p>
        </w:tc>
        <w:tc>
          <w:tcPr>
            <w:tcW w:w="1677" w:type="dxa"/>
          </w:tcPr>
          <w:p w14:paraId="775EF7C6" w14:textId="7DB30498" w:rsidR="001E6DDC" w:rsidRDefault="000C6F8A" w:rsidP="009F3457">
            <w:pPr>
              <w:pStyle w:val="Text"/>
              <w:ind w:firstLine="0"/>
              <w:jc w:val="center"/>
            </w:pPr>
            <w:r>
              <w:t>46</w:t>
            </w:r>
          </w:p>
        </w:tc>
      </w:tr>
      <w:tr w:rsidR="007F2D98" w14:paraId="7ABC41AE" w14:textId="77777777" w:rsidTr="00167C5A">
        <w:trPr>
          <w:trHeight w:val="576"/>
          <w:jc w:val="center"/>
        </w:trPr>
        <w:tc>
          <w:tcPr>
            <w:tcW w:w="1676" w:type="dxa"/>
          </w:tcPr>
          <w:p w14:paraId="3FE9FA71" w14:textId="4C21E67B" w:rsidR="007F2D98" w:rsidRPr="00376D05" w:rsidRDefault="007F2D98" w:rsidP="007F2D98">
            <w:pPr>
              <w:pStyle w:val="Text"/>
              <w:ind w:firstLine="0"/>
              <w:jc w:val="center"/>
              <w:rPr>
                <w:sz w:val="18"/>
                <w:szCs w:val="18"/>
              </w:rPr>
            </w:pPr>
            <w:r w:rsidRPr="00376D05">
              <w:rPr>
                <w:sz w:val="18"/>
                <w:szCs w:val="18"/>
              </w:rPr>
              <w:t>Logist</w:t>
            </w:r>
            <w:r>
              <w:rPr>
                <w:sz w:val="18"/>
                <w:szCs w:val="18"/>
              </w:rPr>
              <w:t xml:space="preserve">ic Regression with ElasticNet </w:t>
            </w:r>
          </w:p>
        </w:tc>
        <w:tc>
          <w:tcPr>
            <w:tcW w:w="1677" w:type="dxa"/>
          </w:tcPr>
          <w:p w14:paraId="0E39A695" w14:textId="4B93C789" w:rsidR="007F2D98" w:rsidRDefault="007F2D98" w:rsidP="007F2D98">
            <w:pPr>
              <w:pStyle w:val="Text"/>
              <w:ind w:firstLine="0"/>
              <w:jc w:val="center"/>
            </w:pPr>
            <w:r>
              <w:t>71</w:t>
            </w:r>
          </w:p>
        </w:tc>
        <w:tc>
          <w:tcPr>
            <w:tcW w:w="1677" w:type="dxa"/>
          </w:tcPr>
          <w:p w14:paraId="54B85A53" w14:textId="7F5ABE37" w:rsidR="007F2D98" w:rsidRDefault="007F2D98" w:rsidP="007F2D98">
            <w:pPr>
              <w:pStyle w:val="Text"/>
              <w:ind w:firstLine="0"/>
              <w:jc w:val="center"/>
            </w:pPr>
            <w:r>
              <w:t>71</w:t>
            </w:r>
          </w:p>
        </w:tc>
        <w:tc>
          <w:tcPr>
            <w:tcW w:w="1677" w:type="dxa"/>
          </w:tcPr>
          <w:p w14:paraId="3F6E04D5" w14:textId="57402FF3" w:rsidR="007F2D98" w:rsidRDefault="007F2D98" w:rsidP="007F2D98">
            <w:pPr>
              <w:pStyle w:val="Text"/>
              <w:ind w:firstLine="0"/>
              <w:jc w:val="center"/>
            </w:pPr>
            <w:r>
              <w:t>45</w:t>
            </w:r>
          </w:p>
        </w:tc>
      </w:tr>
      <w:tr w:rsidR="007F2D98" w14:paraId="04156E4F" w14:textId="115457C6" w:rsidTr="00167C5A">
        <w:trPr>
          <w:trHeight w:val="576"/>
          <w:jc w:val="center"/>
        </w:trPr>
        <w:tc>
          <w:tcPr>
            <w:tcW w:w="1676" w:type="dxa"/>
          </w:tcPr>
          <w:p w14:paraId="3B020D43" w14:textId="77777777" w:rsidR="007F2D98" w:rsidRPr="00376D05" w:rsidRDefault="007F2D98" w:rsidP="007F2D98">
            <w:pPr>
              <w:pStyle w:val="Text"/>
              <w:ind w:firstLine="0"/>
              <w:jc w:val="center"/>
              <w:rPr>
                <w:sz w:val="18"/>
                <w:szCs w:val="18"/>
              </w:rPr>
            </w:pPr>
            <w:r w:rsidRPr="00376D05">
              <w:rPr>
                <w:sz w:val="18"/>
                <w:szCs w:val="18"/>
              </w:rPr>
              <w:t>Random Forests</w:t>
            </w:r>
          </w:p>
        </w:tc>
        <w:tc>
          <w:tcPr>
            <w:tcW w:w="1677" w:type="dxa"/>
          </w:tcPr>
          <w:p w14:paraId="58C3A113" w14:textId="77777777" w:rsidR="007F2D98" w:rsidRDefault="007F2D98" w:rsidP="007F2D98">
            <w:pPr>
              <w:pStyle w:val="Text"/>
              <w:ind w:firstLine="0"/>
              <w:jc w:val="center"/>
            </w:pPr>
            <w:r>
              <w:t>98</w:t>
            </w:r>
          </w:p>
        </w:tc>
        <w:tc>
          <w:tcPr>
            <w:tcW w:w="1677" w:type="dxa"/>
          </w:tcPr>
          <w:p w14:paraId="640738A8" w14:textId="77777777" w:rsidR="007F2D98" w:rsidRDefault="007F2D98" w:rsidP="007F2D98">
            <w:pPr>
              <w:pStyle w:val="Text"/>
              <w:ind w:firstLine="0"/>
              <w:jc w:val="center"/>
            </w:pPr>
            <w:r>
              <w:t>63</w:t>
            </w:r>
          </w:p>
        </w:tc>
        <w:tc>
          <w:tcPr>
            <w:tcW w:w="1677" w:type="dxa"/>
          </w:tcPr>
          <w:p w14:paraId="6BB80FAF" w14:textId="1EF42B5C" w:rsidR="007F2D98" w:rsidRDefault="007F2D98" w:rsidP="007F2D98">
            <w:pPr>
              <w:pStyle w:val="Text"/>
              <w:ind w:firstLine="0"/>
              <w:jc w:val="center"/>
            </w:pPr>
            <w:r>
              <w:t>45</w:t>
            </w:r>
          </w:p>
        </w:tc>
      </w:tr>
      <w:tr w:rsidR="007F2D98" w14:paraId="4D7A1FFA" w14:textId="0F3E94BA" w:rsidTr="00167C5A">
        <w:trPr>
          <w:trHeight w:val="576"/>
          <w:jc w:val="center"/>
        </w:trPr>
        <w:tc>
          <w:tcPr>
            <w:tcW w:w="1676" w:type="dxa"/>
          </w:tcPr>
          <w:p w14:paraId="6B778B10" w14:textId="352A19AD" w:rsidR="007F2D98" w:rsidRDefault="007F2D98" w:rsidP="007F2D98">
            <w:pPr>
              <w:pStyle w:val="Text"/>
              <w:ind w:firstLine="0"/>
              <w:jc w:val="center"/>
              <w:rPr>
                <w:sz w:val="18"/>
                <w:szCs w:val="18"/>
              </w:rPr>
            </w:pPr>
            <w:r>
              <w:rPr>
                <w:sz w:val="18"/>
                <w:szCs w:val="18"/>
              </w:rPr>
              <w:t>Takata Method</w:t>
            </w:r>
          </w:p>
        </w:tc>
        <w:tc>
          <w:tcPr>
            <w:tcW w:w="1677" w:type="dxa"/>
          </w:tcPr>
          <w:p w14:paraId="641EC8C4" w14:textId="2B27CC1A" w:rsidR="007F2D98" w:rsidRDefault="007F2D98" w:rsidP="007F2D98">
            <w:pPr>
              <w:pStyle w:val="Text"/>
              <w:ind w:firstLine="0"/>
              <w:jc w:val="center"/>
            </w:pPr>
            <w:r>
              <w:t>92</w:t>
            </w:r>
          </w:p>
        </w:tc>
        <w:tc>
          <w:tcPr>
            <w:tcW w:w="1677" w:type="dxa"/>
          </w:tcPr>
          <w:p w14:paraId="0C08ED09" w14:textId="30CDDB83" w:rsidR="007F2D98" w:rsidRDefault="007F2D98" w:rsidP="007F2D98">
            <w:pPr>
              <w:pStyle w:val="Text"/>
              <w:ind w:firstLine="0"/>
              <w:jc w:val="center"/>
            </w:pPr>
            <w:r>
              <w:t>69</w:t>
            </w:r>
          </w:p>
        </w:tc>
        <w:tc>
          <w:tcPr>
            <w:tcW w:w="1677" w:type="dxa"/>
          </w:tcPr>
          <w:p w14:paraId="6EDC69A0" w14:textId="094EF0DC" w:rsidR="007F2D98" w:rsidRDefault="007F2D98" w:rsidP="007F2D98">
            <w:pPr>
              <w:pStyle w:val="Text"/>
              <w:ind w:firstLine="0"/>
              <w:jc w:val="center"/>
            </w:pPr>
            <w:r>
              <w:t>49</w:t>
            </w:r>
          </w:p>
        </w:tc>
      </w:tr>
      <w:tr w:rsidR="007F2D98" w14:paraId="1ECF812D" w14:textId="18CD18F6" w:rsidTr="00167C5A">
        <w:trPr>
          <w:trHeight w:val="576"/>
          <w:jc w:val="center"/>
        </w:trPr>
        <w:tc>
          <w:tcPr>
            <w:tcW w:w="1676" w:type="dxa"/>
          </w:tcPr>
          <w:p w14:paraId="33AC642F" w14:textId="77777777" w:rsidR="007F2D98" w:rsidRPr="00376D05" w:rsidRDefault="007F2D98" w:rsidP="007F2D98">
            <w:pPr>
              <w:pStyle w:val="Text"/>
              <w:ind w:firstLine="0"/>
              <w:jc w:val="center"/>
              <w:rPr>
                <w:sz w:val="18"/>
                <w:szCs w:val="18"/>
              </w:rPr>
            </w:pPr>
            <w:r>
              <w:rPr>
                <w:sz w:val="18"/>
                <w:szCs w:val="18"/>
              </w:rPr>
              <w:t>Takata Gene Set</w:t>
            </w:r>
          </w:p>
        </w:tc>
        <w:tc>
          <w:tcPr>
            <w:tcW w:w="1677" w:type="dxa"/>
          </w:tcPr>
          <w:p w14:paraId="778C1BD7" w14:textId="77777777" w:rsidR="007F2D98" w:rsidRDefault="007F2D98" w:rsidP="007F2D98">
            <w:pPr>
              <w:pStyle w:val="Text"/>
              <w:ind w:firstLine="0"/>
              <w:jc w:val="center"/>
            </w:pPr>
            <w:r>
              <w:t>64</w:t>
            </w:r>
          </w:p>
        </w:tc>
        <w:tc>
          <w:tcPr>
            <w:tcW w:w="1677" w:type="dxa"/>
          </w:tcPr>
          <w:p w14:paraId="5514ECDB" w14:textId="77777777" w:rsidR="007F2D98" w:rsidRDefault="007F2D98" w:rsidP="007F2D98">
            <w:pPr>
              <w:pStyle w:val="Text"/>
              <w:ind w:firstLine="0"/>
              <w:jc w:val="center"/>
            </w:pPr>
            <w:r>
              <w:t>48</w:t>
            </w:r>
          </w:p>
        </w:tc>
        <w:tc>
          <w:tcPr>
            <w:tcW w:w="1677" w:type="dxa"/>
          </w:tcPr>
          <w:p w14:paraId="0F435655" w14:textId="1830202C" w:rsidR="007F2D98" w:rsidRDefault="007F2D98" w:rsidP="007F2D98">
            <w:pPr>
              <w:pStyle w:val="Text"/>
              <w:ind w:firstLine="0"/>
              <w:jc w:val="center"/>
            </w:pPr>
            <w:r>
              <w:t>52</w:t>
            </w:r>
          </w:p>
        </w:tc>
      </w:tr>
    </w:tbl>
    <w:p w14:paraId="776B1C9E" w14:textId="6F1179CB" w:rsidR="009F3457" w:rsidRPr="00CA2880" w:rsidRDefault="009F3457" w:rsidP="00CA2880">
      <w:pPr>
        <w:pStyle w:val="Caption"/>
        <w:jc w:val="center"/>
        <w:rPr>
          <w:i w:val="0"/>
          <w:color w:val="auto"/>
          <w:sz w:val="16"/>
          <w:szCs w:val="16"/>
        </w:rPr>
      </w:pPr>
      <w:r>
        <w:rPr>
          <w:i w:val="0"/>
          <w:color w:val="auto"/>
          <w:sz w:val="16"/>
          <w:szCs w:val="16"/>
        </w:rPr>
        <w:t>Table</w:t>
      </w:r>
      <w:r w:rsidRPr="008820B2">
        <w:rPr>
          <w:i w:val="0"/>
          <w:color w:val="auto"/>
          <w:sz w:val="16"/>
          <w:szCs w:val="16"/>
        </w:rPr>
        <w:t xml:space="preserve"> </w:t>
      </w:r>
      <w:r w:rsidR="00C924A0">
        <w:rPr>
          <w:i w:val="0"/>
          <w:color w:val="auto"/>
          <w:sz w:val="16"/>
          <w:szCs w:val="16"/>
        </w:rPr>
        <w:t>1</w:t>
      </w:r>
      <w:r>
        <w:rPr>
          <w:i w:val="0"/>
          <w:color w:val="auto"/>
          <w:sz w:val="16"/>
          <w:szCs w:val="16"/>
        </w:rPr>
        <w:t>. Training and validation accuracies</w:t>
      </w:r>
      <w:r w:rsidR="00A370F9">
        <w:rPr>
          <w:i w:val="0"/>
          <w:color w:val="auto"/>
          <w:sz w:val="16"/>
          <w:szCs w:val="16"/>
        </w:rPr>
        <w:t xml:space="preserve"> and AUC</w:t>
      </w:r>
      <w:r>
        <w:rPr>
          <w:i w:val="0"/>
          <w:color w:val="auto"/>
          <w:sz w:val="16"/>
          <w:szCs w:val="16"/>
        </w:rPr>
        <w:t xml:space="preserve"> of various methods predicting responder vs non-responder using microarray data. The validation accuracies are computed from leave-one-out cross-validation. There are 52 samples (15 responders, 37 non-responders).</w:t>
      </w:r>
    </w:p>
    <w:p w14:paraId="2098BBE3" w14:textId="77777777" w:rsidR="001F2DB8" w:rsidRDefault="001F2DB8" w:rsidP="00C924A0">
      <w:pPr>
        <w:keepNext/>
        <w:jc w:val="center"/>
      </w:pPr>
    </w:p>
    <w:p w14:paraId="1E6CB5E4" w14:textId="77777777" w:rsidR="001F2DB8" w:rsidRDefault="001F2DB8" w:rsidP="00C924A0">
      <w:pPr>
        <w:keepNext/>
        <w:jc w:val="center"/>
      </w:pPr>
    </w:p>
    <w:p w14:paraId="7E2231DD" w14:textId="02367225" w:rsidR="00C924A0" w:rsidRDefault="003860A0" w:rsidP="00C924A0">
      <w:pPr>
        <w:keepNext/>
        <w:jc w:val="center"/>
      </w:pPr>
      <w:r>
        <w:rPr>
          <w:noProof/>
        </w:rPr>
        <w:drawing>
          <wp:inline distT="0" distB="0" distL="0" distR="0" wp14:anchorId="7DC597FB" wp14:editId="4343087C">
            <wp:extent cx="6583680" cy="37007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3700780"/>
                    </a:xfrm>
                    <a:prstGeom prst="rect">
                      <a:avLst/>
                    </a:prstGeom>
                  </pic:spPr>
                </pic:pic>
              </a:graphicData>
            </a:graphic>
          </wp:inline>
        </w:drawing>
      </w:r>
    </w:p>
    <w:p w14:paraId="522329E8" w14:textId="62899243" w:rsidR="009F3457" w:rsidRPr="00EB68B1" w:rsidRDefault="003860A0" w:rsidP="00EB68B1">
      <w:pPr>
        <w:pStyle w:val="Caption"/>
        <w:jc w:val="center"/>
        <w:rPr>
          <w:color w:val="auto"/>
        </w:rPr>
      </w:pPr>
      <w:r>
        <w:rPr>
          <w:color w:val="auto"/>
        </w:rPr>
        <w:t>Fig</w:t>
      </w:r>
      <w:r w:rsidR="00C924A0" w:rsidRPr="00C924A0">
        <w:rPr>
          <w:color w:val="auto"/>
        </w:rPr>
        <w:t xml:space="preserve"> </w:t>
      </w:r>
      <w:r w:rsidR="00C924A0" w:rsidRPr="00C924A0">
        <w:rPr>
          <w:color w:val="auto"/>
        </w:rPr>
        <w:fldChar w:fldCharType="begin"/>
      </w:r>
      <w:r w:rsidR="00C924A0" w:rsidRPr="00C924A0">
        <w:rPr>
          <w:color w:val="auto"/>
        </w:rPr>
        <w:instrText xml:space="preserve"> SEQ Figure \* ARABIC </w:instrText>
      </w:r>
      <w:r w:rsidR="00C924A0" w:rsidRPr="00C924A0">
        <w:rPr>
          <w:color w:val="auto"/>
        </w:rPr>
        <w:fldChar w:fldCharType="separate"/>
      </w:r>
      <w:r w:rsidR="00BF39EA">
        <w:rPr>
          <w:noProof/>
          <w:color w:val="auto"/>
        </w:rPr>
        <w:t>4</w:t>
      </w:r>
      <w:r w:rsidR="00C924A0" w:rsidRPr="00C924A0">
        <w:rPr>
          <w:color w:val="auto"/>
        </w:rPr>
        <w:fldChar w:fldCharType="end"/>
      </w:r>
      <w:r>
        <w:rPr>
          <w:color w:val="auto"/>
        </w:rPr>
        <w:t>: A)</w:t>
      </w:r>
      <w:r w:rsidR="00C924A0">
        <w:rPr>
          <w:color w:val="auto"/>
        </w:rPr>
        <w:t xml:space="preserve"> Figure from </w:t>
      </w:r>
      <w:r>
        <w:rPr>
          <w:color w:val="auto"/>
        </w:rPr>
        <w:fldChar w:fldCharType="begin" w:fldLock="1"/>
      </w:r>
      <w:r w:rsidR="00A53744">
        <w:rPr>
          <w:color w:val="auto"/>
        </w:rPr>
        <w:instrText>ADDIN CSL_CITATION { "citationItems" : [ { "id" : "ITEM-1", "itemData" : { "DOI" : "10.3892/etm.2010.166", "ISSN" : "17920981", "abstract" : "Neoadjuvant chemotherapy with gemcitabine and carboplatin (GC) for invasive bladder cancer increases the chance of a radical response for a subset of patients, while other patients suffer from severe adverse drug reactions without any benefit. To establish a method for predicting the response to chemotherapy with GC, the expression profiles of biopsy samples from 37 advanced bladder cancers were analyzed using a microarray consisting of 38,500 genes or ESTs. Upon analysis of 9 \u2018responder\u2019 and 9 \u2018non-responder\u2019 tumors, 12 \u2018predictive\u2019 genes were found to be significantly differentially expressed between the \u2018responder\u2019 and \u2018non-responder\u2019 groups, and a numerical prediction scoring system that clearly separated the responder group from the non-responder group was established. This system accurately predicted the drug responses of 18 of 19 additional test cases that were reserved from the original 37 cases. Moreover, a quantitative PCR-based prediction system was developed that may be feasible for routine clinical use, and the sensitivity of invasive bladder cancer to neoadjuvant chemotherapy with GC was able to be predicted by the expression patterns in this set of genes. Nearly 50% of patients treated with GC or methotrexate, vinblastine, doxorubicin and cisplatin (M-VAC) therapy have been reported to achieve complete or partial response to either of these therapies. When we applied this prediction system as well as the system for M-VAC, we expected that approximately 80% of the patients would achieve significant tumor shrinking (&gt;60%) by selection of either the GC or M-VAC regimens. Our results suggest that the two prediction scoring systems lead to achievement of \u2018personalized therapy\u2019 for the treatment of invasive bladder cancer and should improve the quality of life for patients with this disease.", "author" : [ { "dropping-particle" : "", "family" : "Kato", "given" : "Yoichiro", "non-dropping-particle" : "", "parse-names" : false, "suffix" : "" }, { "dropping-particle" : "", "family" : "Zembutsu", "given" : "Hitoshi", "non-dropping-particle" : "", "parse-names" : false, "suffix" : "" }, { "dropping-particle" : "", "family" : "Takata", "given" : "Ryo", "non-dropping-particle" : "", "parse-names" : false, "suffix" : "" }, { "dropping-particle" : "", "family" : "Miya", "given" : "Fuyuki", "non-dropping-particle" : "", "parse-names" : false, "suffix" : "" }, { "dropping-particle" : "", "family" : "Tsunoda", "given" : "Tatsuhiko", "non-dropping-particle" : "", "parse-names" : false, "suffix" : "" }, { "dropping-particle" : "", "family" : "Obara", "given" : "Wataru", "non-dropping-particle" : "", "parse-names" : false, "suffix" : "" }, { "dropping-particle" : "", "family" : "Fujioka", "given" : "Tomoaki", "non-dropping-particle" : "", "parse-names" : false, "suffix" : "" }, { "dropping-particle" : "", "family" : "Nakamura", "given" : "Yusuke", "non-dropping-particle" : "", "parse-names" : false, "suffix" : "" } ], "container-title" : "Experimental and Therapeutic Medicine", "id" : "ITEM-1", "issued" : { "date-parts" : [ [ "2011" ] ] }, "page" : "47-56", "title" : "Predicting response of bladder cancers to gemcitabine and carboplatin neoadjuvant chemotherapy through genome-wide gene expression profiling", "type" : "article-journal", "volume" : "2" }, "uris" : [ "http://www.mendeley.com/documents/?uuid=ab5b0004-ece8-41b4-bd1e-f1adb7c4bdfe" ] } ], "mendeley" : { "formattedCitation" : "[13]", "plainTextFormattedCitation" : "[13]", "previouslyFormattedCitation" : "[13]" }, "properties" : { "noteIndex" : 0 }, "schema" : "https://github.com/citation-style-language/schema/raw/master/csl-citation.json" }</w:instrText>
      </w:r>
      <w:r>
        <w:rPr>
          <w:color w:val="auto"/>
        </w:rPr>
        <w:fldChar w:fldCharType="separate"/>
      </w:r>
      <w:r w:rsidR="001356A9" w:rsidRPr="001356A9">
        <w:rPr>
          <w:i w:val="0"/>
          <w:noProof/>
          <w:color w:val="auto"/>
        </w:rPr>
        <w:t>[13]</w:t>
      </w:r>
      <w:r>
        <w:rPr>
          <w:color w:val="auto"/>
        </w:rPr>
        <w:fldChar w:fldCharType="end"/>
      </w:r>
      <w:r>
        <w:rPr>
          <w:color w:val="auto"/>
        </w:rPr>
        <w:t xml:space="preserve"> showing the </w:t>
      </w:r>
      <w:r w:rsidR="00686E33">
        <w:rPr>
          <w:color w:val="auto"/>
        </w:rPr>
        <w:t>distribution</w:t>
      </w:r>
      <w:r>
        <w:rPr>
          <w:color w:val="auto"/>
        </w:rPr>
        <w:t xml:space="preserve"> of the prediction scores between classes of all training samples and 18/19 test samples. </w:t>
      </w:r>
      <w:proofErr w:type="gramStart"/>
      <w:r>
        <w:rPr>
          <w:color w:val="auto"/>
        </w:rPr>
        <w:t>B)The</w:t>
      </w:r>
      <w:proofErr w:type="gramEnd"/>
      <w:r>
        <w:rPr>
          <w:color w:val="auto"/>
        </w:rPr>
        <w:t xml:space="preserve"> prediction scores of the test samples using the same method applied to my dataset. There is effectively no </w:t>
      </w:r>
      <w:r w:rsidR="00686E33">
        <w:rPr>
          <w:color w:val="auto"/>
        </w:rPr>
        <w:t>distinction</w:t>
      </w:r>
      <w:r>
        <w:rPr>
          <w:color w:val="auto"/>
        </w:rPr>
        <w:t xml:space="preserve"> between classes.</w:t>
      </w:r>
    </w:p>
    <w:p w14:paraId="2A0B7E40" w14:textId="77777777" w:rsidR="009F3457" w:rsidRDefault="009F3457" w:rsidP="009F3457">
      <w:pPr>
        <w:jc w:val="center"/>
      </w:pPr>
    </w:p>
    <w:p w14:paraId="15F73658" w14:textId="77777777" w:rsidR="009F3457" w:rsidRDefault="009F3457" w:rsidP="009F3457">
      <w:pPr>
        <w:jc w:val="center"/>
      </w:pPr>
    </w:p>
    <w:p w14:paraId="6335CE36" w14:textId="77777777" w:rsidR="009F3457" w:rsidRDefault="009F3457" w:rsidP="009F3457">
      <w:pPr>
        <w:jc w:val="center"/>
      </w:pPr>
    </w:p>
    <w:p w14:paraId="6992F3FB" w14:textId="77777777" w:rsidR="002A6455" w:rsidRDefault="002A6455" w:rsidP="009F3457">
      <w:pPr>
        <w:jc w:val="center"/>
      </w:pPr>
    </w:p>
    <w:p w14:paraId="309A455C" w14:textId="77777777" w:rsidR="00BF39EA" w:rsidRDefault="000D1667" w:rsidP="00BF39EA">
      <w:pPr>
        <w:keepNext/>
        <w:jc w:val="center"/>
      </w:pPr>
      <w:r>
        <w:rPr>
          <w:noProof/>
        </w:rPr>
        <w:drawing>
          <wp:inline distT="0" distB="0" distL="0" distR="0" wp14:anchorId="6D5065FF" wp14:editId="604B2B5E">
            <wp:extent cx="6583680" cy="255651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3680" cy="2556510"/>
                    </a:xfrm>
                    <a:prstGeom prst="rect">
                      <a:avLst/>
                    </a:prstGeom>
                  </pic:spPr>
                </pic:pic>
              </a:graphicData>
            </a:graphic>
          </wp:inline>
        </w:drawing>
      </w:r>
    </w:p>
    <w:p w14:paraId="2D0E9CAD" w14:textId="3B545BAA" w:rsidR="00DA3014" w:rsidRPr="00892063" w:rsidRDefault="00BF39EA" w:rsidP="00892063">
      <w:pPr>
        <w:pStyle w:val="Caption"/>
        <w:jc w:val="center"/>
        <w:rPr>
          <w:color w:val="auto"/>
        </w:rPr>
        <w:sectPr w:rsidR="00DA3014" w:rsidRPr="00892063" w:rsidSect="00DA3014">
          <w:type w:val="continuous"/>
          <w:pgSz w:w="12240" w:h="15840" w:code="1"/>
          <w:pgMar w:top="1008" w:right="936" w:bottom="1008" w:left="936" w:header="432" w:footer="432" w:gutter="0"/>
          <w:cols w:space="288"/>
        </w:sectPr>
      </w:pPr>
      <w:r>
        <w:rPr>
          <w:color w:val="auto"/>
        </w:rPr>
        <w:t xml:space="preserve">Fig </w:t>
      </w:r>
      <w:r w:rsidRPr="00BF39EA">
        <w:rPr>
          <w:color w:val="auto"/>
        </w:rPr>
        <w:fldChar w:fldCharType="begin"/>
      </w:r>
      <w:r w:rsidRPr="00BF39EA">
        <w:rPr>
          <w:color w:val="auto"/>
        </w:rPr>
        <w:instrText xml:space="preserve"> SEQ Figure \* ARABIC </w:instrText>
      </w:r>
      <w:r w:rsidRPr="00BF39EA">
        <w:rPr>
          <w:color w:val="auto"/>
        </w:rPr>
        <w:fldChar w:fldCharType="separate"/>
      </w:r>
      <w:r w:rsidRPr="00BF39EA">
        <w:rPr>
          <w:noProof/>
          <w:color w:val="auto"/>
        </w:rPr>
        <w:t>5</w:t>
      </w:r>
      <w:r w:rsidRPr="00BF39EA">
        <w:rPr>
          <w:color w:val="auto"/>
        </w:rPr>
        <w:fldChar w:fldCharType="end"/>
      </w:r>
      <w:r>
        <w:rPr>
          <w:color w:val="auto"/>
        </w:rPr>
        <w:t xml:space="preserve">: A) </w:t>
      </w:r>
      <w:r w:rsidRPr="00EB6F66">
        <w:rPr>
          <w:i w:val="0"/>
          <w:color w:val="auto"/>
          <w:sz w:val="16"/>
          <w:szCs w:val="16"/>
        </w:rPr>
        <w:t>Neural Network Training (dashed blue) and Test Error (solid green)</w:t>
      </w:r>
      <w:r>
        <w:rPr>
          <w:i w:val="0"/>
          <w:color w:val="auto"/>
          <w:sz w:val="16"/>
          <w:szCs w:val="16"/>
        </w:rPr>
        <w:t xml:space="preserve"> over 300 epochs on microarray data. B) Same network applied to random data for comparison.</w:t>
      </w:r>
    </w:p>
    <w:p w14:paraId="7E79C249" w14:textId="2A966027" w:rsidR="00CC7EB4" w:rsidRPr="00312B65" w:rsidRDefault="00CC7EB4" w:rsidP="00312B65">
      <w:pPr>
        <w:autoSpaceDE w:val="0"/>
        <w:autoSpaceDN w:val="0"/>
        <w:adjustRightInd w:val="0"/>
        <w:rPr>
          <w:rFonts w:ascii="TimesNewRomanPS-ItalicMT" w:hAnsi="TimesNewRomanPS-ItalicMT" w:cs="TimesNewRomanPS-ItalicMT"/>
          <w:i/>
          <w:iCs/>
          <w:sz w:val="16"/>
          <w:szCs w:val="16"/>
        </w:rPr>
      </w:pPr>
    </w:p>
    <w:sectPr w:rsidR="00CC7EB4" w:rsidRPr="00312B65"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6F528" w14:textId="77777777" w:rsidR="00412B9E" w:rsidRDefault="00412B9E">
      <w:r>
        <w:separator/>
      </w:r>
    </w:p>
  </w:endnote>
  <w:endnote w:type="continuationSeparator" w:id="0">
    <w:p w14:paraId="58982D12" w14:textId="77777777" w:rsidR="00412B9E" w:rsidRDefault="0041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B6681" w14:textId="77777777" w:rsidR="00412B9E" w:rsidRDefault="00412B9E"/>
  </w:footnote>
  <w:footnote w:type="continuationSeparator" w:id="0">
    <w:p w14:paraId="4DADE3AE" w14:textId="77777777" w:rsidR="00412B9E" w:rsidRDefault="00412B9E">
      <w:r>
        <w:continuationSeparator/>
      </w:r>
    </w:p>
  </w:footnote>
  <w:footnote w:id="1">
    <w:p w14:paraId="3BB80BC9" w14:textId="497F4776" w:rsidR="00DE07FA" w:rsidRDefault="00DE07FA" w:rsidP="00CF3B04">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5D10DC">
      <w:rPr>
        <w:noProof/>
      </w:rPr>
      <w:t>6</w:t>
    </w:r>
    <w:r>
      <w:fldChar w:fldCharType="end"/>
    </w:r>
  </w:p>
  <w:p w14:paraId="3C734628" w14:textId="0CF9A85B" w:rsidR="00DE07FA" w:rsidRDefault="0033213F">
    <w:pPr>
      <w:ind w:right="360"/>
    </w:pPr>
    <w:r>
      <w:t>CSC2515</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D77A1"/>
    <w:multiLevelType w:val="hybridMultilevel"/>
    <w:tmpl w:val="ED3483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130D"/>
    <w:rsid w:val="00013820"/>
    <w:rsid w:val="00015CE8"/>
    <w:rsid w:val="00022378"/>
    <w:rsid w:val="000223F3"/>
    <w:rsid w:val="00022E55"/>
    <w:rsid w:val="00024165"/>
    <w:rsid w:val="0002509E"/>
    <w:rsid w:val="00032883"/>
    <w:rsid w:val="0003785B"/>
    <w:rsid w:val="00042E13"/>
    <w:rsid w:val="0005368C"/>
    <w:rsid w:val="0005621C"/>
    <w:rsid w:val="000573F3"/>
    <w:rsid w:val="00057C8B"/>
    <w:rsid w:val="000643FB"/>
    <w:rsid w:val="00083AF0"/>
    <w:rsid w:val="0008461F"/>
    <w:rsid w:val="00090C04"/>
    <w:rsid w:val="00090D5D"/>
    <w:rsid w:val="00092FAF"/>
    <w:rsid w:val="000943C9"/>
    <w:rsid w:val="000A168B"/>
    <w:rsid w:val="000B0F9D"/>
    <w:rsid w:val="000B12A7"/>
    <w:rsid w:val="000C6F8A"/>
    <w:rsid w:val="000D1667"/>
    <w:rsid w:val="000D1C92"/>
    <w:rsid w:val="000D2798"/>
    <w:rsid w:val="000D2BDE"/>
    <w:rsid w:val="000D7B92"/>
    <w:rsid w:val="001013CE"/>
    <w:rsid w:val="00104BB0"/>
    <w:rsid w:val="0010794E"/>
    <w:rsid w:val="00111121"/>
    <w:rsid w:val="00111EF8"/>
    <w:rsid w:val="0013354F"/>
    <w:rsid w:val="001356A9"/>
    <w:rsid w:val="00135FCE"/>
    <w:rsid w:val="00142CB3"/>
    <w:rsid w:val="00143F2E"/>
    <w:rsid w:val="00144E72"/>
    <w:rsid w:val="00146811"/>
    <w:rsid w:val="001479ED"/>
    <w:rsid w:val="00147CEA"/>
    <w:rsid w:val="001508CA"/>
    <w:rsid w:val="001529B4"/>
    <w:rsid w:val="00154D6B"/>
    <w:rsid w:val="00157B73"/>
    <w:rsid w:val="00162B64"/>
    <w:rsid w:val="00167C5A"/>
    <w:rsid w:val="001720A1"/>
    <w:rsid w:val="00173860"/>
    <w:rsid w:val="0017566A"/>
    <w:rsid w:val="001768FF"/>
    <w:rsid w:val="00180239"/>
    <w:rsid w:val="001811F1"/>
    <w:rsid w:val="00182B66"/>
    <w:rsid w:val="00184913"/>
    <w:rsid w:val="001A35E1"/>
    <w:rsid w:val="001A60B1"/>
    <w:rsid w:val="001B2C8B"/>
    <w:rsid w:val="001B36B1"/>
    <w:rsid w:val="001C6092"/>
    <w:rsid w:val="001D0A70"/>
    <w:rsid w:val="001D33BF"/>
    <w:rsid w:val="001E6DDC"/>
    <w:rsid w:val="001E7B7A"/>
    <w:rsid w:val="001F2DB8"/>
    <w:rsid w:val="001F4C5C"/>
    <w:rsid w:val="001F623A"/>
    <w:rsid w:val="001F732A"/>
    <w:rsid w:val="00201E63"/>
    <w:rsid w:val="00204478"/>
    <w:rsid w:val="00214E2E"/>
    <w:rsid w:val="00216141"/>
    <w:rsid w:val="00217186"/>
    <w:rsid w:val="00222D6F"/>
    <w:rsid w:val="00227599"/>
    <w:rsid w:val="00241F3B"/>
    <w:rsid w:val="002434A1"/>
    <w:rsid w:val="00246F7F"/>
    <w:rsid w:val="002474F8"/>
    <w:rsid w:val="002502B0"/>
    <w:rsid w:val="002541CD"/>
    <w:rsid w:val="00254BF9"/>
    <w:rsid w:val="00263943"/>
    <w:rsid w:val="00267B35"/>
    <w:rsid w:val="00272654"/>
    <w:rsid w:val="00286165"/>
    <w:rsid w:val="00292307"/>
    <w:rsid w:val="002A1A87"/>
    <w:rsid w:val="002A37BB"/>
    <w:rsid w:val="002A6455"/>
    <w:rsid w:val="002B174D"/>
    <w:rsid w:val="002B58A5"/>
    <w:rsid w:val="002B7F61"/>
    <w:rsid w:val="002C701D"/>
    <w:rsid w:val="002D6042"/>
    <w:rsid w:val="002E06DE"/>
    <w:rsid w:val="002E26A6"/>
    <w:rsid w:val="002E3A9D"/>
    <w:rsid w:val="002E5A51"/>
    <w:rsid w:val="002E6325"/>
    <w:rsid w:val="002E7FB4"/>
    <w:rsid w:val="002F487C"/>
    <w:rsid w:val="002F7910"/>
    <w:rsid w:val="00300B4B"/>
    <w:rsid w:val="00301B3A"/>
    <w:rsid w:val="003057CB"/>
    <w:rsid w:val="00305B9F"/>
    <w:rsid w:val="00312B65"/>
    <w:rsid w:val="003160B2"/>
    <w:rsid w:val="0032061D"/>
    <w:rsid w:val="0033213F"/>
    <w:rsid w:val="00332F1E"/>
    <w:rsid w:val="00341467"/>
    <w:rsid w:val="00341DA6"/>
    <w:rsid w:val="003427CE"/>
    <w:rsid w:val="00360269"/>
    <w:rsid w:val="00367B19"/>
    <w:rsid w:val="0037057F"/>
    <w:rsid w:val="0037551B"/>
    <w:rsid w:val="00376D05"/>
    <w:rsid w:val="00382518"/>
    <w:rsid w:val="003860A0"/>
    <w:rsid w:val="00386B48"/>
    <w:rsid w:val="0039058C"/>
    <w:rsid w:val="00391957"/>
    <w:rsid w:val="00391A43"/>
    <w:rsid w:val="00392DBA"/>
    <w:rsid w:val="003A3878"/>
    <w:rsid w:val="003C3322"/>
    <w:rsid w:val="003C68C2"/>
    <w:rsid w:val="003C7FF1"/>
    <w:rsid w:val="003D4CAE"/>
    <w:rsid w:val="003F26BD"/>
    <w:rsid w:val="003F52AD"/>
    <w:rsid w:val="0040242E"/>
    <w:rsid w:val="00412B9E"/>
    <w:rsid w:val="00414A91"/>
    <w:rsid w:val="00416D44"/>
    <w:rsid w:val="00423B1B"/>
    <w:rsid w:val="0043144F"/>
    <w:rsid w:val="00431BFA"/>
    <w:rsid w:val="004353CF"/>
    <w:rsid w:val="00442DB0"/>
    <w:rsid w:val="00453989"/>
    <w:rsid w:val="00456C07"/>
    <w:rsid w:val="004631BC"/>
    <w:rsid w:val="004816C9"/>
    <w:rsid w:val="00484761"/>
    <w:rsid w:val="00484DD5"/>
    <w:rsid w:val="00484E72"/>
    <w:rsid w:val="004A4FF7"/>
    <w:rsid w:val="004A643D"/>
    <w:rsid w:val="004B0E8C"/>
    <w:rsid w:val="004B52D7"/>
    <w:rsid w:val="004C1E16"/>
    <w:rsid w:val="004C2543"/>
    <w:rsid w:val="004D15CA"/>
    <w:rsid w:val="004D7512"/>
    <w:rsid w:val="004E2A6A"/>
    <w:rsid w:val="004E3E4C"/>
    <w:rsid w:val="004F1147"/>
    <w:rsid w:val="004F2233"/>
    <w:rsid w:val="004F23A0"/>
    <w:rsid w:val="005003E3"/>
    <w:rsid w:val="005052CD"/>
    <w:rsid w:val="00507EC5"/>
    <w:rsid w:val="00517552"/>
    <w:rsid w:val="00524D2F"/>
    <w:rsid w:val="00546402"/>
    <w:rsid w:val="00550A26"/>
    <w:rsid w:val="00550BF5"/>
    <w:rsid w:val="00554F98"/>
    <w:rsid w:val="00557CB6"/>
    <w:rsid w:val="00567A70"/>
    <w:rsid w:val="005714B5"/>
    <w:rsid w:val="00574C15"/>
    <w:rsid w:val="00581218"/>
    <w:rsid w:val="00581410"/>
    <w:rsid w:val="00582A66"/>
    <w:rsid w:val="005836B3"/>
    <w:rsid w:val="00584362"/>
    <w:rsid w:val="00585B8A"/>
    <w:rsid w:val="005939C2"/>
    <w:rsid w:val="00596596"/>
    <w:rsid w:val="005A11FF"/>
    <w:rsid w:val="005A1EA2"/>
    <w:rsid w:val="005A2A15"/>
    <w:rsid w:val="005A3D76"/>
    <w:rsid w:val="005B4820"/>
    <w:rsid w:val="005D02FD"/>
    <w:rsid w:val="005D10DC"/>
    <w:rsid w:val="005D1B15"/>
    <w:rsid w:val="005D2824"/>
    <w:rsid w:val="005D39F2"/>
    <w:rsid w:val="005D4F1A"/>
    <w:rsid w:val="005D72BB"/>
    <w:rsid w:val="005E692F"/>
    <w:rsid w:val="005F0D7F"/>
    <w:rsid w:val="005F7A67"/>
    <w:rsid w:val="00600845"/>
    <w:rsid w:val="0060321B"/>
    <w:rsid w:val="00607572"/>
    <w:rsid w:val="0062114B"/>
    <w:rsid w:val="00623698"/>
    <w:rsid w:val="00625436"/>
    <w:rsid w:val="00625E96"/>
    <w:rsid w:val="006457E6"/>
    <w:rsid w:val="00646C5B"/>
    <w:rsid w:val="00647C09"/>
    <w:rsid w:val="006507A6"/>
    <w:rsid w:val="00651F2C"/>
    <w:rsid w:val="00655105"/>
    <w:rsid w:val="00655810"/>
    <w:rsid w:val="00662871"/>
    <w:rsid w:val="00664DE5"/>
    <w:rsid w:val="00677F3A"/>
    <w:rsid w:val="006856EA"/>
    <w:rsid w:val="006865BB"/>
    <w:rsid w:val="00686E33"/>
    <w:rsid w:val="00693D5D"/>
    <w:rsid w:val="006A2CFA"/>
    <w:rsid w:val="006A4D9D"/>
    <w:rsid w:val="006A5A34"/>
    <w:rsid w:val="006B3A37"/>
    <w:rsid w:val="006B7414"/>
    <w:rsid w:val="006B7F03"/>
    <w:rsid w:val="006C002A"/>
    <w:rsid w:val="006C5EAA"/>
    <w:rsid w:val="006E1E37"/>
    <w:rsid w:val="006E21C7"/>
    <w:rsid w:val="006E4EC2"/>
    <w:rsid w:val="006F4846"/>
    <w:rsid w:val="006F6FCF"/>
    <w:rsid w:val="0071084E"/>
    <w:rsid w:val="00712D53"/>
    <w:rsid w:val="007133A5"/>
    <w:rsid w:val="00714FCC"/>
    <w:rsid w:val="00724CB1"/>
    <w:rsid w:val="00725B45"/>
    <w:rsid w:val="0072703E"/>
    <w:rsid w:val="00732C08"/>
    <w:rsid w:val="00735751"/>
    <w:rsid w:val="007367C2"/>
    <w:rsid w:val="00753891"/>
    <w:rsid w:val="00757429"/>
    <w:rsid w:val="00766F3F"/>
    <w:rsid w:val="00770612"/>
    <w:rsid w:val="007707CC"/>
    <w:rsid w:val="007714B8"/>
    <w:rsid w:val="0077647B"/>
    <w:rsid w:val="00781B02"/>
    <w:rsid w:val="007855AB"/>
    <w:rsid w:val="007A4EDA"/>
    <w:rsid w:val="007B186F"/>
    <w:rsid w:val="007B333B"/>
    <w:rsid w:val="007B3A63"/>
    <w:rsid w:val="007C2817"/>
    <w:rsid w:val="007C4336"/>
    <w:rsid w:val="007C692D"/>
    <w:rsid w:val="007D1633"/>
    <w:rsid w:val="007D2737"/>
    <w:rsid w:val="007D51CE"/>
    <w:rsid w:val="007D7115"/>
    <w:rsid w:val="007E1881"/>
    <w:rsid w:val="007F2D98"/>
    <w:rsid w:val="007F7AA6"/>
    <w:rsid w:val="00802919"/>
    <w:rsid w:val="00805F30"/>
    <w:rsid w:val="00821B99"/>
    <w:rsid w:val="00822EC3"/>
    <w:rsid w:val="00823624"/>
    <w:rsid w:val="00824394"/>
    <w:rsid w:val="008245B2"/>
    <w:rsid w:val="00833EC4"/>
    <w:rsid w:val="008358FD"/>
    <w:rsid w:val="0083601C"/>
    <w:rsid w:val="00837E47"/>
    <w:rsid w:val="008457E3"/>
    <w:rsid w:val="008518FE"/>
    <w:rsid w:val="00855099"/>
    <w:rsid w:val="0085659C"/>
    <w:rsid w:val="00862D31"/>
    <w:rsid w:val="0086494E"/>
    <w:rsid w:val="008649A2"/>
    <w:rsid w:val="00864F34"/>
    <w:rsid w:val="00865664"/>
    <w:rsid w:val="00866592"/>
    <w:rsid w:val="00872026"/>
    <w:rsid w:val="00874857"/>
    <w:rsid w:val="00876016"/>
    <w:rsid w:val="0087792E"/>
    <w:rsid w:val="008820B2"/>
    <w:rsid w:val="00883EAF"/>
    <w:rsid w:val="00885258"/>
    <w:rsid w:val="00892063"/>
    <w:rsid w:val="00896898"/>
    <w:rsid w:val="008A2BE0"/>
    <w:rsid w:val="008A30C3"/>
    <w:rsid w:val="008A3C23"/>
    <w:rsid w:val="008A5A9C"/>
    <w:rsid w:val="008B4EC7"/>
    <w:rsid w:val="008C012B"/>
    <w:rsid w:val="008C3FD3"/>
    <w:rsid w:val="008C49CC"/>
    <w:rsid w:val="008D0C7F"/>
    <w:rsid w:val="008D62D1"/>
    <w:rsid w:val="008D69E9"/>
    <w:rsid w:val="008E0645"/>
    <w:rsid w:val="008E67E0"/>
    <w:rsid w:val="008F0913"/>
    <w:rsid w:val="008F3CD9"/>
    <w:rsid w:val="008F41B9"/>
    <w:rsid w:val="008F594A"/>
    <w:rsid w:val="008F6D7A"/>
    <w:rsid w:val="00904C7E"/>
    <w:rsid w:val="0091035B"/>
    <w:rsid w:val="00917780"/>
    <w:rsid w:val="00921626"/>
    <w:rsid w:val="0092512B"/>
    <w:rsid w:val="00925DD2"/>
    <w:rsid w:val="0093136E"/>
    <w:rsid w:val="009419A2"/>
    <w:rsid w:val="009609C2"/>
    <w:rsid w:val="00961DB8"/>
    <w:rsid w:val="00967CCA"/>
    <w:rsid w:val="00971C09"/>
    <w:rsid w:val="00971CA7"/>
    <w:rsid w:val="00974D78"/>
    <w:rsid w:val="00980981"/>
    <w:rsid w:val="009817E3"/>
    <w:rsid w:val="00982A48"/>
    <w:rsid w:val="009A1F6E"/>
    <w:rsid w:val="009A7619"/>
    <w:rsid w:val="009B22DE"/>
    <w:rsid w:val="009B3AF3"/>
    <w:rsid w:val="009B49EA"/>
    <w:rsid w:val="009C3FD7"/>
    <w:rsid w:val="009C7958"/>
    <w:rsid w:val="009C7D17"/>
    <w:rsid w:val="009D1F6E"/>
    <w:rsid w:val="009E3DBF"/>
    <w:rsid w:val="009E484E"/>
    <w:rsid w:val="009F3457"/>
    <w:rsid w:val="009F40FB"/>
    <w:rsid w:val="009F60DF"/>
    <w:rsid w:val="009F696C"/>
    <w:rsid w:val="00A030FE"/>
    <w:rsid w:val="00A17A5F"/>
    <w:rsid w:val="00A205E6"/>
    <w:rsid w:val="00A22FCB"/>
    <w:rsid w:val="00A370F9"/>
    <w:rsid w:val="00A37A19"/>
    <w:rsid w:val="00A42118"/>
    <w:rsid w:val="00A472F1"/>
    <w:rsid w:val="00A5237D"/>
    <w:rsid w:val="00A53744"/>
    <w:rsid w:val="00A554A3"/>
    <w:rsid w:val="00A61BC7"/>
    <w:rsid w:val="00A61CED"/>
    <w:rsid w:val="00A73B09"/>
    <w:rsid w:val="00A758EA"/>
    <w:rsid w:val="00A90A7A"/>
    <w:rsid w:val="00A935C9"/>
    <w:rsid w:val="00A94C32"/>
    <w:rsid w:val="00A95C50"/>
    <w:rsid w:val="00A96565"/>
    <w:rsid w:val="00AA2E5F"/>
    <w:rsid w:val="00AA666D"/>
    <w:rsid w:val="00AB0C11"/>
    <w:rsid w:val="00AB45B7"/>
    <w:rsid w:val="00AB79A6"/>
    <w:rsid w:val="00AC1DA3"/>
    <w:rsid w:val="00AC4850"/>
    <w:rsid w:val="00AC48BD"/>
    <w:rsid w:val="00AD17F3"/>
    <w:rsid w:val="00AD1B8A"/>
    <w:rsid w:val="00AD4D51"/>
    <w:rsid w:val="00AE1CBA"/>
    <w:rsid w:val="00AE7B14"/>
    <w:rsid w:val="00B00AF0"/>
    <w:rsid w:val="00B1761D"/>
    <w:rsid w:val="00B23B10"/>
    <w:rsid w:val="00B270A8"/>
    <w:rsid w:val="00B43E46"/>
    <w:rsid w:val="00B47B59"/>
    <w:rsid w:val="00B53F81"/>
    <w:rsid w:val="00B54FDB"/>
    <w:rsid w:val="00B56C2B"/>
    <w:rsid w:val="00B57DDD"/>
    <w:rsid w:val="00B65BD3"/>
    <w:rsid w:val="00B70469"/>
    <w:rsid w:val="00B72DD8"/>
    <w:rsid w:val="00B72E09"/>
    <w:rsid w:val="00B74863"/>
    <w:rsid w:val="00B75E73"/>
    <w:rsid w:val="00B769E3"/>
    <w:rsid w:val="00B7786F"/>
    <w:rsid w:val="00B8134E"/>
    <w:rsid w:val="00B824C9"/>
    <w:rsid w:val="00B87330"/>
    <w:rsid w:val="00B90EFA"/>
    <w:rsid w:val="00B949D2"/>
    <w:rsid w:val="00BA07BF"/>
    <w:rsid w:val="00BA4391"/>
    <w:rsid w:val="00BB3054"/>
    <w:rsid w:val="00BC0003"/>
    <w:rsid w:val="00BC14F9"/>
    <w:rsid w:val="00BC202E"/>
    <w:rsid w:val="00BE23DF"/>
    <w:rsid w:val="00BE5FCA"/>
    <w:rsid w:val="00BF0C69"/>
    <w:rsid w:val="00BF39EA"/>
    <w:rsid w:val="00BF4B0C"/>
    <w:rsid w:val="00BF629B"/>
    <w:rsid w:val="00BF655C"/>
    <w:rsid w:val="00C02D4C"/>
    <w:rsid w:val="00C075EF"/>
    <w:rsid w:val="00C110F2"/>
    <w:rsid w:val="00C11E83"/>
    <w:rsid w:val="00C2378A"/>
    <w:rsid w:val="00C24E1F"/>
    <w:rsid w:val="00C2636C"/>
    <w:rsid w:val="00C2708A"/>
    <w:rsid w:val="00C3113B"/>
    <w:rsid w:val="00C3787A"/>
    <w:rsid w:val="00C378A1"/>
    <w:rsid w:val="00C402A8"/>
    <w:rsid w:val="00C50192"/>
    <w:rsid w:val="00C621D6"/>
    <w:rsid w:val="00C63AF2"/>
    <w:rsid w:val="00C662F9"/>
    <w:rsid w:val="00C73BD6"/>
    <w:rsid w:val="00C75E5E"/>
    <w:rsid w:val="00C77C3B"/>
    <w:rsid w:val="00C803B4"/>
    <w:rsid w:val="00C82D86"/>
    <w:rsid w:val="00C924A0"/>
    <w:rsid w:val="00CA2880"/>
    <w:rsid w:val="00CA2FC5"/>
    <w:rsid w:val="00CA567F"/>
    <w:rsid w:val="00CB3DBA"/>
    <w:rsid w:val="00CB4B8D"/>
    <w:rsid w:val="00CB4CD4"/>
    <w:rsid w:val="00CB5AEF"/>
    <w:rsid w:val="00CC0DDA"/>
    <w:rsid w:val="00CC1E9B"/>
    <w:rsid w:val="00CC354E"/>
    <w:rsid w:val="00CC71A2"/>
    <w:rsid w:val="00CC7EB4"/>
    <w:rsid w:val="00CD1AB8"/>
    <w:rsid w:val="00CD684F"/>
    <w:rsid w:val="00CD7C0C"/>
    <w:rsid w:val="00CE1431"/>
    <w:rsid w:val="00CF228D"/>
    <w:rsid w:val="00CF3B04"/>
    <w:rsid w:val="00D01E59"/>
    <w:rsid w:val="00D02E0D"/>
    <w:rsid w:val="00D05BA7"/>
    <w:rsid w:val="00D06623"/>
    <w:rsid w:val="00D122AF"/>
    <w:rsid w:val="00D12857"/>
    <w:rsid w:val="00D14C6B"/>
    <w:rsid w:val="00D215FD"/>
    <w:rsid w:val="00D270EF"/>
    <w:rsid w:val="00D342E5"/>
    <w:rsid w:val="00D46E76"/>
    <w:rsid w:val="00D47BE0"/>
    <w:rsid w:val="00D50F1A"/>
    <w:rsid w:val="00D52DA9"/>
    <w:rsid w:val="00D5536F"/>
    <w:rsid w:val="00D55C6F"/>
    <w:rsid w:val="00D56935"/>
    <w:rsid w:val="00D6172F"/>
    <w:rsid w:val="00D63F5B"/>
    <w:rsid w:val="00D71289"/>
    <w:rsid w:val="00D736C3"/>
    <w:rsid w:val="00D73B31"/>
    <w:rsid w:val="00D758C6"/>
    <w:rsid w:val="00D75EA9"/>
    <w:rsid w:val="00D77843"/>
    <w:rsid w:val="00D90C10"/>
    <w:rsid w:val="00D92A9B"/>
    <w:rsid w:val="00D92E96"/>
    <w:rsid w:val="00D96F6F"/>
    <w:rsid w:val="00D97A7E"/>
    <w:rsid w:val="00DA037C"/>
    <w:rsid w:val="00DA258C"/>
    <w:rsid w:val="00DA2605"/>
    <w:rsid w:val="00DA3014"/>
    <w:rsid w:val="00DA639D"/>
    <w:rsid w:val="00DB4DDD"/>
    <w:rsid w:val="00DD5B98"/>
    <w:rsid w:val="00DE07FA"/>
    <w:rsid w:val="00DE1F62"/>
    <w:rsid w:val="00DE36DC"/>
    <w:rsid w:val="00DF2DDE"/>
    <w:rsid w:val="00DF5863"/>
    <w:rsid w:val="00E01667"/>
    <w:rsid w:val="00E01988"/>
    <w:rsid w:val="00E21F2E"/>
    <w:rsid w:val="00E25BE6"/>
    <w:rsid w:val="00E304B0"/>
    <w:rsid w:val="00E339F1"/>
    <w:rsid w:val="00E36209"/>
    <w:rsid w:val="00E37200"/>
    <w:rsid w:val="00E420BB"/>
    <w:rsid w:val="00E47055"/>
    <w:rsid w:val="00E50DF6"/>
    <w:rsid w:val="00E5604E"/>
    <w:rsid w:val="00E71AA9"/>
    <w:rsid w:val="00E85E1D"/>
    <w:rsid w:val="00E90163"/>
    <w:rsid w:val="00E95A63"/>
    <w:rsid w:val="00E965C5"/>
    <w:rsid w:val="00E96A3A"/>
    <w:rsid w:val="00E97402"/>
    <w:rsid w:val="00E97B99"/>
    <w:rsid w:val="00EA0295"/>
    <w:rsid w:val="00EA1589"/>
    <w:rsid w:val="00EA5078"/>
    <w:rsid w:val="00EB2905"/>
    <w:rsid w:val="00EB2E9D"/>
    <w:rsid w:val="00EB68B1"/>
    <w:rsid w:val="00EB6F66"/>
    <w:rsid w:val="00ED10D2"/>
    <w:rsid w:val="00EE2B65"/>
    <w:rsid w:val="00EE53EE"/>
    <w:rsid w:val="00EE6FFC"/>
    <w:rsid w:val="00EF103E"/>
    <w:rsid w:val="00EF10AC"/>
    <w:rsid w:val="00EF1896"/>
    <w:rsid w:val="00EF267B"/>
    <w:rsid w:val="00EF2936"/>
    <w:rsid w:val="00EF4701"/>
    <w:rsid w:val="00EF564E"/>
    <w:rsid w:val="00EF7300"/>
    <w:rsid w:val="00F22198"/>
    <w:rsid w:val="00F22226"/>
    <w:rsid w:val="00F30FD0"/>
    <w:rsid w:val="00F33D49"/>
    <w:rsid w:val="00F3481E"/>
    <w:rsid w:val="00F36D35"/>
    <w:rsid w:val="00F37326"/>
    <w:rsid w:val="00F451DC"/>
    <w:rsid w:val="00F53375"/>
    <w:rsid w:val="00F53E50"/>
    <w:rsid w:val="00F5430F"/>
    <w:rsid w:val="00F55157"/>
    <w:rsid w:val="00F577F6"/>
    <w:rsid w:val="00F63245"/>
    <w:rsid w:val="00F63A65"/>
    <w:rsid w:val="00F65266"/>
    <w:rsid w:val="00F751E1"/>
    <w:rsid w:val="00F77C0F"/>
    <w:rsid w:val="00F81095"/>
    <w:rsid w:val="00F8610E"/>
    <w:rsid w:val="00FA01CE"/>
    <w:rsid w:val="00FA351D"/>
    <w:rsid w:val="00FB56A9"/>
    <w:rsid w:val="00FD347F"/>
    <w:rsid w:val="00FD7520"/>
    <w:rsid w:val="00FF1646"/>
    <w:rsid w:val="00FF27FD"/>
    <w:rsid w:val="00FF5219"/>
    <w:rsid w:val="00FF5E8E"/>
    <w:rsid w:val="00FF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EDEA27E-96D8-40BB-A409-D0E8DA4B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EF103E"/>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B57DDD"/>
    <w:pPr>
      <w:spacing w:after="200"/>
    </w:pPr>
    <w:rPr>
      <w:i/>
      <w:iCs/>
      <w:color w:val="1F497D" w:themeColor="text2"/>
      <w:sz w:val="18"/>
      <w:szCs w:val="18"/>
    </w:rPr>
  </w:style>
  <w:style w:type="table" w:styleId="TableGrid">
    <w:name w:val="Table Grid"/>
    <w:basedOn w:val="TableNormal"/>
    <w:rsid w:val="00982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7936">
      <w:bodyDiv w:val="1"/>
      <w:marLeft w:val="0"/>
      <w:marRight w:val="0"/>
      <w:marTop w:val="0"/>
      <w:marBottom w:val="0"/>
      <w:divBdr>
        <w:top w:val="none" w:sz="0" w:space="0" w:color="auto"/>
        <w:left w:val="none" w:sz="0" w:space="0" w:color="auto"/>
        <w:bottom w:val="none" w:sz="0" w:space="0" w:color="auto"/>
        <w:right w:val="none" w:sz="0" w:space="0" w:color="auto"/>
      </w:divBdr>
    </w:div>
    <w:div w:id="451442441">
      <w:bodyDiv w:val="1"/>
      <w:marLeft w:val="0"/>
      <w:marRight w:val="0"/>
      <w:marTop w:val="0"/>
      <w:marBottom w:val="0"/>
      <w:divBdr>
        <w:top w:val="none" w:sz="0" w:space="0" w:color="auto"/>
        <w:left w:val="none" w:sz="0" w:space="0" w:color="auto"/>
        <w:bottom w:val="none" w:sz="0" w:space="0" w:color="auto"/>
        <w:right w:val="none" w:sz="0" w:space="0" w:color="auto"/>
      </w:divBdr>
      <w:divsChild>
        <w:div w:id="1026324414">
          <w:marLeft w:val="0"/>
          <w:marRight w:val="0"/>
          <w:marTop w:val="0"/>
          <w:marBottom w:val="0"/>
          <w:divBdr>
            <w:top w:val="none" w:sz="0" w:space="0" w:color="auto"/>
            <w:left w:val="none" w:sz="0" w:space="0" w:color="auto"/>
            <w:bottom w:val="none" w:sz="0" w:space="0" w:color="auto"/>
            <w:right w:val="none" w:sz="0" w:space="0" w:color="auto"/>
          </w:divBdr>
          <w:divsChild>
            <w:div w:id="67656713">
              <w:marLeft w:val="0"/>
              <w:marRight w:val="0"/>
              <w:marTop w:val="0"/>
              <w:marBottom w:val="0"/>
              <w:divBdr>
                <w:top w:val="none" w:sz="0" w:space="0" w:color="auto"/>
                <w:left w:val="none" w:sz="0" w:space="0" w:color="auto"/>
                <w:bottom w:val="none" w:sz="0" w:space="0" w:color="auto"/>
                <w:right w:val="none" w:sz="0" w:space="0" w:color="auto"/>
              </w:divBdr>
              <w:divsChild>
                <w:div w:id="458108135">
                  <w:marLeft w:val="0"/>
                  <w:marRight w:val="0"/>
                  <w:marTop w:val="0"/>
                  <w:marBottom w:val="0"/>
                  <w:divBdr>
                    <w:top w:val="none" w:sz="0" w:space="0" w:color="auto"/>
                    <w:left w:val="none" w:sz="0" w:space="0" w:color="auto"/>
                    <w:bottom w:val="none" w:sz="0" w:space="0" w:color="auto"/>
                    <w:right w:val="none" w:sz="0" w:space="0" w:color="auto"/>
                  </w:divBdr>
                  <w:divsChild>
                    <w:div w:id="1230963352">
                      <w:marLeft w:val="0"/>
                      <w:marRight w:val="0"/>
                      <w:marTop w:val="0"/>
                      <w:marBottom w:val="0"/>
                      <w:divBdr>
                        <w:top w:val="none" w:sz="0" w:space="0" w:color="auto"/>
                        <w:left w:val="none" w:sz="0" w:space="0" w:color="auto"/>
                        <w:bottom w:val="none" w:sz="0" w:space="0" w:color="auto"/>
                        <w:right w:val="none" w:sz="0" w:space="0" w:color="auto"/>
                      </w:divBdr>
                      <w:divsChild>
                        <w:div w:id="163596180">
                          <w:marLeft w:val="0"/>
                          <w:marRight w:val="0"/>
                          <w:marTop w:val="0"/>
                          <w:marBottom w:val="0"/>
                          <w:divBdr>
                            <w:top w:val="none" w:sz="0" w:space="0" w:color="auto"/>
                            <w:left w:val="none" w:sz="0" w:space="0" w:color="auto"/>
                            <w:bottom w:val="none" w:sz="0" w:space="0" w:color="auto"/>
                            <w:right w:val="none" w:sz="0" w:space="0" w:color="auto"/>
                          </w:divBdr>
                          <w:divsChild>
                            <w:div w:id="1502619562">
                              <w:marLeft w:val="0"/>
                              <w:marRight w:val="0"/>
                              <w:marTop w:val="0"/>
                              <w:marBottom w:val="0"/>
                              <w:divBdr>
                                <w:top w:val="none" w:sz="0" w:space="0" w:color="auto"/>
                                <w:left w:val="none" w:sz="0" w:space="0" w:color="auto"/>
                                <w:bottom w:val="none" w:sz="0" w:space="0" w:color="auto"/>
                                <w:right w:val="none" w:sz="0" w:space="0" w:color="auto"/>
                              </w:divBdr>
                              <w:divsChild>
                                <w:div w:id="1175807140">
                                  <w:marLeft w:val="0"/>
                                  <w:marRight w:val="0"/>
                                  <w:marTop w:val="0"/>
                                  <w:marBottom w:val="0"/>
                                  <w:divBdr>
                                    <w:top w:val="none" w:sz="0" w:space="0" w:color="auto"/>
                                    <w:left w:val="none" w:sz="0" w:space="0" w:color="auto"/>
                                    <w:bottom w:val="none" w:sz="0" w:space="0" w:color="auto"/>
                                    <w:right w:val="none" w:sz="0" w:space="0" w:color="auto"/>
                                  </w:divBdr>
                                  <w:divsChild>
                                    <w:div w:id="1877504083">
                                      <w:marLeft w:val="0"/>
                                      <w:marRight w:val="0"/>
                                      <w:marTop w:val="0"/>
                                      <w:marBottom w:val="0"/>
                                      <w:divBdr>
                                        <w:top w:val="none" w:sz="0" w:space="0" w:color="auto"/>
                                        <w:left w:val="none" w:sz="0" w:space="0" w:color="auto"/>
                                        <w:bottom w:val="none" w:sz="0" w:space="0" w:color="auto"/>
                                        <w:right w:val="none" w:sz="0" w:space="0" w:color="auto"/>
                                      </w:divBdr>
                                      <w:divsChild>
                                        <w:div w:id="1355306475">
                                          <w:marLeft w:val="0"/>
                                          <w:marRight w:val="0"/>
                                          <w:marTop w:val="0"/>
                                          <w:marBottom w:val="0"/>
                                          <w:divBdr>
                                            <w:top w:val="none" w:sz="0" w:space="0" w:color="auto"/>
                                            <w:left w:val="none" w:sz="0" w:space="0" w:color="auto"/>
                                            <w:bottom w:val="none" w:sz="0" w:space="0" w:color="auto"/>
                                            <w:right w:val="none" w:sz="0" w:space="0" w:color="auto"/>
                                          </w:divBdr>
                                          <w:divsChild>
                                            <w:div w:id="1409032003">
                                              <w:marLeft w:val="0"/>
                                              <w:marRight w:val="0"/>
                                              <w:marTop w:val="0"/>
                                              <w:marBottom w:val="0"/>
                                              <w:divBdr>
                                                <w:top w:val="none" w:sz="0" w:space="0" w:color="auto"/>
                                                <w:left w:val="none" w:sz="0" w:space="0" w:color="auto"/>
                                                <w:bottom w:val="none" w:sz="0" w:space="0" w:color="auto"/>
                                                <w:right w:val="none" w:sz="0" w:space="0" w:color="auto"/>
                                              </w:divBdr>
                                              <w:divsChild>
                                                <w:div w:id="1615284961">
                                                  <w:marLeft w:val="0"/>
                                                  <w:marRight w:val="0"/>
                                                  <w:marTop w:val="0"/>
                                                  <w:marBottom w:val="0"/>
                                                  <w:divBdr>
                                                    <w:top w:val="none" w:sz="0" w:space="0" w:color="auto"/>
                                                    <w:left w:val="none" w:sz="0" w:space="0" w:color="auto"/>
                                                    <w:bottom w:val="none" w:sz="0" w:space="0" w:color="auto"/>
                                                    <w:right w:val="none" w:sz="0" w:space="0" w:color="auto"/>
                                                  </w:divBdr>
                                                  <w:divsChild>
                                                    <w:div w:id="743530871">
                                                      <w:marLeft w:val="0"/>
                                                      <w:marRight w:val="0"/>
                                                      <w:marTop w:val="0"/>
                                                      <w:marBottom w:val="0"/>
                                                      <w:divBdr>
                                                        <w:top w:val="none" w:sz="0" w:space="0" w:color="auto"/>
                                                        <w:left w:val="none" w:sz="0" w:space="0" w:color="auto"/>
                                                        <w:bottom w:val="none" w:sz="0" w:space="0" w:color="auto"/>
                                                        <w:right w:val="none" w:sz="0" w:space="0" w:color="auto"/>
                                                      </w:divBdr>
                                                      <w:divsChild>
                                                        <w:div w:id="727844885">
                                                          <w:marLeft w:val="0"/>
                                                          <w:marRight w:val="0"/>
                                                          <w:marTop w:val="0"/>
                                                          <w:marBottom w:val="0"/>
                                                          <w:divBdr>
                                                            <w:top w:val="none" w:sz="0" w:space="0" w:color="auto"/>
                                                            <w:left w:val="none" w:sz="0" w:space="0" w:color="auto"/>
                                                            <w:bottom w:val="none" w:sz="0" w:space="0" w:color="auto"/>
                                                            <w:right w:val="none" w:sz="0" w:space="0" w:color="auto"/>
                                                          </w:divBdr>
                                                          <w:divsChild>
                                                            <w:div w:id="1003121658">
                                                              <w:marLeft w:val="0"/>
                                                              <w:marRight w:val="0"/>
                                                              <w:marTop w:val="0"/>
                                                              <w:marBottom w:val="0"/>
                                                              <w:divBdr>
                                                                <w:top w:val="none" w:sz="0" w:space="0" w:color="auto"/>
                                                                <w:left w:val="none" w:sz="0" w:space="0" w:color="auto"/>
                                                                <w:bottom w:val="none" w:sz="0" w:space="0" w:color="auto"/>
                                                                <w:right w:val="none" w:sz="0" w:space="0" w:color="auto"/>
                                                              </w:divBdr>
                                                              <w:divsChild>
                                                                <w:div w:id="1710955987">
                                                                  <w:marLeft w:val="0"/>
                                                                  <w:marRight w:val="0"/>
                                                                  <w:marTop w:val="0"/>
                                                                  <w:marBottom w:val="0"/>
                                                                  <w:divBdr>
                                                                    <w:top w:val="none" w:sz="0" w:space="0" w:color="auto"/>
                                                                    <w:left w:val="none" w:sz="0" w:space="0" w:color="auto"/>
                                                                    <w:bottom w:val="none" w:sz="0" w:space="0" w:color="auto"/>
                                                                    <w:right w:val="none" w:sz="0" w:space="0" w:color="auto"/>
                                                                  </w:divBdr>
                                                                  <w:divsChild>
                                                                    <w:div w:id="138504366">
                                                                      <w:marLeft w:val="0"/>
                                                                      <w:marRight w:val="0"/>
                                                                      <w:marTop w:val="0"/>
                                                                      <w:marBottom w:val="0"/>
                                                                      <w:divBdr>
                                                                        <w:top w:val="none" w:sz="0" w:space="0" w:color="auto"/>
                                                                        <w:left w:val="none" w:sz="0" w:space="0" w:color="auto"/>
                                                                        <w:bottom w:val="none" w:sz="0" w:space="0" w:color="auto"/>
                                                                        <w:right w:val="none" w:sz="0" w:space="0" w:color="auto"/>
                                                                      </w:divBdr>
                                                                      <w:divsChild>
                                                                        <w:div w:id="1881042081">
                                                                          <w:marLeft w:val="0"/>
                                                                          <w:marRight w:val="0"/>
                                                                          <w:marTop w:val="0"/>
                                                                          <w:marBottom w:val="0"/>
                                                                          <w:divBdr>
                                                                            <w:top w:val="none" w:sz="0" w:space="0" w:color="auto"/>
                                                                            <w:left w:val="none" w:sz="0" w:space="0" w:color="auto"/>
                                                                            <w:bottom w:val="none" w:sz="0" w:space="0" w:color="auto"/>
                                                                            <w:right w:val="none" w:sz="0" w:space="0" w:color="auto"/>
                                                                          </w:divBdr>
                                                                        </w:div>
                                                                        <w:div w:id="46102169">
                                                                          <w:marLeft w:val="0"/>
                                                                          <w:marRight w:val="0"/>
                                                                          <w:marTop w:val="0"/>
                                                                          <w:marBottom w:val="0"/>
                                                                          <w:divBdr>
                                                                            <w:top w:val="none" w:sz="0" w:space="0" w:color="auto"/>
                                                                            <w:left w:val="none" w:sz="0" w:space="0" w:color="auto"/>
                                                                            <w:bottom w:val="none" w:sz="0" w:space="0" w:color="auto"/>
                                                                            <w:right w:val="none" w:sz="0" w:space="0" w:color="auto"/>
                                                                          </w:divBdr>
                                                                          <w:divsChild>
                                                                            <w:div w:id="412553954">
                                                                              <w:marLeft w:val="0"/>
                                                                              <w:marRight w:val="0"/>
                                                                              <w:marTop w:val="0"/>
                                                                              <w:marBottom w:val="0"/>
                                                                              <w:divBdr>
                                                                                <w:top w:val="none" w:sz="0" w:space="0" w:color="auto"/>
                                                                                <w:left w:val="none" w:sz="0" w:space="0" w:color="auto"/>
                                                                                <w:bottom w:val="none" w:sz="0" w:space="0" w:color="auto"/>
                                                                                <w:right w:val="none" w:sz="0" w:space="0" w:color="auto"/>
                                                                              </w:divBdr>
                                                                              <w:divsChild>
                                                                                <w:div w:id="1839880447">
                                                                                  <w:marLeft w:val="0"/>
                                                                                  <w:marRight w:val="0"/>
                                                                                  <w:marTop w:val="0"/>
                                                                                  <w:marBottom w:val="0"/>
                                                                                  <w:divBdr>
                                                                                    <w:top w:val="none" w:sz="0" w:space="0" w:color="auto"/>
                                                                                    <w:left w:val="none" w:sz="0" w:space="0" w:color="auto"/>
                                                                                    <w:bottom w:val="none" w:sz="0" w:space="0" w:color="auto"/>
                                                                                    <w:right w:val="none" w:sz="0" w:space="0" w:color="auto"/>
                                                                                  </w:divBdr>
                                                                                  <w:divsChild>
                                                                                    <w:div w:id="1401563019">
                                                                                      <w:marLeft w:val="0"/>
                                                                                      <w:marRight w:val="0"/>
                                                                                      <w:marTop w:val="0"/>
                                                                                      <w:marBottom w:val="0"/>
                                                                                      <w:divBdr>
                                                                                        <w:top w:val="none" w:sz="0" w:space="0" w:color="auto"/>
                                                                                        <w:left w:val="none" w:sz="0" w:space="0" w:color="auto"/>
                                                                                        <w:bottom w:val="none" w:sz="0" w:space="0" w:color="auto"/>
                                                                                        <w:right w:val="none" w:sz="0" w:space="0" w:color="auto"/>
                                                                                      </w:divBdr>
                                                                                      <w:divsChild>
                                                                                        <w:div w:id="1277828604">
                                                                                          <w:marLeft w:val="0"/>
                                                                                          <w:marRight w:val="0"/>
                                                                                          <w:marTop w:val="0"/>
                                                                                          <w:marBottom w:val="0"/>
                                                                                          <w:divBdr>
                                                                                            <w:top w:val="none" w:sz="0" w:space="0" w:color="auto"/>
                                                                                            <w:left w:val="none" w:sz="0" w:space="0" w:color="auto"/>
                                                                                            <w:bottom w:val="none" w:sz="0" w:space="0" w:color="auto"/>
                                                                                            <w:right w:val="none" w:sz="0" w:space="0" w:color="auto"/>
                                                                                          </w:divBdr>
                                                                                          <w:divsChild>
                                                                                            <w:div w:id="131677995">
                                                                                              <w:marLeft w:val="0"/>
                                                                                              <w:marRight w:val="0"/>
                                                                                              <w:marTop w:val="0"/>
                                                                                              <w:marBottom w:val="0"/>
                                                                                              <w:divBdr>
                                                                                                <w:top w:val="none" w:sz="0" w:space="0" w:color="auto"/>
                                                                                                <w:left w:val="none" w:sz="0" w:space="0" w:color="auto"/>
                                                                                                <w:bottom w:val="none" w:sz="0" w:space="0" w:color="auto"/>
                                                                                                <w:right w:val="none" w:sz="0" w:space="0" w:color="auto"/>
                                                                                              </w:divBdr>
                                                                                              <w:divsChild>
                                                                                                <w:div w:id="1313287407">
                                                                                                  <w:marLeft w:val="0"/>
                                                                                                  <w:marRight w:val="0"/>
                                                                                                  <w:marTop w:val="0"/>
                                                                                                  <w:marBottom w:val="0"/>
                                                                                                  <w:divBdr>
                                                                                                    <w:top w:val="none" w:sz="0" w:space="0" w:color="auto"/>
                                                                                                    <w:left w:val="none" w:sz="0" w:space="0" w:color="auto"/>
                                                                                                    <w:bottom w:val="none" w:sz="0" w:space="0" w:color="auto"/>
                                                                                                    <w:right w:val="none" w:sz="0" w:space="0" w:color="auto"/>
                                                                                                  </w:divBdr>
                                                                                                  <w:divsChild>
                                                                                                    <w:div w:id="9524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3444518">
      <w:bodyDiv w:val="1"/>
      <w:marLeft w:val="0"/>
      <w:marRight w:val="0"/>
      <w:marTop w:val="0"/>
      <w:marBottom w:val="0"/>
      <w:divBdr>
        <w:top w:val="none" w:sz="0" w:space="0" w:color="auto"/>
        <w:left w:val="none" w:sz="0" w:space="0" w:color="auto"/>
        <w:bottom w:val="none" w:sz="0" w:space="0" w:color="auto"/>
        <w:right w:val="none" w:sz="0" w:space="0" w:color="auto"/>
      </w:divBdr>
      <w:divsChild>
        <w:div w:id="618754751">
          <w:marLeft w:val="0"/>
          <w:marRight w:val="0"/>
          <w:marTop w:val="0"/>
          <w:marBottom w:val="0"/>
          <w:divBdr>
            <w:top w:val="none" w:sz="0" w:space="0" w:color="auto"/>
            <w:left w:val="none" w:sz="0" w:space="0" w:color="auto"/>
            <w:bottom w:val="none" w:sz="0" w:space="0" w:color="auto"/>
            <w:right w:val="none" w:sz="0" w:space="0" w:color="auto"/>
          </w:divBdr>
          <w:divsChild>
            <w:div w:id="1110514506">
              <w:marLeft w:val="0"/>
              <w:marRight w:val="0"/>
              <w:marTop w:val="0"/>
              <w:marBottom w:val="0"/>
              <w:divBdr>
                <w:top w:val="none" w:sz="0" w:space="0" w:color="auto"/>
                <w:left w:val="none" w:sz="0" w:space="0" w:color="auto"/>
                <w:bottom w:val="none" w:sz="0" w:space="0" w:color="auto"/>
                <w:right w:val="none" w:sz="0" w:space="0" w:color="auto"/>
              </w:divBdr>
              <w:divsChild>
                <w:div w:id="1889294929">
                  <w:marLeft w:val="0"/>
                  <w:marRight w:val="0"/>
                  <w:marTop w:val="0"/>
                  <w:marBottom w:val="0"/>
                  <w:divBdr>
                    <w:top w:val="none" w:sz="0" w:space="0" w:color="auto"/>
                    <w:left w:val="none" w:sz="0" w:space="0" w:color="auto"/>
                    <w:bottom w:val="none" w:sz="0" w:space="0" w:color="auto"/>
                    <w:right w:val="none" w:sz="0" w:space="0" w:color="auto"/>
                  </w:divBdr>
                  <w:divsChild>
                    <w:div w:id="687484099">
                      <w:marLeft w:val="0"/>
                      <w:marRight w:val="0"/>
                      <w:marTop w:val="0"/>
                      <w:marBottom w:val="0"/>
                      <w:divBdr>
                        <w:top w:val="none" w:sz="0" w:space="0" w:color="auto"/>
                        <w:left w:val="none" w:sz="0" w:space="0" w:color="auto"/>
                        <w:bottom w:val="none" w:sz="0" w:space="0" w:color="auto"/>
                        <w:right w:val="none" w:sz="0" w:space="0" w:color="auto"/>
                      </w:divBdr>
                      <w:divsChild>
                        <w:div w:id="584386624">
                          <w:marLeft w:val="0"/>
                          <w:marRight w:val="0"/>
                          <w:marTop w:val="0"/>
                          <w:marBottom w:val="0"/>
                          <w:divBdr>
                            <w:top w:val="none" w:sz="0" w:space="0" w:color="auto"/>
                            <w:left w:val="none" w:sz="0" w:space="0" w:color="auto"/>
                            <w:bottom w:val="none" w:sz="0" w:space="0" w:color="auto"/>
                            <w:right w:val="none" w:sz="0" w:space="0" w:color="auto"/>
                          </w:divBdr>
                          <w:divsChild>
                            <w:div w:id="2023556160">
                              <w:marLeft w:val="0"/>
                              <w:marRight w:val="0"/>
                              <w:marTop w:val="0"/>
                              <w:marBottom w:val="0"/>
                              <w:divBdr>
                                <w:top w:val="none" w:sz="0" w:space="0" w:color="auto"/>
                                <w:left w:val="none" w:sz="0" w:space="0" w:color="auto"/>
                                <w:bottom w:val="none" w:sz="0" w:space="0" w:color="auto"/>
                                <w:right w:val="none" w:sz="0" w:space="0" w:color="auto"/>
                              </w:divBdr>
                              <w:divsChild>
                                <w:div w:id="1305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1E0C9-16ED-4984-B3F0-44FA55D7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6</Pages>
  <Words>13272</Words>
  <Characters>70211</Characters>
  <Application>Microsoft Office Word</Application>
  <DocSecurity>0</DocSecurity>
  <Lines>1950</Lines>
  <Paragraphs>613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82870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cp:lastModifiedBy>
  <cp:revision>402</cp:revision>
  <cp:lastPrinted>2012-08-02T18:53:00Z</cp:lastPrinted>
  <dcterms:created xsi:type="dcterms:W3CDTF">2015-03-30T23:23:00Z</dcterms:created>
  <dcterms:modified xsi:type="dcterms:W3CDTF">2015-04-16T21:09:00Z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chris.a.cremer@gmail.com@www.mendeley.com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