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2030" w:val="clear"/>
            <w:tcMar>
              <w:top w:type="dxa" w:w="720"/>
              <w:left w:type="dxa" w:w="560"/>
              <w:bottom w:type="dxa" w:w="720"/>
              <w:right w:type="dxa" w:w="560"/>
            </w:tcMar>
          </w:tcPr>
          <w:p>
            <w:pPr>
              <w:spacing w:after="160" w:before="0"/>
            </w:pPr>
            <w:r>
              <w:rPr>
                <w:rFonts w:ascii="Arial" w:cs="Arial" w:eastAsia="Arial" w:hAnsi="Arial"/>
                <w:b/>
                <w:bCs/>
                <w:color w:val="FFCCCC"/>
                <w:sz w:val="20"/>
                <w:szCs w:val="20"/>
              </w:rPr>
              <w:t xml:space="preserve">SECURITY RISK PROGRAM</w:t>
            </w:r>
          </w:p>
          <w:p>
            <w:pPr>
              <w:spacing w:after="200" w:before="0"/>
            </w:pPr>
            <w:r>
              <w:rPr>
                <w:rFonts w:ascii="Arial" w:cs="Arial" w:eastAsia="Arial" w:hAnsi="Arial"/>
                <w:b/>
                <w:bCs/>
                <w:color w:val="FFFFFF"/>
                <w:sz w:val="64"/>
                <w:szCs w:val="64"/>
              </w:rPr>
              <w:t xml:space="preserve">Risk Management Framework</w:t>
            </w:r>
          </w:p>
          <w:p>
            <w:pPr>
              <w:spacing w:after="120" w:before="0"/>
            </w:pPr>
            <w:r>
              <w:rPr>
                <w:rFonts w:ascii="Arial" w:cs="Arial" w:eastAsia="Arial" w:hAnsi="Arial"/>
                <w:i/>
                <w:iCs/>
                <w:color w:val="FFCCCC"/>
                <w:sz w:val="28"/>
                <w:szCs w:val="28"/>
              </w:rPr>
              <w:t xml:space="preserve">Methodology, Scoring, Treatment &amp; Governance</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Version</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v1.0</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Document Owner</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Security Risk Team</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Approvers</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Director, Security Risk | VP, Security</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Approval Date</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[Date]</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Review Frequency</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Annually or upon significant organizational change</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Classification</w:t>
            </w:r>
          </w:p>
        </w:tc>
        <w:tc>
          <w:tcPr>
            <w:tcW w:type="dxa" w:w="71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Confidential – Internal Use Only</w:t>
            </w:r>
          </w:p>
        </w:tc>
      </w:tr>
    </w:tbl>
    <w:p>
      <w:r>
        <w:br w:type="page"/>
      </w:r>
    </w:p>
    <w:p>
      <w:pPr>
        <w:pStyle w:val="Heading2"/>
        <w:shd w:fill="1F2937" w:val="clear"/>
        <w:spacing w:after="240" w:before="0"/>
      </w:pPr>
      <w:r>
        <w:rPr>
          <w:rFonts w:ascii="Arial" w:cs="Arial" w:eastAsia="Arial" w:hAnsi="Arial"/>
          <w:b/>
          <w:bCs/>
          <w:color w:val="FFFFFF"/>
          <w:sz w:val="32"/>
          <w:szCs w:val="32"/>
        </w:rPr>
        <w:t xml:space="preserve">Table of Contents</w:t>
      </w:r>
    </w:p>
    <w:p>
      <w:pPr>
        <w:tabs>
          <w:tab w:val="left" w:pos="600"/>
        </w:tabs>
        <w:spacing w:after="80" w:before="80"/>
      </w:pPr>
      <w:r>
        <w:rPr>
          <w:rFonts w:ascii="Arial" w:cs="Arial" w:eastAsia="Arial" w:hAnsi="Arial"/>
          <w:b/>
          <w:bCs/>
          <w:color w:val="CC2030"/>
          <w:sz w:val="22"/>
          <w:szCs w:val="22"/>
        </w:rPr>
        <w:t xml:space="preserve">1.</w:t>
      </w:r>
      <w:r>
        <w:rPr>
          <w:rFonts w:ascii="Arial" w:cs="Arial" w:eastAsia="Arial" w:hAnsi="Arial"/>
          <w:color w:val="1F2937"/>
          <w:sz w:val="22"/>
          <w:szCs w:val="22"/>
        </w:rPr>
        <w:t xml:space="preserve">	Purpose</w:t>
      </w:r>
    </w:p>
    <w:p>
      <w:pPr>
        <w:tabs>
          <w:tab w:val="left" w:pos="600"/>
        </w:tabs>
        <w:spacing w:after="80" w:before="80"/>
      </w:pPr>
      <w:r>
        <w:rPr>
          <w:rFonts w:ascii="Arial" w:cs="Arial" w:eastAsia="Arial" w:hAnsi="Arial"/>
          <w:b/>
          <w:bCs/>
          <w:color w:val="CC2030"/>
          <w:sz w:val="22"/>
          <w:szCs w:val="22"/>
        </w:rPr>
        <w:t xml:space="preserve">2.</w:t>
      </w:r>
      <w:r>
        <w:rPr>
          <w:rFonts w:ascii="Arial" w:cs="Arial" w:eastAsia="Arial" w:hAnsi="Arial"/>
          <w:color w:val="1F2937"/>
          <w:sz w:val="22"/>
          <w:szCs w:val="22"/>
        </w:rPr>
        <w:t xml:space="preserve">	Scope</w:t>
      </w:r>
    </w:p>
    <w:p>
      <w:pPr>
        <w:tabs>
          <w:tab w:val="left" w:pos="600"/>
        </w:tabs>
        <w:spacing w:after="80" w:before="80"/>
      </w:pPr>
      <w:r>
        <w:rPr>
          <w:rFonts w:ascii="Arial" w:cs="Arial" w:eastAsia="Arial" w:hAnsi="Arial"/>
          <w:b/>
          <w:bCs/>
          <w:color w:val="CC2030"/>
          <w:sz w:val="22"/>
          <w:szCs w:val="22"/>
        </w:rPr>
        <w:t xml:space="preserve">3.</w:t>
      </w:r>
      <w:r>
        <w:rPr>
          <w:rFonts w:ascii="Arial" w:cs="Arial" w:eastAsia="Arial" w:hAnsi="Arial"/>
          <w:color w:val="1F2937"/>
          <w:sz w:val="22"/>
          <w:szCs w:val="22"/>
        </w:rPr>
        <w:t xml:space="preserve">	Target Audience</w:t>
      </w:r>
    </w:p>
    <w:p>
      <w:pPr>
        <w:tabs>
          <w:tab w:val="left" w:pos="600"/>
        </w:tabs>
        <w:spacing w:after="80" w:before="80"/>
      </w:pPr>
      <w:r>
        <w:rPr>
          <w:rFonts w:ascii="Arial" w:cs="Arial" w:eastAsia="Arial" w:hAnsi="Arial"/>
          <w:b/>
          <w:bCs/>
          <w:color w:val="CC2030"/>
          <w:sz w:val="22"/>
          <w:szCs w:val="22"/>
        </w:rPr>
        <w:t xml:space="preserve">4.</w:t>
      </w:r>
      <w:r>
        <w:rPr>
          <w:rFonts w:ascii="Arial" w:cs="Arial" w:eastAsia="Arial" w:hAnsi="Arial"/>
          <w:color w:val="1F2937"/>
          <w:sz w:val="22"/>
          <w:szCs w:val="22"/>
        </w:rPr>
        <w:t xml:space="preserve">	Framework Overview</w:t>
      </w:r>
    </w:p>
    <w:p>
      <w:pPr>
        <w:tabs>
          <w:tab w:val="left" w:pos="600"/>
        </w:tabs>
        <w:spacing w:after="80" w:before="80"/>
      </w:pPr>
      <w:r>
        <w:rPr>
          <w:rFonts w:ascii="Arial" w:cs="Arial" w:eastAsia="Arial" w:hAnsi="Arial"/>
          <w:b/>
          <w:bCs/>
          <w:color w:val="CC2030"/>
          <w:sz w:val="22"/>
          <w:szCs w:val="22"/>
        </w:rPr>
        <w:t xml:space="preserve">5.</w:t>
      </w:r>
      <w:r>
        <w:rPr>
          <w:rFonts w:ascii="Arial" w:cs="Arial" w:eastAsia="Arial" w:hAnsi="Arial"/>
          <w:color w:val="1F2937"/>
          <w:sz w:val="22"/>
          <w:szCs w:val="22"/>
        </w:rPr>
        <w:t xml:space="preserve">	Risk Assessment Process</w:t>
      </w:r>
    </w:p>
    <w:p>
      <w:pPr>
        <w:tabs>
          <w:tab w:val="left" w:pos="600"/>
        </w:tabs>
        <w:spacing w:after="80" w:before="80"/>
      </w:pPr>
      <w:r>
        <w:rPr>
          <w:rFonts w:ascii="Arial" w:cs="Arial" w:eastAsia="Arial" w:hAnsi="Arial"/>
          <w:b/>
          <w:bCs/>
          <w:color w:val="CC2030"/>
          <w:sz w:val="22"/>
          <w:szCs w:val="22"/>
        </w:rPr>
        <w:t xml:space="preserve">6.</w:t>
      </w:r>
      <w:r>
        <w:rPr>
          <w:rFonts w:ascii="Arial" w:cs="Arial" w:eastAsia="Arial" w:hAnsi="Arial"/>
          <w:color w:val="1F2937"/>
          <w:sz w:val="22"/>
          <w:szCs w:val="22"/>
        </w:rPr>
        <w:t xml:space="preserve">	Risk Treatment Process</w:t>
      </w:r>
    </w:p>
    <w:p>
      <w:pPr>
        <w:tabs>
          <w:tab w:val="left" w:pos="600"/>
        </w:tabs>
        <w:spacing w:after="80" w:before="80"/>
      </w:pPr>
      <w:r>
        <w:rPr>
          <w:rFonts w:ascii="Arial" w:cs="Arial" w:eastAsia="Arial" w:hAnsi="Arial"/>
          <w:b/>
          <w:bCs/>
          <w:color w:val="CC2030"/>
          <w:sz w:val="22"/>
          <w:szCs w:val="22"/>
        </w:rPr>
        <w:t xml:space="preserve">7.</w:t>
      </w:r>
      <w:r>
        <w:rPr>
          <w:rFonts w:ascii="Arial" w:cs="Arial" w:eastAsia="Arial" w:hAnsi="Arial"/>
          <w:color w:val="1F2937"/>
          <w:sz w:val="22"/>
          <w:szCs w:val="22"/>
        </w:rPr>
        <w:t xml:space="preserve">	Risk Register Management</w:t>
      </w:r>
    </w:p>
    <w:p>
      <w:pPr>
        <w:tabs>
          <w:tab w:val="left" w:pos="600"/>
        </w:tabs>
        <w:spacing w:after="80" w:before="80"/>
      </w:pPr>
      <w:r>
        <w:rPr>
          <w:rFonts w:ascii="Arial" w:cs="Arial" w:eastAsia="Arial" w:hAnsi="Arial"/>
          <w:b/>
          <w:bCs/>
          <w:color w:val="CC2030"/>
          <w:sz w:val="22"/>
          <w:szCs w:val="22"/>
        </w:rPr>
        <w:t xml:space="preserve">8.</w:t>
      </w:r>
      <w:r>
        <w:rPr>
          <w:rFonts w:ascii="Arial" w:cs="Arial" w:eastAsia="Arial" w:hAnsi="Arial"/>
          <w:color w:val="1F2937"/>
          <w:sz w:val="22"/>
          <w:szCs w:val="22"/>
        </w:rPr>
        <w:t xml:space="preserve">	Risk Monitoring and Review</w:t>
      </w:r>
    </w:p>
    <w:p>
      <w:pPr>
        <w:tabs>
          <w:tab w:val="left" w:pos="600"/>
        </w:tabs>
        <w:spacing w:after="80" w:before="80"/>
      </w:pPr>
      <w:r>
        <w:rPr>
          <w:rFonts w:ascii="Arial" w:cs="Arial" w:eastAsia="Arial" w:hAnsi="Arial"/>
          <w:b/>
          <w:bCs/>
          <w:color w:val="CC2030"/>
          <w:sz w:val="22"/>
          <w:szCs w:val="22"/>
        </w:rPr>
        <w:t xml:space="preserve">9.</w:t>
      </w:r>
      <w:r>
        <w:rPr>
          <w:rFonts w:ascii="Arial" w:cs="Arial" w:eastAsia="Arial" w:hAnsi="Arial"/>
          <w:color w:val="1F2937"/>
          <w:sz w:val="22"/>
          <w:szCs w:val="22"/>
        </w:rPr>
        <w:t xml:space="preserve">	Risk Reporting</w:t>
      </w:r>
    </w:p>
    <w:p>
      <w:pPr>
        <w:tabs>
          <w:tab w:val="left" w:pos="600"/>
        </w:tabs>
        <w:spacing w:after="80" w:before="80"/>
      </w:pPr>
      <w:r>
        <w:rPr>
          <w:rFonts w:ascii="Arial" w:cs="Arial" w:eastAsia="Arial" w:hAnsi="Arial"/>
          <w:b/>
          <w:bCs/>
          <w:color w:val="CC2030"/>
          <w:sz w:val="22"/>
          <w:szCs w:val="22"/>
        </w:rPr>
        <w:t xml:space="preserve">10.</w:t>
      </w:r>
      <w:r>
        <w:rPr>
          <w:rFonts w:ascii="Arial" w:cs="Arial" w:eastAsia="Arial" w:hAnsi="Arial"/>
          <w:color w:val="1F2937"/>
          <w:sz w:val="22"/>
          <w:szCs w:val="22"/>
        </w:rPr>
        <w:t xml:space="preserve">	Risk Culture and Awareness</w:t>
      </w:r>
    </w:p>
    <w:p>
      <w:pPr>
        <w:tabs>
          <w:tab w:val="left" w:pos="600"/>
        </w:tabs>
        <w:spacing w:after="80" w:before="80"/>
      </w:pPr>
      <w:r>
        <w:rPr>
          <w:rFonts w:ascii="Arial" w:cs="Arial" w:eastAsia="Arial" w:hAnsi="Arial"/>
          <w:b/>
          <w:bCs/>
          <w:color w:val="CC2030"/>
          <w:sz w:val="22"/>
          <w:szCs w:val="22"/>
        </w:rPr>
        <w:t xml:space="preserve">11.</w:t>
      </w:r>
      <w:r>
        <w:rPr>
          <w:rFonts w:ascii="Arial" w:cs="Arial" w:eastAsia="Arial" w:hAnsi="Arial"/>
          <w:color w:val="1F2937"/>
          <w:sz w:val="22"/>
          <w:szCs w:val="22"/>
        </w:rPr>
        <w:t xml:space="preserve">	Risk Aggregation</w:t>
      </w:r>
    </w:p>
    <w:p>
      <w:pPr>
        <w:tabs>
          <w:tab w:val="left" w:pos="600"/>
        </w:tabs>
        <w:spacing w:after="80" w:before="80"/>
      </w:pPr>
      <w:r>
        <w:rPr>
          <w:rFonts w:ascii="Arial" w:cs="Arial" w:eastAsia="Arial" w:hAnsi="Arial"/>
          <w:b/>
          <w:bCs/>
          <w:color w:val="CC2030"/>
          <w:sz w:val="22"/>
          <w:szCs w:val="22"/>
        </w:rPr>
        <w:t xml:space="preserve">12.</w:t>
      </w:r>
      <w:r>
        <w:rPr>
          <w:rFonts w:ascii="Arial" w:cs="Arial" w:eastAsia="Arial" w:hAnsi="Arial"/>
          <w:color w:val="1F2937"/>
          <w:sz w:val="22"/>
          <w:szCs w:val="22"/>
        </w:rPr>
        <w:t xml:space="preserve">	Appendix</w:t>
      </w:r>
    </w:p>
    <w:p>
      <w:r>
        <w:br w:type="page"/>
      </w:r>
    </w:p>
    <w:p>
      <w:pPr>
        <w:pStyle w:val="Heading1"/>
        <w:shd w:fill="CC2030" w:val="clear"/>
        <w:spacing w:after="240" w:before="0"/>
      </w:pPr>
      <w:r>
        <w:rPr>
          <w:rFonts w:ascii="Arial" w:cs="Arial" w:eastAsia="Arial" w:hAnsi="Arial"/>
          <w:b/>
          <w:bCs/>
          <w:color w:val="FFFFFF"/>
          <w:sz w:val="44"/>
          <w:szCs w:val="44"/>
        </w:rPr>
        <w:t xml:space="preserve">1.  Purpose</w:t>
      </w:r>
    </w:p>
    <w:p>
      <w:pPr>
        <w:spacing w:after="160" w:before="0"/>
        <w:jc w:val="left"/>
      </w:pPr>
      <w:r>
        <w:rPr>
          <w:rFonts w:ascii="Arial" w:cs="Arial" w:eastAsia="Arial" w:hAnsi="Arial"/>
          <w:b w:val="false"/>
          <w:bCs w:val="false"/>
          <w:i w:val="false"/>
          <w:iCs w:val="false"/>
          <w:color w:val="1F2937"/>
          <w:sz w:val="22"/>
          <w:szCs w:val="22"/>
        </w:rPr>
        <w:t xml:space="preserve">This document establishes the Security Risk Program's comprehensive risk management framework, providing a clear, structured, and repeatable process for identifying, assessing, treating, monitoring, and reporting risks. By integrating best practices aligned with ISO 31000 and ISO 27005, it enables the organization to:</w:t>
      </w:r>
    </w:p>
    <w:p>
      <w:pPr>
        <w:pStyle w:val="ListParagraph"/>
        <w:numPr>
          <w:ilvl w:val="0"/>
          <w:numId w:val="2"/>
        </w:numPr>
        <w:spacing w:after="40" w:before="40"/>
      </w:pPr>
      <w:r>
        <w:rPr>
          <w:rFonts w:ascii="Arial" w:cs="Arial" w:eastAsia="Arial" w:hAnsi="Arial"/>
          <w:color w:val="1F2937"/>
          <w:sz w:val="22"/>
          <w:szCs w:val="22"/>
        </w:rPr>
        <w:t xml:space="preserve">Guides systematic risk identification, analysis, evaluation, and treatment</w:t>
      </w:r>
    </w:p>
    <w:p>
      <w:pPr>
        <w:pStyle w:val="ListParagraph"/>
        <w:numPr>
          <w:ilvl w:val="0"/>
          <w:numId w:val="2"/>
        </w:numPr>
        <w:spacing w:after="40" w:before="40"/>
      </w:pPr>
      <w:r>
        <w:rPr>
          <w:rFonts w:ascii="Arial" w:cs="Arial" w:eastAsia="Arial" w:hAnsi="Arial"/>
          <w:color w:val="1F2937"/>
          <w:sz w:val="22"/>
          <w:szCs w:val="22"/>
        </w:rPr>
        <w:t xml:space="preserve">Ensures alignment with strategic objectives and regulatory requirements</w:t>
      </w:r>
    </w:p>
    <w:p>
      <w:pPr>
        <w:pStyle w:val="ListParagraph"/>
        <w:numPr>
          <w:ilvl w:val="0"/>
          <w:numId w:val="2"/>
        </w:numPr>
        <w:spacing w:after="40" w:before="40"/>
      </w:pPr>
      <w:r>
        <w:rPr>
          <w:rFonts w:ascii="Arial" w:cs="Arial" w:eastAsia="Arial" w:hAnsi="Arial"/>
          <w:color w:val="1F2937"/>
          <w:sz w:val="22"/>
          <w:szCs w:val="22"/>
        </w:rPr>
        <w:t xml:space="preserve">Supports proactive risk management and safeguards critical assets</w:t>
      </w:r>
    </w:p>
    <w:p>
      <w:pPr>
        <w:pStyle w:val="ListParagraph"/>
        <w:numPr>
          <w:ilvl w:val="0"/>
          <w:numId w:val="2"/>
        </w:numPr>
        <w:spacing w:after="40" w:before="40"/>
      </w:pPr>
      <w:r>
        <w:rPr>
          <w:rFonts w:ascii="Arial" w:cs="Arial" w:eastAsia="Arial" w:hAnsi="Arial"/>
          <w:color w:val="1F2937"/>
          <w:sz w:val="22"/>
          <w:szCs w:val="22"/>
        </w:rPr>
        <w:t xml:space="preserve">Maintains a consistent and up-to-date risk register</w:t>
      </w:r>
    </w:p>
    <w:p>
      <w:pPr>
        <w:pStyle w:val="ListParagraph"/>
        <w:numPr>
          <w:ilvl w:val="0"/>
          <w:numId w:val="2"/>
        </w:numPr>
        <w:spacing w:after="40" w:before="40"/>
      </w:pPr>
      <w:r>
        <w:rPr>
          <w:rFonts w:ascii="Arial" w:cs="Arial" w:eastAsia="Arial" w:hAnsi="Arial"/>
          <w:color w:val="1F2937"/>
          <w:sz w:val="22"/>
          <w:szCs w:val="22"/>
        </w:rPr>
        <w:t xml:space="preserve">Enables informed decision-making and effective stakeholder communication</w:t>
      </w:r>
    </w:p>
    <w:p>
      <w:pPr>
        <w:pStyle w:val="ListParagraph"/>
        <w:numPr>
          <w:ilvl w:val="0"/>
          <w:numId w:val="2"/>
        </w:numPr>
        <w:spacing w:after="40" w:before="40"/>
      </w:pPr>
      <w:r>
        <w:rPr>
          <w:rFonts w:ascii="Arial" w:cs="Arial" w:eastAsia="Arial" w:hAnsi="Arial"/>
          <w:color w:val="1F2937"/>
          <w:sz w:val="22"/>
          <w:szCs w:val="22"/>
        </w:rPr>
        <w:t xml:space="preserve">Fosters a culture of continuous improvement across the organization</w:t>
      </w:r>
    </w:p>
    <w:p>
      <w:pPr>
        <w:spacing w:after="0" w:before="320"/>
      </w:pPr>
    </w:p>
    <w:p>
      <w:pPr>
        <w:pBdr>
          <w:bottom w:val="single" w:color="CC2030" w:sz="6" w:space="1"/>
        </w:pBdr>
        <w:spacing w:after="200" w:before="200"/>
      </w:pPr>
    </w:p>
    <w:p>
      <w:pPr>
        <w:pStyle w:val="Heading1"/>
        <w:shd w:fill="CC2030" w:val="clear"/>
        <w:spacing w:after="240" w:before="0"/>
      </w:pPr>
      <w:r>
        <w:rPr>
          <w:rFonts w:ascii="Arial" w:cs="Arial" w:eastAsia="Arial" w:hAnsi="Arial"/>
          <w:b/>
          <w:bCs/>
          <w:color w:val="FFFFFF"/>
          <w:sz w:val="44"/>
          <w:szCs w:val="44"/>
        </w:rPr>
        <w:t xml:space="preserve">2.  Scope</w:t>
      </w:r>
    </w:p>
    <w:p>
      <w:pPr>
        <w:spacing w:after="200" w:before="0"/>
        <w:jc w:val="left"/>
      </w:pPr>
      <w:r>
        <w:rPr>
          <w:rFonts w:ascii="Arial" w:cs="Arial" w:eastAsia="Arial" w:hAnsi="Arial"/>
          <w:b w:val="false"/>
          <w:bCs w:val="false"/>
          <w:i w:val="false"/>
          <w:iCs w:val="false"/>
          <w:color w:val="1F2937"/>
          <w:sz w:val="22"/>
          <w:szCs w:val="22"/>
        </w:rPr>
        <w:t xml:space="preserve">This framework applies to all business units, teams, and systems within the organization's security risk program scope.</w:t>
      </w:r>
    </w:p>
    <w:p>
      <w:pPr>
        <w:spacing w:after="80" w:before="0"/>
      </w:pPr>
      <w:r>
        <w:rPr>
          <w:rFonts w:ascii="Arial" w:cs="Arial" w:eastAsia="Arial" w:hAnsi="Arial"/>
          <w:b/>
          <w:bCs/>
          <w:color w:val="1F2937"/>
          <w:sz w:val="24"/>
          <w:szCs w:val="24"/>
        </w:rPr>
        <w:t xml:space="preserve">Risk Types Covered</w:t>
      </w:r>
    </w:p>
    <w:p>
      <w:pPr>
        <w:pStyle w:val="ListParagraph"/>
        <w:numPr>
          <w:ilvl w:val="0"/>
          <w:numId w:val="2"/>
        </w:numPr>
        <w:spacing w:after="40" w:before="40"/>
      </w:pPr>
      <w:r>
        <w:rPr>
          <w:rFonts w:ascii="Arial" w:cs="Arial" w:eastAsia="Arial" w:hAnsi="Arial"/>
          <w:color w:val="1F2937"/>
          <w:sz w:val="22"/>
          <w:szCs w:val="22"/>
        </w:rPr>
        <w:t xml:space="preserve">Information security and technology risks</w:t>
      </w:r>
    </w:p>
    <w:p>
      <w:pPr>
        <w:pStyle w:val="ListParagraph"/>
        <w:numPr>
          <w:ilvl w:val="0"/>
          <w:numId w:val="2"/>
        </w:numPr>
        <w:spacing w:after="40" w:before="40"/>
      </w:pPr>
      <w:r>
        <w:rPr>
          <w:rFonts w:ascii="Arial" w:cs="Arial" w:eastAsia="Arial" w:hAnsi="Arial"/>
          <w:color w:val="1F2937"/>
          <w:sz w:val="22"/>
          <w:szCs w:val="22"/>
        </w:rPr>
        <w:t xml:space="preserve">Operational and business continuity risks</w:t>
      </w:r>
    </w:p>
    <w:p>
      <w:pPr>
        <w:pStyle w:val="ListParagraph"/>
        <w:numPr>
          <w:ilvl w:val="0"/>
          <w:numId w:val="2"/>
        </w:numPr>
        <w:spacing w:after="40" w:before="40"/>
      </w:pPr>
      <w:r>
        <w:rPr>
          <w:rFonts w:ascii="Arial" w:cs="Arial" w:eastAsia="Arial" w:hAnsi="Arial"/>
          <w:color w:val="1F2937"/>
          <w:sz w:val="22"/>
          <w:szCs w:val="22"/>
        </w:rPr>
        <w:t xml:space="preserve">Compliance and regulatory risks</w:t>
      </w:r>
    </w:p>
    <w:p>
      <w:pPr>
        <w:pStyle w:val="ListParagraph"/>
        <w:numPr>
          <w:ilvl w:val="0"/>
          <w:numId w:val="2"/>
        </w:numPr>
        <w:spacing w:after="40" w:before="40"/>
      </w:pPr>
      <w:r>
        <w:rPr>
          <w:rFonts w:ascii="Arial" w:cs="Arial" w:eastAsia="Arial" w:hAnsi="Arial"/>
          <w:color w:val="1F2937"/>
          <w:sz w:val="22"/>
          <w:szCs w:val="22"/>
        </w:rPr>
        <w:t xml:space="preserve">Third-party and vendor risks</w:t>
      </w:r>
    </w:p>
    <w:p>
      <w:pPr>
        <w:pStyle w:val="ListParagraph"/>
        <w:numPr>
          <w:ilvl w:val="0"/>
          <w:numId w:val="2"/>
        </w:numPr>
        <w:spacing w:after="40" w:before="40"/>
      </w:pPr>
      <w:r>
        <w:rPr>
          <w:rFonts w:ascii="Arial" w:cs="Arial" w:eastAsia="Arial" w:hAnsi="Arial"/>
          <w:color w:val="1F2937"/>
          <w:sz w:val="22"/>
          <w:szCs w:val="22"/>
        </w:rPr>
        <w:t xml:space="preserve">Financial risks</w:t>
      </w:r>
    </w:p>
    <w:p>
      <w:pPr>
        <w:spacing w:after="0" w:before="320"/>
      </w:pPr>
    </w:p>
    <w:p>
      <w:pPr>
        <w:pBdr>
          <w:bottom w:val="single" w:color="CC2030" w:sz="6" w:space="1"/>
        </w:pBdr>
        <w:spacing w:after="200" w:before="200"/>
      </w:pPr>
    </w:p>
    <w:p>
      <w:pPr>
        <w:pStyle w:val="Heading1"/>
        <w:shd w:fill="CC2030" w:val="clear"/>
        <w:spacing w:after="240" w:before="0"/>
      </w:pPr>
      <w:r>
        <w:rPr>
          <w:rFonts w:ascii="Arial" w:cs="Arial" w:eastAsia="Arial" w:hAnsi="Arial"/>
          <w:b/>
          <w:bCs/>
          <w:color w:val="FFFFFF"/>
          <w:sz w:val="44"/>
          <w:szCs w:val="44"/>
        </w:rPr>
        <w:t xml:space="preserve">3.  Target Audience</w:t>
      </w:r>
    </w:p>
    <w:p>
      <w:pPr>
        <w:pStyle w:val="ListParagraph"/>
        <w:numPr>
          <w:ilvl w:val="0"/>
          <w:numId w:val="2"/>
        </w:numPr>
        <w:spacing w:after="40" w:before="40"/>
      </w:pPr>
      <w:r>
        <w:rPr>
          <w:rFonts w:ascii="Arial" w:cs="Arial" w:eastAsia="Arial" w:hAnsi="Arial"/>
          <w:color w:val="1F2937"/>
          <w:sz w:val="22"/>
          <w:szCs w:val="22"/>
        </w:rPr>
        <w:t xml:space="preserve">All employees and contractors</w:t>
      </w:r>
    </w:p>
    <w:p>
      <w:pPr>
        <w:pStyle w:val="ListParagraph"/>
        <w:numPr>
          <w:ilvl w:val="0"/>
          <w:numId w:val="2"/>
        </w:numPr>
        <w:spacing w:after="40" w:before="40"/>
      </w:pPr>
      <w:r>
        <w:rPr>
          <w:rFonts w:ascii="Arial" w:cs="Arial" w:eastAsia="Arial" w:hAnsi="Arial"/>
          <w:color w:val="1F2937"/>
          <w:sz w:val="22"/>
          <w:szCs w:val="22"/>
        </w:rPr>
        <w:t xml:space="preserve">Risk owners and mitigation owners</w:t>
      </w:r>
    </w:p>
    <w:p>
      <w:pPr>
        <w:pStyle w:val="ListParagraph"/>
        <w:numPr>
          <w:ilvl w:val="0"/>
          <w:numId w:val="2"/>
        </w:numPr>
        <w:spacing w:after="40" w:before="40"/>
      </w:pPr>
      <w:r>
        <w:rPr>
          <w:rFonts w:ascii="Arial" w:cs="Arial" w:eastAsia="Arial" w:hAnsi="Arial"/>
          <w:color w:val="1F2937"/>
          <w:sz w:val="22"/>
          <w:szCs w:val="22"/>
        </w:rPr>
        <w:t xml:space="preserve">Security Risk team members</w:t>
      </w:r>
    </w:p>
    <w:p>
      <w:pPr>
        <w:pStyle w:val="ListParagraph"/>
        <w:numPr>
          <w:ilvl w:val="0"/>
          <w:numId w:val="2"/>
        </w:numPr>
        <w:spacing w:after="40" w:before="40"/>
      </w:pPr>
      <w:r>
        <w:rPr>
          <w:rFonts w:ascii="Arial" w:cs="Arial" w:eastAsia="Arial" w:hAnsi="Arial"/>
          <w:color w:val="1F2937"/>
          <w:sz w:val="22"/>
          <w:szCs w:val="22"/>
        </w:rPr>
        <w:t xml:space="preserve">Business leaders and executive management</w:t>
      </w:r>
    </w:p>
    <w:p>
      <w:pPr>
        <w:pStyle w:val="ListParagraph"/>
        <w:numPr>
          <w:ilvl w:val="0"/>
          <w:numId w:val="2"/>
        </w:numPr>
        <w:spacing w:after="40" w:before="40"/>
      </w:pPr>
      <w:r>
        <w:rPr>
          <w:rFonts w:ascii="Arial" w:cs="Arial" w:eastAsia="Arial" w:hAnsi="Arial"/>
          <w:color w:val="1F2937"/>
          <w:sz w:val="22"/>
          <w:szCs w:val="22"/>
        </w:rPr>
        <w:t xml:space="preserve">Third-party risk management teams</w:t>
      </w:r>
    </w:p>
    <w:p>
      <w:pPr>
        <w:pStyle w:val="ListParagraph"/>
        <w:numPr>
          <w:ilvl w:val="0"/>
          <w:numId w:val="2"/>
        </w:numPr>
        <w:spacing w:after="40" w:before="40"/>
      </w:pPr>
      <w:r>
        <w:rPr>
          <w:rFonts w:ascii="Arial" w:cs="Arial" w:eastAsia="Arial" w:hAnsi="Arial"/>
          <w:color w:val="1F2937"/>
          <w:sz w:val="22"/>
          <w:szCs w:val="22"/>
        </w:rPr>
        <w:t xml:space="preserve">Compliance and audit teams</w:t>
      </w:r>
    </w:p>
    <w:p>
      <w:pPr>
        <w:spacing w:after="0" w:before="320"/>
      </w:pPr>
    </w:p>
    <w:p>
      <w:pPr>
        <w:pBdr>
          <w:bottom w:val="single" w:color="CC2030" w:sz="6" w:space="1"/>
        </w:pBdr>
        <w:spacing w:after="200" w:before="200"/>
      </w:pPr>
    </w:p>
    <w:p>
      <w:pPr>
        <w:pStyle w:val="Heading1"/>
        <w:shd w:fill="CC2030" w:val="clear"/>
        <w:spacing w:after="240" w:before="0"/>
      </w:pPr>
      <w:r>
        <w:rPr>
          <w:rFonts w:ascii="Arial" w:cs="Arial" w:eastAsia="Arial" w:hAnsi="Arial"/>
          <w:b/>
          <w:bCs/>
          <w:color w:val="FFFFFF"/>
          <w:sz w:val="44"/>
          <w:szCs w:val="44"/>
        </w:rPr>
        <w:t xml:space="preserve">4.  Framework Overview</w:t>
      </w:r>
    </w:p>
    <w:p>
      <w:pPr>
        <w:pStyle w:val="Heading3"/>
        <w:spacing w:after="120" w:before="200"/>
      </w:pPr>
      <w:r>
        <w:rPr>
          <w:rFonts w:ascii="Arial" w:cs="Arial" w:eastAsia="Arial" w:hAnsi="Arial"/>
          <w:b/>
          <w:bCs/>
          <w:color w:val="1F2937"/>
          <w:sz w:val="26"/>
          <w:szCs w:val="26"/>
        </w:rPr>
        <w:t xml:space="preserve">Core Components</w:t>
      </w:r>
    </w:p>
    <w:p>
      <w:pPr>
        <w:spacing w:after="200" w:before="0"/>
        <w:jc w:val="left"/>
      </w:pPr>
      <w:r>
        <w:rPr>
          <w:rFonts w:ascii="Arial" w:cs="Arial" w:eastAsia="Arial" w:hAnsi="Arial"/>
          <w:b w:val="false"/>
          <w:bCs w:val="false"/>
          <w:i w:val="false"/>
          <w:iCs w:val="false"/>
          <w:color w:val="1F2937"/>
          <w:sz w:val="22"/>
          <w:szCs w:val="22"/>
        </w:rPr>
        <w:t xml:space="preserve">The Security Risk Program's framework provides a systematic approach to identifying, assessing, treating, and monitoring risks, aligned with ISO 31000 and ISO 27005.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2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6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1</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Context Establishment</w:t>
            </w:r>
          </w:p>
        </w:tc>
        <w:tc>
          <w:tcPr>
            <w:tcW w:type="dxa" w:w="6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Define internal/external environment, risk criteria, and scope</w:t>
            </w:r>
          </w:p>
        </w:tc>
      </w:tr>
      <w:tr>
        <w:tc>
          <w:tcPr>
            <w:tcW w:type="dxa" w:w="4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2</w:t>
            </w:r>
          </w:p>
        </w:tc>
        <w:tc>
          <w:tcPr>
            <w:tcW w:type="dxa" w:w="2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Identification</w:t>
            </w:r>
          </w:p>
        </w:tc>
        <w:tc>
          <w:tcPr>
            <w:tcW w:type="dxa" w:w="6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Identify threats, vulnerabilities, and risk scenarios</w:t>
            </w:r>
          </w:p>
        </w:tc>
      </w:tr>
      <w:tr>
        <w:tc>
          <w:tcPr>
            <w:tcW w:type="dxa" w:w="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3</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Analysis</w:t>
            </w:r>
          </w:p>
        </w:tc>
        <w:tc>
          <w:tcPr>
            <w:tcW w:type="dxa" w:w="6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Assess likelihood and impact, considering control effectiveness</w:t>
            </w:r>
          </w:p>
        </w:tc>
      </w:tr>
      <w:tr>
        <w:tc>
          <w:tcPr>
            <w:tcW w:type="dxa" w:w="4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4</w:t>
            </w:r>
          </w:p>
        </w:tc>
        <w:tc>
          <w:tcPr>
            <w:tcW w:type="dxa" w:w="2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Evaluation</w:t>
            </w:r>
          </w:p>
        </w:tc>
        <w:tc>
          <w:tcPr>
            <w:tcW w:type="dxa" w:w="6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Compare risk levels against defined acceptance criteria</w:t>
            </w:r>
          </w:p>
        </w:tc>
      </w:tr>
      <w:tr>
        <w:tc>
          <w:tcPr>
            <w:tcW w:type="dxa" w:w="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5</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Treatment</w:t>
            </w:r>
          </w:p>
        </w:tc>
        <w:tc>
          <w:tcPr>
            <w:tcW w:type="dxa" w:w="6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Select and implement appropriate mitigation, transfer, acceptance, or avoidance strategies</w:t>
            </w:r>
          </w:p>
        </w:tc>
      </w:tr>
      <w:tr>
        <w:tc>
          <w:tcPr>
            <w:tcW w:type="dxa" w:w="4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6</w:t>
            </w:r>
          </w:p>
        </w:tc>
        <w:tc>
          <w:tcPr>
            <w:tcW w:type="dxa" w:w="2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Monitoring &amp; Review</w:t>
            </w:r>
          </w:p>
        </w:tc>
        <w:tc>
          <w:tcPr>
            <w:tcW w:type="dxa" w:w="6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Continuously track risks, reassess controls, and update risk registers</w:t>
            </w:r>
          </w:p>
        </w:tc>
      </w:tr>
      <w:tr>
        <w:tc>
          <w:tcPr>
            <w:tcW w:type="dxa" w:w="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7</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Communication &amp; Reporting</w:t>
            </w:r>
          </w:p>
        </w:tc>
        <w:tc>
          <w:tcPr>
            <w:tcW w:type="dxa" w:w="6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Ensure transparent risk communication across all stakeholders</w:t>
            </w:r>
          </w:p>
        </w:tc>
      </w:tr>
    </w:tbl>
    <w:p>
      <w:pPr>
        <w:spacing w:after="0" w:before="320"/>
      </w:pPr>
    </w:p>
    <w:p>
      <w:pPr>
        <w:pStyle w:val="Heading3"/>
        <w:spacing w:after="120" w:before="200"/>
      </w:pPr>
      <w:r>
        <w:rPr>
          <w:rFonts w:ascii="Arial" w:cs="Arial" w:eastAsia="Arial" w:hAnsi="Arial"/>
          <w:b/>
          <w:bCs/>
          <w:color w:val="1F2937"/>
          <w:sz w:val="26"/>
          <w:szCs w:val="26"/>
        </w:rPr>
        <w:t xml:space="preserve">Leadership &amp; Commitment</w:t>
      </w:r>
    </w:p>
    <w:p>
      <w:pPr>
        <w:pStyle w:val="ListParagraph"/>
        <w:numPr>
          <w:ilvl w:val="0"/>
          <w:numId w:val="2"/>
        </w:numPr>
        <w:spacing w:after="40" w:before="40"/>
      </w:pPr>
      <w:r>
        <w:rPr>
          <w:rFonts w:ascii="Arial" w:cs="Arial" w:eastAsia="Arial" w:hAnsi="Arial"/>
          <w:color w:val="1F2937"/>
          <w:sz w:val="22"/>
          <w:szCs w:val="22"/>
        </w:rPr>
        <w:t xml:space="preserve">Senior management establishes a risk-aware culture and integrates risk management into strategic decision-making</w:t>
      </w:r>
    </w:p>
    <w:p>
      <w:pPr>
        <w:pStyle w:val="ListParagraph"/>
        <w:numPr>
          <w:ilvl w:val="0"/>
          <w:numId w:val="2"/>
        </w:numPr>
        <w:spacing w:after="40" w:before="40"/>
      </w:pPr>
      <w:r>
        <w:rPr>
          <w:rFonts w:ascii="Arial" w:cs="Arial" w:eastAsia="Arial" w:hAnsi="Arial"/>
          <w:color w:val="1F2937"/>
          <w:sz w:val="22"/>
          <w:szCs w:val="22"/>
        </w:rPr>
        <w:t xml:space="preserve">Leadership ensures adequate resources, competencies, and accountability for risk management activities</w:t>
      </w:r>
    </w:p>
    <w:p>
      <w:pPr>
        <w:pStyle w:val="ListParagraph"/>
        <w:numPr>
          <w:ilvl w:val="0"/>
          <w:numId w:val="2"/>
        </w:numPr>
        <w:spacing w:after="40" w:before="40"/>
      </w:pPr>
      <w:r>
        <w:rPr>
          <w:rFonts w:ascii="Arial" w:cs="Arial" w:eastAsia="Arial" w:hAnsi="Arial"/>
          <w:color w:val="1F2937"/>
          <w:sz w:val="22"/>
          <w:szCs w:val="22"/>
        </w:rPr>
        <w:t xml:space="preserve">Leadership commits to ongoing training to keep the risk management team current with best practices</w:t>
      </w:r>
    </w:p>
    <w:p>
      <w:pPr>
        <w:pStyle w:val="ListParagraph"/>
        <w:numPr>
          <w:ilvl w:val="0"/>
          <w:numId w:val="2"/>
        </w:numPr>
        <w:spacing w:after="40" w:before="40"/>
      </w:pPr>
      <w:r>
        <w:rPr>
          <w:rFonts w:ascii="Arial" w:cs="Arial" w:eastAsia="Arial" w:hAnsi="Arial"/>
          <w:color w:val="1F2937"/>
          <w:sz w:val="22"/>
          <w:szCs w:val="22"/>
        </w:rPr>
        <w:t xml:space="preserve">Leadership clearly communicates the organization's risk management objectives</w:t>
      </w:r>
    </w:p>
    <w:p>
      <w:pPr>
        <w:spacing w:after="0" w:before="240"/>
      </w:pPr>
    </w:p>
    <w:p>
      <w:pPr>
        <w:pStyle w:val="Heading3"/>
        <w:spacing w:after="120" w:before="200"/>
      </w:pPr>
      <w:r>
        <w:rPr>
          <w:rFonts w:ascii="Arial" w:cs="Arial" w:eastAsia="Arial" w:hAnsi="Arial"/>
          <w:b/>
          <w:bCs/>
          <w:color w:val="1F2937"/>
          <w:sz w:val="26"/>
          <w:szCs w:val="26"/>
        </w:rPr>
        <w:t xml:space="preserve">Governance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Responsibilities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Senior Leadership</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Formally approves and supervises implementation of risk management measures</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Management Team</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Oversees the risk management process and ensures alignment with business objectives. Facilitates risk identification, assessment, and treatment. Owns and maintains the risk register</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Third Party / Vendor Team</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Facilitates security risks related to third parties, vendors, suppliers, and partners</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Owners</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Accountable for managing risks within their domains. Responsible for reviewing risks and updating status, mitigation progress, and severity changes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Mitigation Owners</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Responsible for implementing treatment plans and mitigation actions. Provide updates on treatment progress and completion</w:t>
            </w:r>
          </w:p>
        </w:tc>
      </w:tr>
    </w:tbl>
    <w:p>
      <w:pPr>
        <w:spacing w:after="0" w:before="240"/>
      </w:pPr>
    </w:p>
    <w:p>
      <w:pPr>
        <w:pStyle w:val="Heading3"/>
        <w:spacing w:after="120" w:before="200"/>
      </w:pPr>
      <w:r>
        <w:rPr>
          <w:rFonts w:ascii="Arial" w:cs="Arial" w:eastAsia="Arial" w:hAnsi="Arial"/>
          <w:b/>
          <w:bCs/>
          <w:color w:val="1F2937"/>
          <w:sz w:val="26"/>
          <w:szCs w:val="26"/>
        </w:rPr>
        <w:t xml:space="preserve">Governance Forums</w:t>
      </w:r>
    </w:p>
    <w:p>
      <w:pPr>
        <w:spacing w:after="100" w:before="0"/>
        <w:jc w:val="left"/>
      </w:pPr>
      <w:r>
        <w:rPr>
          <w:rFonts w:ascii="Arial" w:cs="Arial" w:eastAsia="Arial" w:hAnsi="Arial"/>
          <w:b w:val="false"/>
          <w:bCs w:val="false"/>
          <w:i w:val="false"/>
          <w:iCs w:val="false"/>
          <w:color w:val="1F2937"/>
          <w:sz w:val="22"/>
          <w:szCs w:val="22"/>
        </w:rPr>
        <w:t xml:space="preserve">The risk management team leads or attends the following recurring forums:</w:t>
      </w:r>
    </w:p>
    <w:p>
      <w:pPr>
        <w:pStyle w:val="ListParagraph"/>
        <w:numPr>
          <w:ilvl w:val="0"/>
          <w:numId w:val="2"/>
        </w:numPr>
        <w:spacing w:after="40" w:before="40"/>
      </w:pPr>
      <w:r>
        <w:rPr>
          <w:rFonts w:ascii="Arial" w:cs="Arial" w:eastAsia="Arial" w:hAnsi="Arial"/>
          <w:color w:val="1F2937"/>
          <w:sz w:val="22"/>
          <w:szCs w:val="22"/>
        </w:rPr>
        <w:t xml:space="preserve">Monthly Risk Review meetings</w:t>
      </w:r>
    </w:p>
    <w:p>
      <w:pPr>
        <w:pStyle w:val="ListParagraph"/>
        <w:numPr>
          <w:ilvl w:val="0"/>
          <w:numId w:val="2"/>
        </w:numPr>
        <w:spacing w:after="40" w:before="40"/>
      </w:pPr>
      <w:r>
        <w:rPr>
          <w:rFonts w:ascii="Arial" w:cs="Arial" w:eastAsia="Arial" w:hAnsi="Arial"/>
          <w:color w:val="1F2937"/>
          <w:sz w:val="22"/>
          <w:szCs w:val="22"/>
        </w:rPr>
        <w:t xml:space="preserve">Quarterly Leadership Risk Briefings</w:t>
      </w:r>
    </w:p>
    <w:p>
      <w:pPr>
        <w:pStyle w:val="ListParagraph"/>
        <w:numPr>
          <w:ilvl w:val="0"/>
          <w:numId w:val="2"/>
        </w:numPr>
        <w:spacing w:after="40" w:before="40"/>
      </w:pPr>
      <w:r>
        <w:rPr>
          <w:rFonts w:ascii="Arial" w:cs="Arial" w:eastAsia="Arial" w:hAnsi="Arial"/>
          <w:color w:val="1F2937"/>
          <w:sz w:val="22"/>
          <w:szCs w:val="22"/>
        </w:rPr>
        <w:t xml:space="preserve">Weekly operational risk stand-ups</w:t>
      </w:r>
    </w:p>
    <w:p>
      <w:pPr>
        <w:spacing w:after="0" w:before="240"/>
      </w:pPr>
    </w:p>
    <w:p>
      <w:pPr>
        <w:pStyle w:val="Heading3"/>
        <w:spacing w:after="120" w:before="200"/>
      </w:pPr>
      <w:r>
        <w:rPr>
          <w:rFonts w:ascii="Arial" w:cs="Arial" w:eastAsia="Arial" w:hAnsi="Arial"/>
          <w:b/>
          <w:bCs/>
          <w:color w:val="1F2937"/>
          <w:sz w:val="26"/>
          <w:szCs w:val="26"/>
        </w:rPr>
        <w:t xml:space="preserve">Integration with Business Processes</w:t>
      </w:r>
    </w:p>
    <w:p>
      <w:pPr>
        <w:spacing w:after="80" w:before="0"/>
      </w:pPr>
      <w:r>
        <w:rPr>
          <w:rFonts w:ascii="Arial" w:cs="Arial" w:eastAsia="Arial" w:hAnsi="Arial"/>
          <w:b/>
          <w:bCs/>
          <w:color w:val="4B5563"/>
          <w:sz w:val="22"/>
          <w:szCs w:val="22"/>
        </w:rPr>
        <w:t xml:space="preserve">Key Risk Information Sources</w:t>
      </w:r>
    </w:p>
    <w:p>
      <w:pPr>
        <w:pStyle w:val="ListParagraph"/>
        <w:numPr>
          <w:ilvl w:val="0"/>
          <w:numId w:val="2"/>
        </w:numPr>
        <w:spacing w:after="40" w:before="40"/>
      </w:pPr>
      <w:r>
        <w:rPr>
          <w:rFonts w:ascii="Arial" w:cs="Arial" w:eastAsia="Arial" w:hAnsi="Arial"/>
          <w:color w:val="1F2937"/>
          <w:sz w:val="22"/>
          <w:szCs w:val="22"/>
        </w:rPr>
        <w:t xml:space="preserve">Security compliance reviews</w:t>
      </w:r>
    </w:p>
    <w:p>
      <w:pPr>
        <w:pStyle w:val="ListParagraph"/>
        <w:numPr>
          <w:ilvl w:val="0"/>
          <w:numId w:val="2"/>
        </w:numPr>
        <w:spacing w:after="40" w:before="40"/>
      </w:pPr>
      <w:r>
        <w:rPr>
          <w:rFonts w:ascii="Arial" w:cs="Arial" w:eastAsia="Arial" w:hAnsi="Arial"/>
          <w:color w:val="1F2937"/>
          <w:sz w:val="22"/>
          <w:szCs w:val="22"/>
        </w:rPr>
        <w:t xml:space="preserve">Third-party risk assessments</w:t>
      </w:r>
    </w:p>
    <w:p>
      <w:pPr>
        <w:pStyle w:val="ListParagraph"/>
        <w:numPr>
          <w:ilvl w:val="0"/>
          <w:numId w:val="2"/>
        </w:numPr>
        <w:spacing w:after="40" w:before="40"/>
      </w:pPr>
      <w:r>
        <w:rPr>
          <w:rFonts w:ascii="Arial" w:cs="Arial" w:eastAsia="Arial" w:hAnsi="Arial"/>
          <w:color w:val="1F2937"/>
          <w:sz w:val="22"/>
          <w:szCs w:val="22"/>
        </w:rPr>
        <w:t xml:space="preserve">Threat and vulnerability management programs</w:t>
      </w:r>
    </w:p>
    <w:p>
      <w:pPr>
        <w:pStyle w:val="ListParagraph"/>
        <w:numPr>
          <w:ilvl w:val="0"/>
          <w:numId w:val="2"/>
        </w:numPr>
        <w:spacing w:after="40" w:before="40"/>
      </w:pPr>
      <w:r>
        <w:rPr>
          <w:rFonts w:ascii="Arial" w:cs="Arial" w:eastAsia="Arial" w:hAnsi="Arial"/>
          <w:color w:val="1F2937"/>
          <w:sz w:val="22"/>
          <w:szCs w:val="22"/>
        </w:rPr>
        <w:t xml:space="preserve">Bug bounty initiatives</w:t>
      </w:r>
    </w:p>
    <w:p>
      <w:pPr>
        <w:pStyle w:val="ListParagraph"/>
        <w:numPr>
          <w:ilvl w:val="0"/>
          <w:numId w:val="2"/>
        </w:numPr>
        <w:spacing w:after="40" w:before="40"/>
      </w:pPr>
      <w:r>
        <w:rPr>
          <w:rFonts w:ascii="Arial" w:cs="Arial" w:eastAsia="Arial" w:hAnsi="Arial"/>
          <w:color w:val="1F2937"/>
          <w:sz w:val="22"/>
          <w:szCs w:val="22"/>
        </w:rPr>
        <w:t xml:space="preserve">Internal and external audits</w:t>
      </w:r>
    </w:p>
    <w:p>
      <w:pPr>
        <w:pStyle w:val="ListParagraph"/>
        <w:numPr>
          <w:ilvl w:val="0"/>
          <w:numId w:val="2"/>
        </w:numPr>
        <w:spacing w:after="40" w:before="40"/>
      </w:pPr>
      <w:r>
        <w:rPr>
          <w:rFonts w:ascii="Arial" w:cs="Arial" w:eastAsia="Arial" w:hAnsi="Arial"/>
          <w:color w:val="1F2937"/>
          <w:sz w:val="22"/>
          <w:szCs w:val="22"/>
        </w:rPr>
        <w:t xml:space="preserve">Employee reporting</w:t>
      </w:r>
    </w:p>
    <w:p>
      <w:pPr>
        <w:pStyle w:val="ListParagraph"/>
        <w:numPr>
          <w:ilvl w:val="0"/>
          <w:numId w:val="2"/>
        </w:numPr>
        <w:spacing w:after="40" w:before="40"/>
      </w:pPr>
      <w:r>
        <w:rPr>
          <w:rFonts w:ascii="Arial" w:cs="Arial" w:eastAsia="Arial" w:hAnsi="Arial"/>
          <w:color w:val="1F2937"/>
          <w:sz w:val="22"/>
          <w:szCs w:val="22"/>
        </w:rPr>
        <w:t xml:space="preserve">Penetration testing and red team exercises</w:t>
      </w:r>
    </w:p>
    <w:p>
      <w:pPr>
        <w:pStyle w:val="ListParagraph"/>
        <w:numPr>
          <w:ilvl w:val="0"/>
          <w:numId w:val="2"/>
        </w:numPr>
        <w:spacing w:after="40" w:before="40"/>
      </w:pPr>
      <w:r>
        <w:rPr>
          <w:rFonts w:ascii="Arial" w:cs="Arial" w:eastAsia="Arial" w:hAnsi="Arial"/>
          <w:color w:val="1F2937"/>
          <w:sz w:val="22"/>
          <w:szCs w:val="22"/>
        </w:rPr>
        <w:t xml:space="preserve">Incident responses</w:t>
      </w:r>
    </w:p>
    <w:p>
      <w:pPr>
        <w:pStyle w:val="ListParagraph"/>
        <w:numPr>
          <w:ilvl w:val="0"/>
          <w:numId w:val="2"/>
        </w:numPr>
        <w:spacing w:after="40" w:before="40"/>
      </w:pPr>
      <w:r>
        <w:rPr>
          <w:rFonts w:ascii="Arial" w:cs="Arial" w:eastAsia="Arial" w:hAnsi="Arial"/>
          <w:color w:val="1F2937"/>
          <w:sz w:val="22"/>
          <w:szCs w:val="22"/>
        </w:rPr>
        <w:t xml:space="preserve">Post-Incident Reviews (PIRs)</w:t>
      </w:r>
    </w:p>
    <w:p>
      <w:pPr>
        <w:spacing w:after="0" w:before="200"/>
      </w:pPr>
    </w:p>
    <w:p>
      <w:pPr>
        <w:spacing w:after="80" w:before="0"/>
      </w:pPr>
      <w:r>
        <w:rPr>
          <w:rFonts w:ascii="Arial" w:cs="Arial" w:eastAsia="Arial" w:hAnsi="Arial"/>
          <w:b/>
          <w:bCs/>
          <w:color w:val="4B5563"/>
          <w:sz w:val="22"/>
          <w:szCs w:val="22"/>
        </w:rPr>
        <w:t xml:space="preserve">Control Framework Integration</w:t>
      </w:r>
    </w:p>
    <w:p>
      <w:pPr>
        <w:spacing w:after="100" w:before="0"/>
        <w:jc w:val="left"/>
      </w:pPr>
      <w:r>
        <w:rPr>
          <w:rFonts w:ascii="Arial" w:cs="Arial" w:eastAsia="Arial" w:hAnsi="Arial"/>
          <w:b w:val="false"/>
          <w:bCs w:val="false"/>
          <w:i w:val="false"/>
          <w:iCs w:val="false"/>
          <w:color w:val="1F2937"/>
          <w:sz w:val="22"/>
          <w:szCs w:val="22"/>
        </w:rPr>
        <w:t xml:space="preserve">The Security Risk Program integrates its risk management process with the organization's primary control framework (e.g., UCF, NIST CSF, ISO 27002). This ensures:</w:t>
      </w:r>
    </w:p>
    <w:p>
      <w:pPr>
        <w:pStyle w:val="ListParagraph"/>
        <w:numPr>
          <w:ilvl w:val="0"/>
          <w:numId w:val="2"/>
        </w:numPr>
        <w:spacing w:after="40" w:before="40"/>
      </w:pPr>
      <w:r>
        <w:rPr>
          <w:rFonts w:ascii="Arial" w:cs="Arial" w:eastAsia="Arial" w:hAnsi="Arial"/>
          <w:color w:val="1F2937"/>
          <w:sz w:val="22"/>
          <w:szCs w:val="22"/>
        </w:rPr>
        <w:t xml:space="preserve">Risk assessments consider both general threats and specific compliance needs</w:t>
      </w:r>
    </w:p>
    <w:p>
      <w:pPr>
        <w:pStyle w:val="ListParagraph"/>
        <w:numPr>
          <w:ilvl w:val="0"/>
          <w:numId w:val="2"/>
        </w:numPr>
        <w:spacing w:after="40" w:before="40"/>
      </w:pPr>
      <w:r>
        <w:rPr>
          <w:rFonts w:ascii="Arial" w:cs="Arial" w:eastAsia="Arial" w:hAnsi="Arial"/>
          <w:color w:val="1F2937"/>
          <w:sz w:val="22"/>
          <w:szCs w:val="22"/>
        </w:rPr>
        <w:t xml:space="preserve">Reduced duplication across audit and compliance activities</w:t>
      </w:r>
    </w:p>
    <w:p>
      <w:pPr>
        <w:pStyle w:val="ListParagraph"/>
        <w:numPr>
          <w:ilvl w:val="0"/>
          <w:numId w:val="2"/>
        </w:numPr>
        <w:spacing w:after="40" w:before="40"/>
      </w:pPr>
      <w:r>
        <w:rPr>
          <w:rFonts w:ascii="Arial" w:cs="Arial" w:eastAsia="Arial" w:hAnsi="Arial"/>
          <w:color w:val="1F2937"/>
          <w:sz w:val="22"/>
          <w:szCs w:val="22"/>
        </w:rPr>
        <w:t xml:space="preserve">Risk owners are aligned with regulatory expectations</w:t>
      </w:r>
    </w:p>
    <w:p>
      <w:r>
        <w:br w:type="page"/>
      </w:r>
    </w:p>
    <w:p>
      <w:pPr>
        <w:pStyle w:val="Heading1"/>
        <w:shd w:fill="CC2030" w:val="clear"/>
        <w:spacing w:after="240" w:before="0"/>
      </w:pPr>
      <w:r>
        <w:rPr>
          <w:rFonts w:ascii="Arial" w:cs="Arial" w:eastAsia="Arial" w:hAnsi="Arial"/>
          <w:b/>
          <w:bCs/>
          <w:color w:val="FFFFFF"/>
          <w:sz w:val="44"/>
          <w:szCs w:val="44"/>
        </w:rPr>
        <w:t xml:space="preserve">5.  Risk Assessment Process</w:t>
      </w:r>
    </w:p>
    <w:p>
      <w:pPr>
        <w:spacing w:after="100" w:before="0"/>
        <w:jc w:val="left"/>
      </w:pPr>
      <w:r>
        <w:rPr>
          <w:rFonts w:ascii="Arial" w:cs="Arial" w:eastAsia="Arial" w:hAnsi="Arial"/>
          <w:b w:val="false"/>
          <w:bCs w:val="false"/>
          <w:i w:val="false"/>
          <w:iCs w:val="false"/>
          <w:color w:val="1F2937"/>
          <w:sz w:val="22"/>
          <w:szCs w:val="22"/>
        </w:rPr>
        <w:t xml:space="preserve">Risk assessment encompasses risk identification, analysis, and evaluation. This process is performed:</w:t>
      </w:r>
    </w:p>
    <w:p>
      <w:pPr>
        <w:pStyle w:val="ListParagraph"/>
        <w:numPr>
          <w:ilvl w:val="0"/>
          <w:numId w:val="2"/>
        </w:numPr>
        <w:spacing w:after="40" w:before="40"/>
      </w:pPr>
      <w:r>
        <w:rPr>
          <w:rFonts w:ascii="Arial" w:cs="Arial" w:eastAsia="Arial" w:hAnsi="Arial"/>
          <w:color w:val="1F2937"/>
          <w:sz w:val="22"/>
          <w:szCs w:val="22"/>
        </w:rPr>
        <w:t xml:space="preserve">At least annually</w:t>
      </w:r>
    </w:p>
    <w:p>
      <w:pPr>
        <w:pStyle w:val="ListParagraph"/>
        <w:numPr>
          <w:ilvl w:val="0"/>
          <w:numId w:val="2"/>
        </w:numPr>
        <w:spacing w:after="40" w:before="40"/>
      </w:pPr>
      <w:r>
        <w:rPr>
          <w:rFonts w:ascii="Arial" w:cs="Arial" w:eastAsia="Arial" w:hAnsi="Arial"/>
          <w:color w:val="1F2937"/>
          <w:sz w:val="22"/>
          <w:szCs w:val="22"/>
        </w:rPr>
        <w:t xml:space="preserve">Upon significant changes to systems, processes, or business operations</w:t>
      </w:r>
    </w:p>
    <w:p>
      <w:pPr>
        <w:pStyle w:val="ListParagraph"/>
        <w:numPr>
          <w:ilvl w:val="0"/>
          <w:numId w:val="2"/>
        </w:numPr>
        <w:spacing w:after="40" w:before="40"/>
      </w:pPr>
      <w:r>
        <w:rPr>
          <w:rFonts w:ascii="Arial" w:cs="Arial" w:eastAsia="Arial" w:hAnsi="Arial"/>
          <w:color w:val="1F2937"/>
          <w:sz w:val="22"/>
          <w:szCs w:val="22"/>
        </w:rPr>
        <w:t xml:space="preserve">After a major incident involving mission-critical systems</w:t>
      </w:r>
    </w:p>
    <w:p>
      <w:pPr>
        <w:spacing w:after="0" w:before="240"/>
      </w:pPr>
    </w:p>
    <w:p>
      <w:pPr>
        <w:pStyle w:val="Heading3"/>
        <w:spacing w:after="120" w:before="200"/>
      </w:pPr>
      <w:r>
        <w:rPr>
          <w:rFonts w:ascii="Arial" w:cs="Arial" w:eastAsia="Arial" w:hAnsi="Arial"/>
          <w:b/>
          <w:bCs/>
          <w:color w:val="1F2937"/>
          <w:sz w:val="26"/>
          <w:szCs w:val="26"/>
        </w:rPr>
        <w:t xml:space="preserve">5.1  Establishing Context</w:t>
      </w:r>
    </w:p>
    <w:p>
      <w:pPr>
        <w:spacing w:after="100" w:before="0"/>
        <w:jc w:val="left"/>
      </w:pPr>
      <w:r>
        <w:rPr>
          <w:rFonts w:ascii="Arial" w:cs="Arial" w:eastAsia="Arial" w:hAnsi="Arial"/>
          <w:b w:val="false"/>
          <w:bCs w:val="false"/>
          <w:i w:val="false"/>
          <w:iCs w:val="false"/>
          <w:color w:val="1F2937"/>
          <w:sz w:val="22"/>
          <w:szCs w:val="22"/>
        </w:rPr>
        <w:t xml:space="preserve">When defining scope and boundaries, consider:</w:t>
      </w:r>
    </w:p>
    <w:p>
      <w:pPr>
        <w:pStyle w:val="ListParagraph"/>
        <w:numPr>
          <w:ilvl w:val="0"/>
          <w:numId w:val="2"/>
        </w:numPr>
        <w:spacing w:after="40" w:before="40"/>
      </w:pPr>
      <w:r>
        <w:rPr>
          <w:rFonts w:ascii="Arial" w:cs="Arial" w:eastAsia="Arial" w:hAnsi="Arial"/>
          <w:color w:val="1F2937"/>
          <w:sz w:val="22"/>
          <w:szCs w:val="22"/>
        </w:rPr>
        <w:t xml:space="preserve">Strategic business objectives</w:t>
      </w:r>
    </w:p>
    <w:p>
      <w:pPr>
        <w:pStyle w:val="ListParagraph"/>
        <w:numPr>
          <w:ilvl w:val="0"/>
          <w:numId w:val="2"/>
        </w:numPr>
        <w:spacing w:after="40" w:before="40"/>
      </w:pPr>
      <w:r>
        <w:rPr>
          <w:rFonts w:ascii="Arial" w:cs="Arial" w:eastAsia="Arial" w:hAnsi="Arial"/>
          <w:color w:val="1F2937"/>
          <w:sz w:val="22"/>
          <w:szCs w:val="22"/>
        </w:rPr>
        <w:t xml:space="preserve">Key operational workflows and security impacts</w:t>
      </w:r>
    </w:p>
    <w:p>
      <w:pPr>
        <w:pStyle w:val="ListParagraph"/>
        <w:numPr>
          <w:ilvl w:val="0"/>
          <w:numId w:val="2"/>
        </w:numPr>
        <w:spacing w:after="40" w:before="40"/>
      </w:pPr>
      <w:r>
        <w:rPr>
          <w:rFonts w:ascii="Arial" w:cs="Arial" w:eastAsia="Arial" w:hAnsi="Arial"/>
          <w:color w:val="1F2937"/>
          <w:sz w:val="22"/>
          <w:szCs w:val="22"/>
        </w:rPr>
        <w:t xml:space="preserve">Organizational structure and risk exposure</w:t>
      </w:r>
    </w:p>
    <w:p>
      <w:pPr>
        <w:pStyle w:val="ListParagraph"/>
        <w:numPr>
          <w:ilvl w:val="0"/>
          <w:numId w:val="2"/>
        </w:numPr>
        <w:spacing w:after="40" w:before="40"/>
      </w:pPr>
      <w:r>
        <w:rPr>
          <w:rFonts w:ascii="Arial" w:cs="Arial" w:eastAsia="Arial" w:hAnsi="Arial"/>
          <w:color w:val="1F2937"/>
          <w:sz w:val="22"/>
          <w:szCs w:val="22"/>
        </w:rPr>
        <w:t xml:space="preserve">Legal, regulatory, and contractual requirements</w:t>
      </w:r>
    </w:p>
    <w:p>
      <w:pPr>
        <w:pStyle w:val="ListParagraph"/>
        <w:numPr>
          <w:ilvl w:val="0"/>
          <w:numId w:val="2"/>
        </w:numPr>
        <w:spacing w:after="40" w:before="40"/>
      </w:pPr>
      <w:r>
        <w:rPr>
          <w:rFonts w:ascii="Arial" w:cs="Arial" w:eastAsia="Arial" w:hAnsi="Arial"/>
          <w:color w:val="1F2937"/>
          <w:sz w:val="22"/>
          <w:szCs w:val="22"/>
        </w:rPr>
        <w:t xml:space="preserve">Information security policy</w:t>
      </w:r>
    </w:p>
    <w:p>
      <w:pPr>
        <w:pStyle w:val="ListParagraph"/>
        <w:numPr>
          <w:ilvl w:val="0"/>
          <w:numId w:val="2"/>
        </w:numPr>
        <w:spacing w:after="40" w:before="40"/>
      </w:pPr>
      <w:r>
        <w:rPr>
          <w:rFonts w:ascii="Arial" w:cs="Arial" w:eastAsia="Arial" w:hAnsi="Arial"/>
          <w:color w:val="1F2937"/>
          <w:sz w:val="22"/>
          <w:szCs w:val="22"/>
        </w:rPr>
        <w:t xml:space="preserve">Critical data, systems, and resources</w:t>
      </w:r>
    </w:p>
    <w:p>
      <w:pPr>
        <w:pStyle w:val="ListParagraph"/>
        <w:numPr>
          <w:ilvl w:val="0"/>
          <w:numId w:val="2"/>
        </w:numPr>
        <w:spacing w:after="40" w:before="40"/>
      </w:pPr>
      <w:r>
        <w:rPr>
          <w:rFonts w:ascii="Arial" w:cs="Arial" w:eastAsia="Arial" w:hAnsi="Arial"/>
          <w:color w:val="1F2937"/>
          <w:sz w:val="22"/>
          <w:szCs w:val="22"/>
        </w:rPr>
        <w:t xml:space="preserve">Geographical locations and regional risks</w:t>
      </w:r>
    </w:p>
    <w:p>
      <w:pPr>
        <w:pStyle w:val="ListParagraph"/>
        <w:numPr>
          <w:ilvl w:val="0"/>
          <w:numId w:val="2"/>
        </w:numPr>
        <w:spacing w:after="40" w:before="40"/>
      </w:pPr>
      <w:r>
        <w:rPr>
          <w:rFonts w:ascii="Arial" w:cs="Arial" w:eastAsia="Arial" w:hAnsi="Arial"/>
          <w:color w:val="1F2937"/>
          <w:sz w:val="22"/>
          <w:szCs w:val="22"/>
        </w:rPr>
        <w:t xml:space="preserve">Operational constraints affecting mitigation strategies</w:t>
      </w:r>
    </w:p>
    <w:p>
      <w:pPr>
        <w:pStyle w:val="ListParagraph"/>
        <w:numPr>
          <w:ilvl w:val="0"/>
          <w:numId w:val="2"/>
        </w:numPr>
        <w:spacing w:after="40" w:before="40"/>
      </w:pPr>
      <w:r>
        <w:rPr>
          <w:rFonts w:ascii="Arial" w:cs="Arial" w:eastAsia="Arial" w:hAnsi="Arial"/>
          <w:color w:val="1F2937"/>
          <w:sz w:val="22"/>
          <w:szCs w:val="22"/>
        </w:rPr>
        <w:t xml:space="preserve">Stakeholder expectations</w:t>
      </w:r>
    </w:p>
    <w:p>
      <w:pPr>
        <w:spacing w:after="0" w:before="240"/>
      </w:pPr>
    </w:p>
    <w:p>
      <w:pPr>
        <w:pStyle w:val="Heading3"/>
        <w:spacing w:after="120" w:before="200"/>
      </w:pPr>
      <w:r>
        <w:rPr>
          <w:rFonts w:ascii="Arial" w:cs="Arial" w:eastAsia="Arial" w:hAnsi="Arial"/>
          <w:b/>
          <w:bCs/>
          <w:color w:val="1F2937"/>
          <w:sz w:val="26"/>
          <w:szCs w:val="26"/>
        </w:rPr>
        <w:t xml:space="preserve">5.2  Risk Identification</w:t>
      </w:r>
    </w:p>
    <w:p>
      <w:pPr>
        <w:spacing w:after="80" w:before="0"/>
      </w:pPr>
      <w:r>
        <w:rPr>
          <w:rFonts w:ascii="Arial" w:cs="Arial" w:eastAsia="Arial" w:hAnsi="Arial"/>
          <w:b/>
          <w:bCs/>
          <w:color w:val="4B5563"/>
          <w:sz w:val="22"/>
          <w:szCs w:val="22"/>
        </w:rPr>
        <w:t xml:space="preserve">Process Steps</w:t>
      </w:r>
    </w:p>
    <w:p>
      <w:pPr>
        <w:pStyle w:val="ListParagraph"/>
        <w:numPr>
          <w:ilvl w:val="0"/>
          <w:numId w:val="2"/>
        </w:numPr>
        <w:spacing w:after="40" w:before="40"/>
      </w:pPr>
      <w:r>
        <w:rPr>
          <w:rFonts w:ascii="Arial" w:cs="Arial" w:eastAsia="Arial" w:hAnsi="Arial"/>
          <w:color w:val="1F2937"/>
          <w:sz w:val="22"/>
          <w:szCs w:val="22"/>
        </w:rPr>
        <w:t xml:space="preserve">Understand Assets – Identify the assets, processes, and services requiring protection</w:t>
      </w:r>
    </w:p>
    <w:p>
      <w:pPr>
        <w:pStyle w:val="ListParagraph"/>
        <w:numPr>
          <w:ilvl w:val="0"/>
          <w:numId w:val="2"/>
        </w:numPr>
        <w:spacing w:after="40" w:before="40"/>
      </w:pPr>
      <w:r>
        <w:rPr>
          <w:rFonts w:ascii="Arial" w:cs="Arial" w:eastAsia="Arial" w:hAnsi="Arial"/>
          <w:color w:val="1F2937"/>
          <w:sz w:val="22"/>
          <w:szCs w:val="22"/>
        </w:rPr>
        <w:t xml:space="preserve">Identify Threats – Identify internal and external threat sources that could exploit vulnerabilities</w:t>
      </w:r>
    </w:p>
    <w:p>
      <w:pPr>
        <w:pStyle w:val="ListParagraph"/>
        <w:numPr>
          <w:ilvl w:val="0"/>
          <w:numId w:val="2"/>
        </w:numPr>
        <w:spacing w:after="40" w:before="40"/>
      </w:pPr>
      <w:r>
        <w:rPr>
          <w:rFonts w:ascii="Arial" w:cs="Arial" w:eastAsia="Arial" w:hAnsi="Arial"/>
          <w:color w:val="1F2937"/>
          <w:sz w:val="22"/>
          <w:szCs w:val="22"/>
        </w:rPr>
        <w:t xml:space="preserve">Analyze Vulnerabilities – Analyze systems, processes, and environments to uncover weaknesses</w:t>
      </w:r>
    </w:p>
    <w:p>
      <w:pPr>
        <w:pStyle w:val="ListParagraph"/>
        <w:numPr>
          <w:ilvl w:val="0"/>
          <w:numId w:val="2"/>
        </w:numPr>
        <w:spacing w:after="40" w:before="40"/>
      </w:pPr>
      <w:r>
        <w:rPr>
          <w:rFonts w:ascii="Arial" w:cs="Arial" w:eastAsia="Arial" w:hAnsi="Arial"/>
          <w:color w:val="1F2937"/>
          <w:sz w:val="22"/>
          <w:szCs w:val="22"/>
        </w:rPr>
        <w:t xml:space="preserve">Define Risk Scenarios – Combine asset, threat, and vulnerability information to define risk scenarios</w:t>
      </w:r>
    </w:p>
    <w:p>
      <w:pPr>
        <w:spacing w:after="0" w:before="200"/>
      </w:pPr>
    </w:p>
    <w:p>
      <w:pPr>
        <w:spacing w:after="80" w:before="0"/>
      </w:pPr>
      <w:r>
        <w:rPr>
          <w:rFonts w:ascii="Arial" w:cs="Arial" w:eastAsia="Arial" w:hAnsi="Arial"/>
          <w:b/>
          <w:bCs/>
          <w:color w:val="4B5563"/>
          <w:sz w:val="22"/>
          <w:szCs w:val="22"/>
        </w:rPr>
        <w:t xml:space="preserve">Identification Techniques</w:t>
      </w:r>
    </w:p>
    <w:p>
      <w:pPr>
        <w:pStyle w:val="ListParagraph"/>
        <w:numPr>
          <w:ilvl w:val="0"/>
          <w:numId w:val="2"/>
        </w:numPr>
        <w:spacing w:after="40" w:before="40"/>
      </w:pPr>
      <w:r>
        <w:rPr>
          <w:rFonts w:ascii="Arial" w:cs="Arial" w:eastAsia="Arial" w:hAnsi="Arial"/>
          <w:color w:val="1F2937"/>
          <w:sz w:val="22"/>
          <w:szCs w:val="22"/>
        </w:rPr>
        <w:t xml:space="preserve">Stakeholder interviews</w:t>
      </w:r>
    </w:p>
    <w:p>
      <w:pPr>
        <w:pStyle w:val="ListParagraph"/>
        <w:numPr>
          <w:ilvl w:val="0"/>
          <w:numId w:val="2"/>
        </w:numPr>
        <w:spacing w:after="40" w:before="40"/>
      </w:pPr>
      <w:r>
        <w:rPr>
          <w:rFonts w:ascii="Arial" w:cs="Arial" w:eastAsia="Arial" w:hAnsi="Arial"/>
          <w:color w:val="1F2937"/>
          <w:sz w:val="22"/>
          <w:szCs w:val="22"/>
        </w:rPr>
        <w:t xml:space="preserve">Threat modelling workshops</w:t>
      </w:r>
    </w:p>
    <w:p>
      <w:pPr>
        <w:pStyle w:val="ListParagraph"/>
        <w:numPr>
          <w:ilvl w:val="0"/>
          <w:numId w:val="2"/>
        </w:numPr>
        <w:spacing w:after="40" w:before="40"/>
      </w:pPr>
      <w:r>
        <w:rPr>
          <w:rFonts w:ascii="Arial" w:cs="Arial" w:eastAsia="Arial" w:hAnsi="Arial"/>
          <w:color w:val="1F2937"/>
          <w:sz w:val="22"/>
          <w:szCs w:val="22"/>
        </w:rPr>
        <w:t xml:space="preserve">Single-point-of-failure analysis</w:t>
      </w:r>
    </w:p>
    <w:p>
      <w:pPr>
        <w:pStyle w:val="ListParagraph"/>
        <w:numPr>
          <w:ilvl w:val="0"/>
          <w:numId w:val="2"/>
        </w:numPr>
        <w:spacing w:after="40" w:before="40"/>
      </w:pPr>
      <w:r>
        <w:rPr>
          <w:rFonts w:ascii="Arial" w:cs="Arial" w:eastAsia="Arial" w:hAnsi="Arial"/>
          <w:color w:val="1F2937"/>
          <w:sz w:val="22"/>
          <w:szCs w:val="22"/>
        </w:rPr>
        <w:t xml:space="preserve">Security assessments and audits</w:t>
      </w:r>
    </w:p>
    <w:p>
      <w:pPr>
        <w:pStyle w:val="ListParagraph"/>
        <w:numPr>
          <w:ilvl w:val="0"/>
          <w:numId w:val="2"/>
        </w:numPr>
        <w:spacing w:after="40" w:before="40"/>
      </w:pPr>
      <w:r>
        <w:rPr>
          <w:rFonts w:ascii="Arial" w:cs="Arial" w:eastAsia="Arial" w:hAnsi="Arial"/>
          <w:color w:val="1F2937"/>
          <w:sz w:val="22"/>
          <w:szCs w:val="22"/>
        </w:rPr>
        <w:t xml:space="preserve">Post-Incident Reviews</w:t>
      </w:r>
    </w:p>
    <w:p>
      <w:pPr>
        <w:pStyle w:val="ListParagraph"/>
        <w:numPr>
          <w:ilvl w:val="0"/>
          <w:numId w:val="2"/>
        </w:numPr>
        <w:spacing w:after="40" w:before="40"/>
      </w:pPr>
      <w:r>
        <w:rPr>
          <w:rFonts w:ascii="Arial" w:cs="Arial" w:eastAsia="Arial" w:hAnsi="Arial"/>
          <w:color w:val="1F2937"/>
          <w:sz w:val="22"/>
          <w:szCs w:val="22"/>
        </w:rPr>
        <w:t xml:space="preserve">Security tooling outputs</w:t>
      </w:r>
    </w:p>
    <w:p>
      <w:pPr>
        <w:spacing w:after="0" w:before="240"/>
      </w:pPr>
    </w:p>
    <w:p>
      <w:pPr>
        <w:pStyle w:val="Heading3"/>
        <w:spacing w:after="120" w:before="200"/>
      </w:pPr>
      <w:r>
        <w:rPr>
          <w:rFonts w:ascii="Arial" w:cs="Arial" w:eastAsia="Arial" w:hAnsi="Arial"/>
          <w:b/>
          <w:bCs/>
          <w:color w:val="1F2937"/>
          <w:sz w:val="26"/>
          <w:szCs w:val="26"/>
        </w:rPr>
        <w:t xml:space="preserve">5.3  Risk Analysis</w:t>
      </w:r>
    </w:p>
    <w:p>
      <w:pPr>
        <w:spacing w:after="100" w:before="0"/>
        <w:jc w:val="left"/>
      </w:pPr>
      <w:r>
        <w:rPr>
          <w:rFonts w:ascii="Arial" w:cs="Arial" w:eastAsia="Arial" w:hAnsi="Arial"/>
          <w:b w:val="false"/>
          <w:bCs w:val="false"/>
          <w:i w:val="false"/>
          <w:iCs w:val="false"/>
          <w:color w:val="1F2937"/>
          <w:sz w:val="22"/>
          <w:szCs w:val="22"/>
        </w:rPr>
        <w:t xml:space="preserve">Risk scores are calculated across two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Score Type</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80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Inherent Risk</w:t>
            </w:r>
          </w:p>
        </w:tc>
        <w:tc>
          <w:tcPr>
            <w:tcW w:type="dxa" w:w="6560"/>
            <w:gridSpan w:val="1"/>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risk exposure without any controls applied</w:t>
            </w:r>
          </w:p>
        </w:tc>
      </w:tr>
      <w:tr>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Residual Risk</w:t>
            </w:r>
          </w:p>
        </w:tc>
        <w:tc>
          <w:tcPr>
            <w:tcW w:type="dxa" w:w="656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re-evaluated likelihood and impact assuming existing or planned controls are effective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CC2030" w:sz="24"/>
              <w:bottom w:val="single" w:color="F59E0B" w:sz="8"/>
              <w:right w:val="none" w:color="FFFFFF" w:sz="0"/>
            </w:tcBorders>
            <w:shd w:fill="FEF9C3" w:val="clear"/>
            <w:tcMar>
              <w:top w:type="dxa" w:w="100"/>
              <w:left w:type="dxa" w:w="160"/>
              <w:bottom w:type="dxa" w:w="100"/>
              <w:right w:type="dxa" w:w="160"/>
            </w:tcMar>
          </w:tcPr>
          <w:p>
            <w:r>
              <w:rPr>
                <w:rFonts w:ascii="Arial" w:cs="Arial" w:eastAsia="Arial" w:hAnsi="Arial"/>
                <w:b/>
                <w:bCs/>
                <w:color w:val="1F2937"/>
                <w:sz w:val="20"/>
                <w:szCs w:val="20"/>
              </w:rPr>
              <w:t xml:space="preserve">NOTE  </w:t>
            </w:r>
            <w:r>
              <w:rPr>
                <w:rFonts w:ascii="Arial" w:cs="Arial" w:eastAsia="Arial" w:hAnsi="Arial"/>
                <w:i/>
                <w:iCs/>
                <w:color w:val="4B5563"/>
                <w:sz w:val="20"/>
                <w:szCs w:val="20"/>
              </w:rPr>
              <w:t xml:space="preserve">Your risk register should clearly indicate whether a recorded score represents inherent or residual risk. By default, tickets should carry the residual score. When no controls are in place, inherent and residual scores are equal.</w:t>
            </w:r>
          </w:p>
        </w:tc>
      </w:tr>
    </w:tbl>
    <w:p>
      <w:pPr>
        <w:spacing w:after="0" w:before="200"/>
      </w:pPr>
    </w:p>
    <w:p>
      <w:pPr>
        <w:spacing w:after="80" w:before="0"/>
      </w:pPr>
      <w:r>
        <w:rPr>
          <w:rFonts w:ascii="Arial" w:cs="Arial" w:eastAsia="Arial" w:hAnsi="Arial"/>
          <w:b/>
          <w:bCs/>
          <w:color w:val="4B5563"/>
          <w:sz w:val="22"/>
          <w:szCs w:val="22"/>
        </w:rPr>
        <w:t xml:space="preserve">Risk Analysis Factors</w:t>
      </w:r>
    </w:p>
    <w:p>
      <w:pPr>
        <w:pStyle w:val="ListParagraph"/>
        <w:numPr>
          <w:ilvl w:val="0"/>
          <w:numId w:val="2"/>
        </w:numPr>
        <w:spacing w:after="40" w:before="40"/>
      </w:pPr>
      <w:r>
        <w:rPr>
          <w:rFonts w:ascii="Arial" w:cs="Arial" w:eastAsia="Arial" w:hAnsi="Arial"/>
          <w:color w:val="1F2937"/>
          <w:sz w:val="22"/>
          <w:szCs w:val="22"/>
        </w:rPr>
        <w:t xml:space="preserve">Likelihood of events and their consequences</w:t>
      </w:r>
    </w:p>
    <w:p>
      <w:pPr>
        <w:pStyle w:val="ListParagraph"/>
        <w:numPr>
          <w:ilvl w:val="0"/>
          <w:numId w:val="2"/>
        </w:numPr>
        <w:spacing w:after="40" w:before="40"/>
      </w:pPr>
      <w:r>
        <w:rPr>
          <w:rFonts w:ascii="Arial" w:cs="Arial" w:eastAsia="Arial" w:hAnsi="Arial"/>
          <w:color w:val="1F2937"/>
          <w:sz w:val="22"/>
          <w:szCs w:val="22"/>
        </w:rPr>
        <w:t xml:space="preserve">Nature and magnitude of potential impacts</w:t>
      </w:r>
    </w:p>
    <w:p>
      <w:pPr>
        <w:pStyle w:val="ListParagraph"/>
        <w:numPr>
          <w:ilvl w:val="0"/>
          <w:numId w:val="2"/>
        </w:numPr>
        <w:spacing w:after="40" w:before="40"/>
      </w:pPr>
      <w:r>
        <w:rPr>
          <w:rFonts w:ascii="Arial" w:cs="Arial" w:eastAsia="Arial" w:hAnsi="Arial"/>
          <w:color w:val="1F2937"/>
          <w:sz w:val="22"/>
          <w:szCs w:val="22"/>
        </w:rPr>
        <w:t xml:space="preserve">Complexity and interdependencies</w:t>
      </w:r>
    </w:p>
    <w:p>
      <w:pPr>
        <w:pStyle w:val="ListParagraph"/>
        <w:numPr>
          <w:ilvl w:val="0"/>
          <w:numId w:val="2"/>
        </w:numPr>
        <w:spacing w:after="40" w:before="40"/>
      </w:pPr>
      <w:r>
        <w:rPr>
          <w:rFonts w:ascii="Arial" w:cs="Arial" w:eastAsia="Arial" w:hAnsi="Arial"/>
          <w:color w:val="1F2937"/>
          <w:sz w:val="22"/>
          <w:szCs w:val="22"/>
        </w:rPr>
        <w:t xml:space="preserve">Control effectiveness</w:t>
      </w:r>
    </w:p>
    <w:p>
      <w:pPr>
        <w:pStyle w:val="ListParagraph"/>
        <w:numPr>
          <w:ilvl w:val="0"/>
          <w:numId w:val="2"/>
        </w:numPr>
        <w:spacing w:after="40" w:before="40"/>
      </w:pPr>
      <w:r>
        <w:rPr>
          <w:rFonts w:ascii="Arial" w:cs="Arial" w:eastAsia="Arial" w:hAnsi="Arial"/>
          <w:color w:val="1F2937"/>
          <w:sz w:val="22"/>
          <w:szCs w:val="22"/>
        </w:rPr>
        <w:t xml:space="preserve">Confidence levels</w:t>
      </w:r>
    </w:p>
    <w:p>
      <w:pPr>
        <w:spacing w:after="0" w:before="240"/>
      </w:pPr>
    </w:p>
    <w:p>
      <w:pPr>
        <w:spacing w:after="80" w:before="0"/>
      </w:pPr>
      <w:r>
        <w:rPr>
          <w:rFonts w:ascii="Arial" w:cs="Arial" w:eastAsia="Arial" w:hAnsi="Arial"/>
          <w:b/>
          <w:bCs/>
          <w:color w:val="4B5563"/>
          <w:sz w:val="22"/>
          <w:szCs w:val="22"/>
        </w:rPr>
        <w:t xml:space="preserve">Impact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6840"/>
      </w:tblGrid>
      <w:tr>
        <w:tc>
          <w:tcPr>
            <w:tcW w:type="dxa" w:w="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Score</w:t>
            </w:r>
          </w:p>
        </w:tc>
        <w:tc>
          <w:tcPr>
            <w:tcW w:type="dxa" w:w="1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Level</w:t>
            </w:r>
          </w:p>
        </w:tc>
        <w:tc>
          <w:tcPr>
            <w:tcW w:type="dxa" w:w="6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Threshold</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5</w:t>
            </w:r>
          </w:p>
        </w:tc>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Immediate and severe threat. Total service loss or &gt;$100M impact. Requires urgent action.</w:t>
            </w:r>
          </w:p>
        </w:tc>
      </w:tr>
      <w:tr>
        <w:tc>
          <w:tcPr>
            <w:tcW w:type="dxa" w:w="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4</w:t>
            </w:r>
          </w:p>
        </w:tc>
        <w:tc>
          <w:tcPr>
            <w:tcW w:type="dxa" w:w="1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6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Significantly disrupts core business processes. Must be addressed swiftly.</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3</w:t>
            </w:r>
          </w:p>
        </w:tc>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Substantial impact. Mitigable with focused controls and monitoring.</w:t>
            </w:r>
          </w:p>
        </w:tc>
      </w:tr>
      <w:tr>
        <w:tc>
          <w:tcPr>
            <w:tcW w:type="dxa" w:w="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2</w:t>
            </w:r>
          </w:p>
        </w:tc>
        <w:tc>
          <w:tcPr>
            <w:tcW w:type="dxa" w:w="1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6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Noticeable disruption. Manageable through routine oversight.</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1</w:t>
            </w:r>
          </w:p>
        </w:tc>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Unlikely to materially affect operations. Minimal effort to manage.</w:t>
            </w:r>
          </w:p>
        </w:tc>
      </w:tr>
    </w:tbl>
    <w:p>
      <w:pPr>
        <w:spacing w:after="0" w:before="240"/>
      </w:pPr>
    </w:p>
    <w:p>
      <w:pPr>
        <w:spacing w:after="80" w:before="0"/>
      </w:pPr>
      <w:r>
        <w:rPr>
          <w:rFonts w:ascii="Arial" w:cs="Arial" w:eastAsia="Arial" w:hAnsi="Arial"/>
          <w:b/>
          <w:bCs/>
          <w:color w:val="4B5563"/>
          <w:sz w:val="22"/>
          <w:szCs w:val="22"/>
        </w:rPr>
        <w:t xml:space="preserve">Likelihood Scoring</w:t>
      </w:r>
    </w:p>
    <w:p>
      <w:pPr>
        <w:spacing w:after="120" w:before="0"/>
        <w:jc w:val="left"/>
      </w:pPr>
      <w:r>
        <w:rPr>
          <w:rFonts w:ascii="Arial" w:cs="Arial" w:eastAsia="Arial" w:hAnsi="Arial"/>
          <w:b w:val="false"/>
          <w:bCs w:val="false"/>
          <w:i w:val="false"/>
          <w:iCs w:val="false"/>
          <w:color w:val="1F2937"/>
          <w:sz w:val="22"/>
          <w:szCs w:val="22"/>
        </w:rPr>
        <w:t xml:space="preserve">Likelihood is scored across three independent dimensions. The final score is the highest of the three (high water mark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640"/>
        <w:gridCol w:w="3040"/>
        <w:gridCol w:w="2840"/>
      </w:tblGrid>
      <w:tr>
        <w:tc>
          <w:tcPr>
            <w:tcW w:type="dxa" w:w="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Score</w:t>
            </w:r>
          </w:p>
        </w:tc>
        <w:tc>
          <w:tcPr>
            <w:tcW w:type="dxa" w:w="26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Frequency</w:t>
            </w:r>
          </w:p>
        </w:tc>
        <w:tc>
          <w:tcPr>
            <w:tcW w:type="dxa" w:w="30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Technical Feasibility</w:t>
            </w:r>
          </w:p>
        </w:tc>
        <w:tc>
          <w:tcPr>
            <w:tcW w:type="dxa" w:w="2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 Precursor</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5</w:t>
            </w:r>
          </w:p>
        </w:tc>
        <w:tc>
          <w:tcPr>
            <w:tcW w:type="dxa" w:w="26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More than once per year</w:t>
            </w:r>
          </w:p>
        </w:tc>
        <w:tc>
          <w:tcPr>
            <w:tcW w:type="dxa" w:w="30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No specialist skills required</w:t>
            </w:r>
          </w:p>
        </w:tc>
        <w:tc>
          <w:tcPr>
            <w:tcW w:type="dxa" w:w="2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Event is active or unavoidable</w:t>
            </w:r>
          </w:p>
        </w:tc>
      </w:tr>
      <w:tr>
        <w:tc>
          <w:tcPr>
            <w:tcW w:type="dxa" w:w="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4</w:t>
            </w:r>
          </w:p>
        </w:tc>
        <w:tc>
          <w:tcPr>
            <w:tcW w:type="dxa" w:w="26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Once per year</w:t>
            </w:r>
          </w:p>
        </w:tc>
        <w:tc>
          <w:tcPr>
            <w:tcW w:type="dxa" w:w="30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Moderate effort required</w:t>
            </w:r>
          </w:p>
        </w:tc>
        <w:tc>
          <w:tcPr>
            <w:tcW w:type="dxa" w:w="2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Clear trend – when not if</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3</w:t>
            </w:r>
          </w:p>
        </w:tc>
        <w:tc>
          <w:tcPr>
            <w:tcW w:type="dxa" w:w="26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Once every 2–3 years</w:t>
            </w:r>
          </w:p>
        </w:tc>
        <w:tc>
          <w:tcPr>
            <w:tcW w:type="dxa" w:w="30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Significant effort required</w:t>
            </w:r>
          </w:p>
        </w:tc>
        <w:tc>
          <w:tcPr>
            <w:tcW w:type="dxa" w:w="2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Near-misses observed</w:t>
            </w:r>
          </w:p>
        </w:tc>
      </w:tr>
      <w:tr>
        <w:tc>
          <w:tcPr>
            <w:tcW w:type="dxa" w:w="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2</w:t>
            </w:r>
          </w:p>
        </w:tc>
        <w:tc>
          <w:tcPr>
            <w:tcW w:type="dxa" w:w="26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Once in 3–5 years</w:t>
            </w:r>
          </w:p>
        </w:tc>
        <w:tc>
          <w:tcPr>
            <w:tcW w:type="dxa" w:w="30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Highly specialised skills required</w:t>
            </w:r>
          </w:p>
        </w:tc>
        <w:tc>
          <w:tcPr>
            <w:tcW w:type="dxa" w:w="2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Theoretical only</w:t>
            </w:r>
          </w:p>
        </w:tc>
      </w:tr>
      <w:tr>
        <w:tc>
          <w:tcPr>
            <w:tcW w:type="dxa" w:w="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1</w:t>
            </w:r>
          </w:p>
        </w:tc>
        <w:tc>
          <w:tcPr>
            <w:tcW w:type="dxa" w:w="26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Once in 5+ years</w:t>
            </w:r>
          </w:p>
        </w:tc>
        <w:tc>
          <w:tcPr>
            <w:tcW w:type="dxa" w:w="30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State-actor level resources required</w:t>
            </w:r>
          </w:p>
        </w:tc>
        <w:tc>
          <w:tcPr>
            <w:tcW w:type="dxa" w:w="2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Perfect storm required</w:t>
            </w:r>
          </w:p>
        </w:tc>
      </w:tr>
    </w:tbl>
    <w:p>
      <w:pPr>
        <w:spacing w:after="0" w:before="240"/>
      </w:pPr>
    </w:p>
    <w:p>
      <w:pPr>
        <w:spacing w:after="80" w:before="0"/>
      </w:pPr>
      <w:r>
        <w:rPr>
          <w:rFonts w:ascii="Arial" w:cs="Arial" w:eastAsia="Arial" w:hAnsi="Arial"/>
          <w:b/>
          <w:bCs/>
          <w:color w:val="CC2030"/>
          <w:sz w:val="24"/>
          <w:szCs w:val="24"/>
        </w:rPr>
        <w:t xml:space="preserve">Risk Score = Impact × Likelihood (range: 1–25)</w:t>
      </w:r>
    </w:p>
    <w:p>
      <w:pPr>
        <w:spacing w:after="0" w:before="240"/>
      </w:pPr>
    </w:p>
    <w:p>
      <w:pPr>
        <w:pStyle w:val="Heading3"/>
        <w:spacing w:after="120" w:before="200"/>
      </w:pPr>
      <w:r>
        <w:rPr>
          <w:rFonts w:ascii="Arial" w:cs="Arial" w:eastAsia="Arial" w:hAnsi="Arial"/>
          <w:b/>
          <w:bCs/>
          <w:color w:val="1F2937"/>
          <w:sz w:val="26"/>
          <w:szCs w:val="26"/>
        </w:rPr>
        <w:t xml:space="preserve">5.4  Risk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Rating</w:t>
            </w:r>
          </w:p>
        </w:tc>
        <w:tc>
          <w:tcPr>
            <w:tcW w:type="dxa" w:w="20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Score Range</w:t>
            </w:r>
          </w:p>
        </w:tc>
        <w:tc>
          <w:tcPr>
            <w:tcW w:type="dxa" w:w="53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25</w:t>
            </w:r>
          </w:p>
        </w:tc>
        <w:tc>
          <w:tcPr>
            <w:tcW w:type="dxa" w:w="5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Immediate and severe threat. Requires urgent action.</w:t>
            </w:r>
          </w:p>
        </w:tc>
      </w:tr>
      <w:tr>
        <w:tc>
          <w:tcPr>
            <w:tcW w:type="dxa" w:w="2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2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16–24</w:t>
            </w:r>
          </w:p>
        </w:tc>
        <w:tc>
          <w:tcPr>
            <w:tcW w:type="dxa" w:w="53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Significantly disrupts business processes. Must be addressed swiftly.</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10–15</w:t>
            </w:r>
          </w:p>
        </w:tc>
        <w:tc>
          <w:tcPr>
            <w:tcW w:type="dxa" w:w="5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Substantial impact. Mitigable with focused controls and monitoring.</w:t>
            </w:r>
          </w:p>
        </w:tc>
      </w:tr>
      <w:tr>
        <w:tc>
          <w:tcPr>
            <w:tcW w:type="dxa" w:w="2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2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5–9</w:t>
            </w:r>
          </w:p>
        </w:tc>
        <w:tc>
          <w:tcPr>
            <w:tcW w:type="dxa" w:w="53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Noticeable disruption. Manageable through routine oversight.</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2937"/>
                <w:sz w:val="20"/>
                <w:szCs w:val="20"/>
              </w:rPr>
              <w:t xml:space="preserve">1–4</w:t>
            </w:r>
          </w:p>
        </w:tc>
        <w:tc>
          <w:tcPr>
            <w:tcW w:type="dxa" w:w="5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Unlikely to materially affect operations. Minimal effort to manage.</w:t>
            </w:r>
          </w:p>
        </w:tc>
      </w:tr>
    </w:tbl>
    <w:p>
      <w:r>
        <w:br w:type="page"/>
      </w:r>
    </w:p>
    <w:p>
      <w:pPr>
        <w:pStyle w:val="Heading1"/>
        <w:shd w:fill="CC2030" w:val="clear"/>
        <w:spacing w:after="240" w:before="0"/>
      </w:pPr>
      <w:r>
        <w:rPr>
          <w:rFonts w:ascii="Arial" w:cs="Arial" w:eastAsia="Arial" w:hAnsi="Arial"/>
          <w:b/>
          <w:bCs/>
          <w:color w:val="FFFFFF"/>
          <w:sz w:val="44"/>
          <w:szCs w:val="44"/>
        </w:rPr>
        <w:t xml:space="preserve">6.  Risk Treatment Process</w:t>
      </w:r>
    </w:p>
    <w:p>
      <w:pPr>
        <w:pStyle w:val="Heading3"/>
        <w:spacing w:after="120" w:before="0"/>
      </w:pPr>
      <w:r>
        <w:rPr>
          <w:rFonts w:ascii="Arial" w:cs="Arial" w:eastAsia="Arial" w:hAnsi="Arial"/>
          <w:b/>
          <w:bCs/>
          <w:color w:val="1F2937"/>
          <w:sz w:val="26"/>
          <w:szCs w:val="26"/>
        </w:rPr>
        <w:t xml:space="preserve">Treatment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Response</w:t>
            </w:r>
          </w:p>
        </w:tc>
        <w:tc>
          <w:tcPr>
            <w:tcW w:type="dxa" w:w="69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Mitigating</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Implementing controls to reduce the impact or likelihood of the risk</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Avoiding</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Ceasing the activity causing the risk or moving assets to a better-protected environment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Transferring</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Transferring accountability to a third party through insurance or outsourcing</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Accepting/Monitoring</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Acknowledging the risk and choosing not to take action at the current time</w:t>
            </w:r>
          </w:p>
        </w:tc>
      </w:tr>
    </w:tbl>
    <w:p>
      <w:pPr>
        <w:spacing w:after="0" w:before="240"/>
      </w:pPr>
    </w:p>
    <w:p>
      <w:pPr>
        <w:pStyle w:val="Heading3"/>
        <w:spacing w:after="120" w:before="200"/>
      </w:pPr>
      <w:r>
        <w:rPr>
          <w:rFonts w:ascii="Arial" w:cs="Arial" w:eastAsia="Arial" w:hAnsi="Arial"/>
          <w:b/>
          <w:bCs/>
          <w:color w:val="1F2937"/>
          <w:sz w:val="26"/>
          <w:szCs w:val="26"/>
        </w:rPr>
        <w:t xml:space="preserve">Step 1 – Review Risk Assessment Results</w:t>
      </w:r>
    </w:p>
    <w:p>
      <w:pPr>
        <w:pStyle w:val="ListParagraph"/>
        <w:numPr>
          <w:ilvl w:val="0"/>
          <w:numId w:val="2"/>
        </w:numPr>
        <w:spacing w:after="40" w:before="40"/>
      </w:pPr>
      <w:r>
        <w:rPr>
          <w:rFonts w:ascii="Arial" w:cs="Arial" w:eastAsia="Arial" w:hAnsi="Arial"/>
          <w:color w:val="1F2937"/>
          <w:sz w:val="22"/>
          <w:szCs w:val="22"/>
        </w:rPr>
        <w:t xml:space="preserve">Analyze identified risks, their impact and likelihood scores, and prioritize by severity</w:t>
      </w:r>
    </w:p>
    <w:p>
      <w:pPr>
        <w:pStyle w:val="ListParagraph"/>
        <w:numPr>
          <w:ilvl w:val="0"/>
          <w:numId w:val="2"/>
        </w:numPr>
        <w:spacing w:after="40" w:before="40"/>
      </w:pPr>
      <w:r>
        <w:rPr>
          <w:rFonts w:ascii="Arial" w:cs="Arial" w:eastAsia="Arial" w:hAnsi="Arial"/>
          <w:color w:val="1F2937"/>
          <w:sz w:val="22"/>
          <w:szCs w:val="22"/>
        </w:rPr>
        <w:t xml:space="preserve">Identify existing controls, evaluate their effectiveness, and document current and residual risk posture</w:t>
      </w:r>
    </w:p>
    <w:p>
      <w:pPr>
        <w:spacing w:after="0" w:before="160"/>
      </w:pPr>
    </w:p>
    <w:p>
      <w:pPr>
        <w:pStyle w:val="Heading3"/>
        <w:spacing w:after="120" w:before="200"/>
      </w:pPr>
      <w:r>
        <w:rPr>
          <w:rFonts w:ascii="Arial" w:cs="Arial" w:eastAsia="Arial" w:hAnsi="Arial"/>
          <w:b/>
          <w:bCs/>
          <w:color w:val="1F2937"/>
          <w:sz w:val="26"/>
          <w:szCs w:val="26"/>
        </w:rPr>
        <w:t xml:space="preserve">Step 2 – Evaluate Treatment Options</w:t>
      </w:r>
    </w:p>
    <w:p>
      <w:pPr>
        <w:pStyle w:val="ListParagraph"/>
        <w:numPr>
          <w:ilvl w:val="0"/>
          <w:numId w:val="2"/>
        </w:numPr>
        <w:spacing w:after="40" w:before="40"/>
      </w:pPr>
      <w:r>
        <w:rPr>
          <w:rFonts w:ascii="Arial" w:cs="Arial" w:eastAsia="Arial" w:hAnsi="Arial"/>
          <w:color w:val="1F2937"/>
          <w:sz w:val="22"/>
          <w:szCs w:val="22"/>
        </w:rPr>
        <w:t xml:space="preserve">Compare business risks against cost of implementing controls</w:t>
      </w:r>
    </w:p>
    <w:p>
      <w:pPr>
        <w:pStyle w:val="ListParagraph"/>
        <w:numPr>
          <w:ilvl w:val="0"/>
          <w:numId w:val="2"/>
        </w:numPr>
        <w:spacing w:after="40" w:before="40"/>
      </w:pPr>
      <w:r>
        <w:rPr>
          <w:rFonts w:ascii="Arial" w:cs="Arial" w:eastAsia="Arial" w:hAnsi="Arial"/>
          <w:color w:val="1F2937"/>
          <w:sz w:val="22"/>
          <w:szCs w:val="22"/>
        </w:rPr>
        <w:t xml:space="preserve">Assess each option against risk rating, business objectives, and compliance needs</w:t>
      </w:r>
    </w:p>
    <w:p>
      <w:pPr>
        <w:pStyle w:val="ListParagraph"/>
        <w:numPr>
          <w:ilvl w:val="0"/>
          <w:numId w:val="2"/>
        </w:numPr>
        <w:spacing w:after="40" w:before="40"/>
      </w:pPr>
      <w:r>
        <w:rPr>
          <w:rFonts w:ascii="Arial" w:cs="Arial" w:eastAsia="Arial" w:hAnsi="Arial"/>
          <w:color w:val="1F2937"/>
          <w:sz w:val="22"/>
          <w:szCs w:val="22"/>
        </w:rPr>
        <w:t xml:space="preserve">Estimate residual risk after implementing each control</w:t>
      </w:r>
    </w:p>
    <w:p>
      <w:pPr>
        <w:pStyle w:val="ListParagraph"/>
        <w:numPr>
          <w:ilvl w:val="0"/>
          <w:numId w:val="2"/>
        </w:numPr>
        <w:spacing w:after="40" w:before="40"/>
      </w:pPr>
      <w:r>
        <w:rPr>
          <w:rFonts w:ascii="Arial" w:cs="Arial" w:eastAsia="Arial" w:hAnsi="Arial"/>
          <w:color w:val="1F2937"/>
          <w:sz w:val="22"/>
          <w:szCs w:val="22"/>
        </w:rPr>
        <w:t xml:space="preserve">Select the best option balancing risk reduction with resource requirements</w:t>
      </w:r>
    </w:p>
    <w:p>
      <w:pPr>
        <w:spacing w:after="0" w:before="160"/>
      </w:pPr>
    </w:p>
    <w:p>
      <w:pPr>
        <w:pStyle w:val="Heading3"/>
        <w:spacing w:after="120" w:before="200"/>
      </w:pPr>
      <w:r>
        <w:rPr>
          <w:rFonts w:ascii="Arial" w:cs="Arial" w:eastAsia="Arial" w:hAnsi="Arial"/>
          <w:b/>
          <w:bCs/>
          <w:color w:val="1F2937"/>
          <w:sz w:val="26"/>
          <w:szCs w:val="26"/>
        </w:rPr>
        <w:t xml:space="preserve">Step 3 – Risk Response Decision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030" w:sz="8"/>
              <w:left w:val="single" w:color="CC2030" w:sz="24"/>
              <w:bottom w:val="single" w:color="CC2030" w:sz="8"/>
              <w:right w:val="none" w:color="FFFFFF" w:sz="0"/>
            </w:tcBorders>
            <w:shd w:fill="FEF2F2" w:val="clear"/>
            <w:tcMar>
              <w:top w:type="dxa" w:w="100"/>
              <w:left w:type="dxa" w:w="160"/>
              <w:bottom w:type="dxa" w:w="100"/>
              <w:right w:type="dxa" w:w="160"/>
            </w:tcMar>
          </w:tcPr>
          <w:p>
            <w:r>
              <w:rPr>
                <w:rFonts w:ascii="Arial" w:cs="Arial" w:eastAsia="Arial" w:hAnsi="Arial"/>
                <w:b/>
                <w:bCs/>
                <w:color w:val="CC2030"/>
                <w:sz w:val="20"/>
                <w:szCs w:val="20"/>
              </w:rPr>
              <w:t xml:space="preserve">DEFAULT ACCEPTANCE RULE  </w:t>
            </w:r>
            <w:r>
              <w:rPr>
                <w:rFonts w:ascii="Arial" w:cs="Arial" w:eastAsia="Arial" w:hAnsi="Arial"/>
                <w:color w:val="1F2937"/>
                <w:sz w:val="20"/>
                <w:szCs w:val="20"/>
              </w:rPr>
              <w:t xml:space="preserve">Any risk that breaches its response decision SLA is deemed accepted by default. A lack of action constitutes a de-facto acceptance of the risk in its current state.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Response Decision SLA</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7 days of finalised risk rating</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30 days of finalised risk rating</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60 days of finalised risk rating</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90 days of finalised risk rating</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180 days of finalised risk rating</w:t>
            </w:r>
          </w:p>
        </w:tc>
      </w:tr>
    </w:tbl>
    <w:p>
      <w:pPr>
        <w:spacing w:after="0" w:before="160"/>
      </w:pPr>
    </w:p>
    <w:p>
      <w:pPr>
        <w:pStyle w:val="Heading3"/>
        <w:spacing w:after="120" w:before="200"/>
      </w:pPr>
      <w:r>
        <w:rPr>
          <w:rFonts w:ascii="Arial" w:cs="Arial" w:eastAsia="Arial" w:hAnsi="Arial"/>
          <w:b/>
          <w:bCs/>
          <w:color w:val="1F2937"/>
          <w:sz w:val="26"/>
          <w:szCs w:val="26"/>
        </w:rPr>
        <w:t xml:space="preserve">Step 4 – Select Treatment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W w:type="dxa" w:w="1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3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Mitigate, Transfer, or Avoid</w:t>
            </w:r>
          </w:p>
        </w:tc>
        <w:tc>
          <w:tcPr>
            <w:tcW w:type="dxa" w:w="384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Accept</w:t>
            </w:r>
          </w:p>
        </w:tc>
      </w:tr>
      <w:tr>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Critical Priority – Immediate action required</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Highly Restricted – Extreme circumstances only</w:t>
            </w:r>
          </w:p>
        </w:tc>
      </w:tr>
      <w:tr>
        <w:tc>
          <w:tcPr>
            <w:tcW w:type="dxa" w:w="1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3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Strongly Recommended – Prioritise immediately</w:t>
            </w:r>
          </w:p>
        </w:tc>
        <w:tc>
          <w:tcPr>
            <w:tcW w:type="dxa" w:w="3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Restricted – Requires strong justification</w:t>
            </w:r>
          </w:p>
        </w:tc>
      </w:tr>
      <w:tr>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Expected – Standard course of action</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Discouraged – Only when resources unavailable</w:t>
            </w:r>
          </w:p>
        </w:tc>
      </w:tr>
      <w:tr>
        <w:tc>
          <w:tcPr>
            <w:tcW w:type="dxa" w:w="1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3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Encouraged – If resources allow</w:t>
            </w:r>
          </w:p>
        </w:tc>
        <w:tc>
          <w:tcPr>
            <w:tcW w:type="dxa" w:w="384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Permitted – If treatment not cost effective</w:t>
            </w:r>
          </w:p>
        </w:tc>
      </w:tr>
      <w:tr>
        <w:tc>
          <w:tcPr>
            <w:tcW w:type="dxa" w:w="1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Discretionary – Risk Owner’s preference</w:t>
            </w:r>
          </w:p>
        </w:tc>
        <w:tc>
          <w:tcPr>
            <w:tcW w:type="dxa" w:w="384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Permitted – At Risk Owner discretion</w:t>
            </w:r>
          </w:p>
        </w:tc>
      </w:tr>
    </w:tbl>
    <w:p>
      <w:pPr>
        <w:spacing w:after="0" w:before="160"/>
      </w:pPr>
    </w:p>
    <w:p>
      <w:pPr>
        <w:pStyle w:val="Heading3"/>
        <w:spacing w:after="120" w:before="200"/>
      </w:pPr>
      <w:r>
        <w:rPr>
          <w:rFonts w:ascii="Arial" w:cs="Arial" w:eastAsia="Arial" w:hAnsi="Arial"/>
          <w:b/>
          <w:bCs/>
          <w:color w:val="1F2937"/>
          <w:sz w:val="26"/>
          <w:szCs w:val="26"/>
        </w:rPr>
        <w:t xml:space="preserve">Step 5 – Risk Acceptance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Required Approval Authority</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C-Suite / SVP+</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VP+</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Director+</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Senior Manager+</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Manager+</w:t>
            </w:r>
          </w:p>
        </w:tc>
      </w:tr>
    </w:tbl>
    <w:p>
      <w:pPr>
        <w:spacing w:after="80" w:before="160"/>
      </w:pPr>
    </w:p>
    <w:p>
      <w:pPr>
        <w:spacing w:after="80" w:before="0"/>
      </w:pPr>
      <w:r>
        <w:rPr>
          <w:rFonts w:ascii="Arial" w:cs="Arial" w:eastAsia="Arial" w:hAnsi="Arial"/>
          <w:b/>
          <w:bCs/>
          <w:color w:val="4B5563"/>
          <w:sz w:val="22"/>
          <w:szCs w:val="22"/>
        </w:rPr>
        <w:t xml:space="preserve">Documentation Requirements</w:t>
      </w:r>
    </w:p>
    <w:p>
      <w:pPr>
        <w:pStyle w:val="ListParagraph"/>
        <w:numPr>
          <w:ilvl w:val="0"/>
          <w:numId w:val="2"/>
        </w:numPr>
        <w:spacing w:after="40" w:before="40"/>
      </w:pPr>
      <w:r>
        <w:rPr>
          <w:rFonts w:ascii="Arial" w:cs="Arial" w:eastAsia="Arial" w:hAnsi="Arial"/>
          <w:color w:val="1F2937"/>
          <w:sz w:val="22"/>
          <w:szCs w:val="22"/>
        </w:rPr>
        <w:t xml:space="preserve">Risk acceptance and justification documented in the risk register ticket</w:t>
      </w:r>
    </w:p>
    <w:p>
      <w:pPr>
        <w:pStyle w:val="ListParagraph"/>
        <w:numPr>
          <w:ilvl w:val="0"/>
          <w:numId w:val="2"/>
        </w:numPr>
        <w:spacing w:after="40" w:before="40"/>
      </w:pPr>
      <w:r>
        <w:rPr>
          <w:rFonts w:ascii="Arial" w:cs="Arial" w:eastAsia="Arial" w:hAnsi="Arial"/>
          <w:color w:val="1F2937"/>
          <w:sz w:val="22"/>
          <w:szCs w:val="22"/>
        </w:rPr>
        <w:t xml:space="preserve">Acceptance decisions reviewed per the monitoring cadence</w:t>
      </w:r>
    </w:p>
    <w:p>
      <w:pPr>
        <w:pStyle w:val="ListParagraph"/>
        <w:numPr>
          <w:ilvl w:val="0"/>
          <w:numId w:val="2"/>
        </w:numPr>
        <w:spacing w:after="40" w:before="40"/>
      </w:pPr>
      <w:r>
        <w:rPr>
          <w:rFonts w:ascii="Arial" w:cs="Arial" w:eastAsia="Arial" w:hAnsi="Arial"/>
          <w:color w:val="1F2937"/>
          <w:sz w:val="22"/>
          <w:szCs w:val="22"/>
        </w:rPr>
        <w:t xml:space="preserve">Acceptance revisited if threats evolve or controls become insufficient</w:t>
      </w:r>
    </w:p>
    <w:p>
      <w:pPr>
        <w:spacing w:after="0" w:before="160"/>
      </w:pPr>
    </w:p>
    <w:p>
      <w:pPr>
        <w:pStyle w:val="Heading3"/>
        <w:spacing w:after="120" w:before="200"/>
      </w:pPr>
      <w:r>
        <w:rPr>
          <w:rFonts w:ascii="Arial" w:cs="Arial" w:eastAsia="Arial" w:hAnsi="Arial"/>
          <w:b/>
          <w:bCs/>
          <w:color w:val="1F2937"/>
          <w:sz w:val="26"/>
          <w:szCs w:val="26"/>
        </w:rPr>
        <w:t xml:space="preserve">Step 6 – Treatment Planning &amp; Implementation</w:t>
      </w:r>
    </w:p>
    <w:p>
      <w:pPr>
        <w:spacing w:after="80" w:before="0"/>
      </w:pPr>
      <w:r>
        <w:rPr>
          <w:rFonts w:ascii="Arial" w:cs="Arial" w:eastAsia="Arial" w:hAnsi="Arial"/>
          <w:b/>
          <w:bCs/>
          <w:color w:val="4B5563"/>
          <w:sz w:val="22"/>
          <w:szCs w:val="22"/>
        </w:rPr>
        <w:t xml:space="preserve">Planning</w:t>
      </w:r>
    </w:p>
    <w:p>
      <w:pPr>
        <w:pStyle w:val="ListParagraph"/>
        <w:numPr>
          <w:ilvl w:val="0"/>
          <w:numId w:val="2"/>
        </w:numPr>
        <w:spacing w:after="40" w:before="40"/>
      </w:pPr>
      <w:r>
        <w:rPr>
          <w:rFonts w:ascii="Arial" w:cs="Arial" w:eastAsia="Arial" w:hAnsi="Arial"/>
          <w:color w:val="1F2937"/>
          <w:sz w:val="22"/>
          <w:szCs w:val="22"/>
        </w:rPr>
        <w:t xml:space="preserve">Identify specific treatment actions</w:t>
      </w:r>
    </w:p>
    <w:p>
      <w:pPr>
        <w:pStyle w:val="ListParagraph"/>
        <w:numPr>
          <w:ilvl w:val="0"/>
          <w:numId w:val="2"/>
        </w:numPr>
        <w:spacing w:after="40" w:before="40"/>
      </w:pPr>
      <w:r>
        <w:rPr>
          <w:rFonts w:ascii="Arial" w:cs="Arial" w:eastAsia="Arial" w:hAnsi="Arial"/>
          <w:color w:val="1F2937"/>
          <w:sz w:val="22"/>
          <w:szCs w:val="22"/>
        </w:rPr>
        <w:t xml:space="preserve">Determine required resources (personnel, technology, budget)</w:t>
      </w:r>
    </w:p>
    <w:p>
      <w:pPr>
        <w:pStyle w:val="ListParagraph"/>
        <w:numPr>
          <w:ilvl w:val="0"/>
          <w:numId w:val="2"/>
        </w:numPr>
        <w:spacing w:after="40" w:before="40"/>
      </w:pPr>
      <w:r>
        <w:rPr>
          <w:rFonts w:ascii="Arial" w:cs="Arial" w:eastAsia="Arial" w:hAnsi="Arial"/>
          <w:color w:val="1F2937"/>
          <w:sz w:val="22"/>
          <w:szCs w:val="22"/>
        </w:rPr>
        <w:t xml:space="preserve">Establish timelines and KPIs to measure effectiveness</w:t>
      </w:r>
    </w:p>
    <w:p>
      <w:pPr>
        <w:pStyle w:val="ListParagraph"/>
        <w:numPr>
          <w:ilvl w:val="0"/>
          <w:numId w:val="2"/>
        </w:numPr>
        <w:spacing w:after="40" w:before="40"/>
      </w:pPr>
      <w:r>
        <w:rPr>
          <w:rFonts w:ascii="Arial" w:cs="Arial" w:eastAsia="Arial" w:hAnsi="Arial"/>
          <w:color w:val="1F2937"/>
          <w:sz w:val="22"/>
          <w:szCs w:val="22"/>
        </w:rPr>
        <w:t xml:space="preserve">Obtain formal stakeholder approval</w:t>
      </w:r>
    </w:p>
    <w:p>
      <w:pPr>
        <w:spacing w:after="80" w:before="120"/>
      </w:pPr>
      <w:r>
        <w:rPr>
          <w:rFonts w:ascii="Arial" w:cs="Arial" w:eastAsia="Arial" w:hAnsi="Arial"/>
          <w:b/>
          <w:bCs/>
          <w:color w:val="4B5563"/>
          <w:sz w:val="22"/>
          <w:szCs w:val="22"/>
        </w:rPr>
        <w:t xml:space="preserve">Implementation</w:t>
      </w:r>
    </w:p>
    <w:p>
      <w:pPr>
        <w:pStyle w:val="ListParagraph"/>
        <w:numPr>
          <w:ilvl w:val="0"/>
          <w:numId w:val="2"/>
        </w:numPr>
        <w:spacing w:after="40" w:before="40"/>
      </w:pPr>
      <w:r>
        <w:rPr>
          <w:rFonts w:ascii="Arial" w:cs="Arial" w:eastAsia="Arial" w:hAnsi="Arial"/>
          <w:color w:val="1F2937"/>
          <w:sz w:val="22"/>
          <w:szCs w:val="22"/>
        </w:rPr>
        <w:t xml:space="preserve">Execute treatment plan per schedule</w:t>
      </w:r>
    </w:p>
    <w:p>
      <w:pPr>
        <w:pStyle w:val="ListParagraph"/>
        <w:numPr>
          <w:ilvl w:val="0"/>
          <w:numId w:val="2"/>
        </w:numPr>
        <w:spacing w:after="40" w:before="40"/>
      </w:pPr>
      <w:r>
        <w:rPr>
          <w:rFonts w:ascii="Arial" w:cs="Arial" w:eastAsia="Arial" w:hAnsi="Arial"/>
          <w:color w:val="1F2937"/>
          <w:sz w:val="22"/>
          <w:szCs w:val="22"/>
        </w:rPr>
        <w:t xml:space="preserve">Record all implementation activities, decisions, deviations, and issues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030" w:sz="8"/>
              <w:left w:val="single" w:color="CC2030" w:sz="24"/>
              <w:bottom w:val="single" w:color="CC2030" w:sz="8"/>
              <w:right w:val="none" w:color="FFFFFF" w:sz="0"/>
            </w:tcBorders>
            <w:shd w:fill="FEF2F2" w:val="clear"/>
            <w:tcMar>
              <w:top w:type="dxa" w:w="100"/>
              <w:left w:type="dxa" w:w="160"/>
              <w:bottom w:type="dxa" w:w="100"/>
              <w:right w:type="dxa" w:w="160"/>
            </w:tcMar>
          </w:tcPr>
          <w:p>
            <w:r>
              <w:rPr>
                <w:rFonts w:ascii="Arial" w:cs="Arial" w:eastAsia="Arial" w:hAnsi="Arial"/>
                <w:b/>
                <w:bCs/>
                <w:color w:val="CC2030"/>
                <w:sz w:val="20"/>
                <w:szCs w:val="20"/>
              </w:rPr>
              <w:t xml:space="preserve">DEFAULT ACCEPTANCE RULE  </w:t>
            </w:r>
            <w:r>
              <w:rPr>
                <w:rFonts w:ascii="Arial" w:cs="Arial" w:eastAsia="Arial" w:hAnsi="Arial"/>
                <w:color w:val="1F2937"/>
                <w:sz w:val="20"/>
                <w:szCs w:val="20"/>
              </w:rPr>
              <w:t xml:space="preserve">Any risk that breaches its treatment plan SLA is deemed accepted by default.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4880"/>
      </w:tblGrid>
      <w:tr>
        <w:tc>
          <w:tcPr>
            <w:tcW w:type="dxa" w:w="1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2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Required Approval</w:t>
            </w:r>
          </w:p>
        </w:tc>
        <w:tc>
          <w:tcPr>
            <w:tcW w:type="dxa" w:w="48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Treatment Plan SLA</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2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VP+</w:t>
            </w:r>
          </w:p>
        </w:tc>
        <w:tc>
          <w:tcPr>
            <w:tcW w:type="dxa" w:w="48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7 days of decision to mitigate</w:t>
            </w:r>
          </w:p>
        </w:tc>
      </w:tr>
      <w:tr>
        <w:tc>
          <w:tcPr>
            <w:tcW w:type="dxa" w:w="1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2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Director+</w:t>
            </w:r>
          </w:p>
        </w:tc>
        <w:tc>
          <w:tcPr>
            <w:tcW w:type="dxa" w:w="48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30 days of decision to mitigate</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2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Director+</w:t>
            </w:r>
          </w:p>
        </w:tc>
        <w:tc>
          <w:tcPr>
            <w:tcW w:type="dxa" w:w="48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60 days of decision to mitigate</w:t>
            </w:r>
          </w:p>
        </w:tc>
      </w:tr>
      <w:tr>
        <w:tc>
          <w:tcPr>
            <w:tcW w:type="dxa" w:w="1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26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N/A</w:t>
            </w:r>
          </w:p>
        </w:tc>
        <w:tc>
          <w:tcPr>
            <w:tcW w:type="dxa" w:w="488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90 days of decision to mitigate</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26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N/A</w:t>
            </w:r>
          </w:p>
        </w:tc>
        <w:tc>
          <w:tcPr>
            <w:tcW w:type="dxa" w:w="48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Within 180 days of decision to mitigate</w:t>
            </w:r>
          </w:p>
        </w:tc>
      </w:tr>
    </w:tbl>
    <w:p>
      <w:r>
        <w:br w:type="page"/>
      </w:r>
    </w:p>
    <w:p>
      <w:pPr>
        <w:pStyle w:val="Heading1"/>
        <w:shd w:fill="CC2030" w:val="clear"/>
        <w:spacing w:after="240" w:before="0"/>
      </w:pPr>
      <w:r>
        <w:rPr>
          <w:rFonts w:ascii="Arial" w:cs="Arial" w:eastAsia="Arial" w:hAnsi="Arial"/>
          <w:b/>
          <w:bCs/>
          <w:color w:val="FFFFFF"/>
          <w:sz w:val="44"/>
          <w:szCs w:val="44"/>
        </w:rPr>
        <w:t xml:space="preserve">7.  Risk Register Management</w:t>
      </w:r>
    </w:p>
    <w:p>
      <w:pPr>
        <w:spacing w:after="200" w:before="0"/>
        <w:jc w:val="left"/>
      </w:pPr>
      <w:r>
        <w:rPr>
          <w:rFonts w:ascii="Arial" w:cs="Arial" w:eastAsia="Arial" w:hAnsi="Arial"/>
          <w:b w:val="false"/>
          <w:bCs w:val="false"/>
          <w:i w:val="false"/>
          <w:iCs w:val="false"/>
          <w:color w:val="1F2937"/>
          <w:sz w:val="22"/>
          <w:szCs w:val="22"/>
        </w:rPr>
        <w:t xml:space="preserve">The risk register provides a structured process for recording, updating, monitoring, and reporting risk information to ensure accuracy and alignment with risk management strategy.</w:t>
      </w:r>
    </w:p>
    <w:p>
      <w:pPr>
        <w:pStyle w:val="Heading3"/>
        <w:spacing w:after="120" w:before="0"/>
      </w:pPr>
      <w:r>
        <w:rPr>
          <w:rFonts w:ascii="Arial" w:cs="Arial" w:eastAsia="Arial" w:hAnsi="Arial"/>
          <w:b/>
          <w:bCs/>
          <w:color w:val="1F2937"/>
          <w:sz w:val="26"/>
          <w:szCs w:val="26"/>
        </w:rPr>
        <w:t xml:space="preserve">Risk Intake</w:t>
      </w:r>
    </w:p>
    <w:p>
      <w:pPr>
        <w:pStyle w:val="ListParagraph"/>
        <w:numPr>
          <w:ilvl w:val="0"/>
          <w:numId w:val="2"/>
        </w:numPr>
        <w:spacing w:after="40" w:before="40"/>
      </w:pPr>
      <w:r>
        <w:rPr>
          <w:rFonts w:ascii="Arial" w:cs="Arial" w:eastAsia="Arial" w:hAnsi="Arial"/>
          <w:color w:val="1F2937"/>
          <w:sz w:val="22"/>
          <w:szCs w:val="22"/>
        </w:rPr>
        <w:t xml:space="preserve">Gather risk details from your sources – audits, threat intel, PIRs, tooling, etc.</w:t>
      </w:r>
    </w:p>
    <w:p>
      <w:pPr>
        <w:pStyle w:val="ListParagraph"/>
        <w:numPr>
          <w:ilvl w:val="0"/>
          <w:numId w:val="2"/>
        </w:numPr>
        <w:spacing w:after="40" w:before="40"/>
      </w:pPr>
      <w:r>
        <w:rPr>
          <w:rFonts w:ascii="Arial" w:cs="Arial" w:eastAsia="Arial" w:hAnsi="Arial"/>
          <w:color w:val="1F2937"/>
          <w:sz w:val="22"/>
          <w:szCs w:val="22"/>
        </w:rPr>
        <w:t xml:space="preserve">Validate, categorize, and enter data into the risk register tool</w:t>
      </w:r>
    </w:p>
    <w:p>
      <w:pPr>
        <w:pStyle w:val="ListParagraph"/>
        <w:numPr>
          <w:ilvl w:val="0"/>
          <w:numId w:val="2"/>
        </w:numPr>
        <w:spacing w:after="40" w:before="40"/>
      </w:pPr>
      <w:r>
        <w:rPr>
          <w:rFonts w:ascii="Arial" w:cs="Arial" w:eastAsia="Arial" w:hAnsi="Arial"/>
          <w:color w:val="1F2937"/>
          <w:sz w:val="22"/>
          <w:szCs w:val="22"/>
        </w:rPr>
        <w:t xml:space="preserve">Assign risks to relevant stakeholders for analysis and treatment</w:t>
      </w:r>
    </w:p>
    <w:p>
      <w:pPr>
        <w:spacing w:after="0" w:before="120"/>
      </w:pPr>
    </w:p>
    <w:p>
      <w:pPr>
        <w:pStyle w:val="Heading3"/>
        <w:spacing w:after="120" w:before="200"/>
      </w:pPr>
      <w:r>
        <w:rPr>
          <w:rFonts w:ascii="Arial" w:cs="Arial" w:eastAsia="Arial" w:hAnsi="Arial"/>
          <w:b/>
          <w:bCs/>
          <w:color w:val="1F2937"/>
          <w:sz w:val="26"/>
          <w:szCs w:val="26"/>
        </w:rPr>
        <w:t xml:space="preserve">Risk Review and Update Process</w:t>
      </w:r>
    </w:p>
    <w:p>
      <w:pPr>
        <w:pStyle w:val="ListParagraph"/>
        <w:numPr>
          <w:ilvl w:val="0"/>
          <w:numId w:val="2"/>
        </w:numPr>
        <w:spacing w:after="40" w:before="40"/>
      </w:pPr>
      <w:r>
        <w:rPr>
          <w:rFonts w:ascii="Arial" w:cs="Arial" w:eastAsia="Arial" w:hAnsi="Arial"/>
          <w:color w:val="1F2937"/>
          <w:sz w:val="22"/>
          <w:szCs w:val="22"/>
        </w:rPr>
        <w:t xml:space="preserve">Risk owners review their risks per the monitoring cadence</w:t>
      </w:r>
    </w:p>
    <w:p>
      <w:pPr>
        <w:pStyle w:val="ListParagraph"/>
        <w:numPr>
          <w:ilvl w:val="0"/>
          <w:numId w:val="2"/>
        </w:numPr>
        <w:spacing w:after="40" w:before="40"/>
      </w:pPr>
      <w:r>
        <w:rPr>
          <w:rFonts w:ascii="Arial" w:cs="Arial" w:eastAsia="Arial" w:hAnsi="Arial"/>
          <w:color w:val="1F2937"/>
          <w:sz w:val="22"/>
          <w:szCs w:val="22"/>
        </w:rPr>
        <w:t xml:space="preserve">Update status, mitigation progress, and changes in severity or impact</w:t>
      </w:r>
    </w:p>
    <w:p>
      <w:pPr>
        <w:pStyle w:val="ListParagraph"/>
        <w:numPr>
          <w:ilvl w:val="0"/>
          <w:numId w:val="2"/>
        </w:numPr>
        <w:spacing w:after="40" w:before="40"/>
      </w:pPr>
      <w:r>
        <w:rPr>
          <w:rFonts w:ascii="Arial" w:cs="Arial" w:eastAsia="Arial" w:hAnsi="Arial"/>
          <w:color w:val="1F2937"/>
          <w:sz w:val="22"/>
          <w:szCs w:val="22"/>
        </w:rPr>
        <w:t xml:space="preserve">Risk management team checks register fields for accuracy quarterly</w:t>
      </w:r>
    </w:p>
    <w:p>
      <w:pPr>
        <w:pStyle w:val="ListParagraph"/>
        <w:numPr>
          <w:ilvl w:val="0"/>
          <w:numId w:val="2"/>
        </w:numPr>
        <w:spacing w:after="40" w:before="40"/>
      </w:pPr>
      <w:r>
        <w:rPr>
          <w:rFonts w:ascii="Arial" w:cs="Arial" w:eastAsia="Arial" w:hAnsi="Arial"/>
          <w:color w:val="1F2937"/>
          <w:sz w:val="22"/>
          <w:szCs w:val="22"/>
        </w:rPr>
        <w:t xml:space="preserve">Missed review enforcement: a risk that passes its review due date without an owner update is flagged in the monthly review. If unresolved within one additional cycle, the risk is escalated to the Risk Owner's manager.</w:t>
      </w:r>
    </w:p>
    <w:p>
      <w:pPr>
        <w:spacing w:after="0" w:before="160"/>
      </w:pPr>
    </w:p>
    <w:p>
      <w:pPr>
        <w:pStyle w:val="Heading3"/>
        <w:spacing w:after="120" w:before="200"/>
      </w:pPr>
      <w:r>
        <w:rPr>
          <w:rFonts w:ascii="Arial" w:cs="Arial" w:eastAsia="Arial" w:hAnsi="Arial"/>
          <w:b/>
          <w:bCs/>
          <w:color w:val="1F2937"/>
          <w:sz w:val="26"/>
          <w:szCs w:val="26"/>
        </w:rPr>
        <w:t xml:space="preserve">Risk Closure Criteria</w:t>
      </w:r>
    </w:p>
    <w:p>
      <w:pPr>
        <w:pStyle w:val="ListParagraph"/>
        <w:numPr>
          <w:ilvl w:val="0"/>
          <w:numId w:val="2"/>
        </w:numPr>
        <w:spacing w:after="40" w:before="40"/>
      </w:pPr>
      <w:r>
        <w:rPr>
          <w:rFonts w:ascii="Arial" w:cs="Arial" w:eastAsia="Arial" w:hAnsi="Arial"/>
          <w:color w:val="1F2937"/>
          <w:sz w:val="22"/>
          <w:szCs w:val="22"/>
        </w:rPr>
        <w:t xml:space="preserve">Risk marked as closed when treatment measures are successfully implemented and verified</w:t>
      </w:r>
    </w:p>
    <w:p>
      <w:pPr>
        <w:pStyle w:val="ListParagraph"/>
        <w:numPr>
          <w:ilvl w:val="0"/>
          <w:numId w:val="2"/>
        </w:numPr>
        <w:spacing w:after="40" w:before="40"/>
      </w:pPr>
      <w:r>
        <w:rPr>
          <w:rFonts w:ascii="Arial" w:cs="Arial" w:eastAsia="Arial" w:hAnsi="Arial"/>
          <w:color w:val="1F2937"/>
          <w:sz w:val="22"/>
          <w:szCs w:val="22"/>
        </w:rPr>
        <w:t xml:space="preserve">Treatment results documented, including residual risks</w:t>
      </w:r>
    </w:p>
    <w:p>
      <w:pPr>
        <w:pStyle w:val="ListParagraph"/>
        <w:numPr>
          <w:ilvl w:val="0"/>
          <w:numId w:val="2"/>
        </w:numPr>
        <w:spacing w:after="40" w:before="40"/>
      </w:pPr>
      <w:r>
        <w:rPr>
          <w:rFonts w:ascii="Arial" w:cs="Arial" w:eastAsia="Arial" w:hAnsi="Arial"/>
          <w:color w:val="1F2937"/>
          <w:sz w:val="22"/>
          <w:szCs w:val="22"/>
        </w:rPr>
        <w:t xml:space="preserve">Evidence collected demonstrating controls reduced risk to acceptable level</w:t>
      </w:r>
    </w:p>
    <w:p>
      <w:pPr>
        <w:spacing w:after="0" w:before="160"/>
      </w:pPr>
    </w:p>
    <w:p>
      <w:pPr>
        <w:pStyle w:val="Heading3"/>
        <w:spacing w:after="120" w:before="200"/>
      </w:pPr>
      <w:r>
        <w:rPr>
          <w:rFonts w:ascii="Arial" w:cs="Arial" w:eastAsia="Arial" w:hAnsi="Arial"/>
          <w:b/>
          <w:bCs/>
          <w:color w:val="1F2937"/>
          <w:sz w:val="26"/>
          <w:szCs w:val="26"/>
        </w:rPr>
        <w:t xml:space="preserve">Risk Register Workflow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State</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Submitted</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Risk first created in register</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In Review</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Risk team assesses details and validates information</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Assessment</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Additional data or analysis required</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Transferring</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Risk being transferred to another party</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Avoiding</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Risk being eliminated</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Accepting/Monitoring</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Risk accepted with ongoing oversight</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Mitigating</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Active treatment in progress</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Done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Treatment implemented and verified</w:t>
            </w:r>
          </w:p>
        </w:tc>
      </w:tr>
    </w:tbl>
    <w:p>
      <w:r>
        <w:br w:type="page"/>
      </w:r>
    </w:p>
    <w:p>
      <w:pPr>
        <w:pStyle w:val="Heading1"/>
        <w:shd w:fill="CC2030" w:val="clear"/>
        <w:spacing w:after="240" w:before="0"/>
      </w:pPr>
      <w:r>
        <w:rPr>
          <w:rFonts w:ascii="Arial" w:cs="Arial" w:eastAsia="Arial" w:hAnsi="Arial"/>
          <w:b/>
          <w:bCs/>
          <w:color w:val="FFFFFF"/>
          <w:sz w:val="44"/>
          <w:szCs w:val="44"/>
        </w:rPr>
        <w:t xml:space="preserve">8.  Risk Monitoring and Review</w:t>
      </w:r>
    </w:p>
    <w:p>
      <w:pPr>
        <w:pStyle w:val="Heading3"/>
        <w:spacing w:after="120" w:before="0"/>
      </w:pPr>
      <w:r>
        <w:rPr>
          <w:rFonts w:ascii="Arial" w:cs="Arial" w:eastAsia="Arial" w:hAnsi="Arial"/>
          <w:b/>
          <w:bCs/>
          <w:color w:val="1F2937"/>
          <w:sz w:val="26"/>
          <w:szCs w:val="26"/>
        </w:rPr>
        <w:t xml:space="preserve">Monitoring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65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Monitoring / Review Frequency</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Monthly</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Monthly</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Quarterly</w:t>
            </w:r>
          </w:p>
        </w:tc>
      </w:tr>
      <w:tr>
        <w:tc>
          <w:tcPr>
            <w:tcW w:type="dxa" w:w="28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65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Bi-annually</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6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Annually</w:t>
            </w:r>
          </w:p>
        </w:tc>
      </w:tr>
    </w:tbl>
    <w:p>
      <w:pPr>
        <w:spacing w:after="0" w:before="240"/>
      </w:pPr>
    </w:p>
    <w:p>
      <w:pPr>
        <w:pStyle w:val="Heading3"/>
        <w:spacing w:after="120" w:before="200"/>
      </w:pPr>
      <w:r>
        <w:rPr>
          <w:rFonts w:ascii="Arial" w:cs="Arial" w:eastAsia="Arial" w:hAnsi="Arial"/>
          <w:b/>
          <w:bCs/>
          <w:color w:val="1F2937"/>
          <w:sz w:val="26"/>
          <w:szCs w:val="26"/>
        </w:rPr>
        <w:t xml:space="preserve">Monitoring Activities</w:t>
      </w:r>
    </w:p>
    <w:p>
      <w:pPr>
        <w:pStyle w:val="ListParagraph"/>
        <w:numPr>
          <w:ilvl w:val="0"/>
          <w:numId w:val="2"/>
        </w:numPr>
        <w:spacing w:after="40" w:before="40"/>
      </w:pPr>
      <w:r>
        <w:rPr>
          <w:rFonts w:ascii="Arial" w:cs="Arial" w:eastAsia="Arial" w:hAnsi="Arial"/>
          <w:color w:val="1F2937"/>
          <w:sz w:val="22"/>
          <w:szCs w:val="22"/>
        </w:rPr>
        <w:t xml:space="preserve">Track treatment progress and implementation status</w:t>
      </w:r>
    </w:p>
    <w:p>
      <w:pPr>
        <w:pStyle w:val="ListParagraph"/>
        <w:numPr>
          <w:ilvl w:val="0"/>
          <w:numId w:val="2"/>
        </w:numPr>
        <w:spacing w:after="40" w:before="40"/>
      </w:pPr>
      <w:r>
        <w:rPr>
          <w:rFonts w:ascii="Arial" w:cs="Arial" w:eastAsia="Arial" w:hAnsi="Arial"/>
          <w:color w:val="1F2937"/>
          <w:sz w:val="22"/>
          <w:szCs w:val="22"/>
        </w:rPr>
        <w:t xml:space="preserve">Reassess control effectiveness</w:t>
      </w:r>
    </w:p>
    <w:p>
      <w:pPr>
        <w:pStyle w:val="ListParagraph"/>
        <w:numPr>
          <w:ilvl w:val="0"/>
          <w:numId w:val="2"/>
        </w:numPr>
        <w:spacing w:after="40" w:before="40"/>
      </w:pPr>
      <w:r>
        <w:rPr>
          <w:rFonts w:ascii="Arial" w:cs="Arial" w:eastAsia="Arial" w:hAnsi="Arial"/>
          <w:color w:val="1F2937"/>
          <w:sz w:val="22"/>
          <w:szCs w:val="22"/>
        </w:rPr>
        <w:t xml:space="preserve">Update risk scores based on changing conditions</w:t>
      </w:r>
    </w:p>
    <w:p>
      <w:pPr>
        <w:pStyle w:val="ListParagraph"/>
        <w:numPr>
          <w:ilvl w:val="0"/>
          <w:numId w:val="2"/>
        </w:numPr>
        <w:spacing w:after="40" w:before="40"/>
      </w:pPr>
      <w:r>
        <w:rPr>
          <w:rFonts w:ascii="Arial" w:cs="Arial" w:eastAsia="Arial" w:hAnsi="Arial"/>
          <w:color w:val="1F2937"/>
          <w:sz w:val="22"/>
          <w:szCs w:val="22"/>
        </w:rPr>
        <w:t xml:space="preserve">Scan for new or emerging risks</w:t>
      </w:r>
    </w:p>
    <w:p>
      <w:pPr>
        <w:pStyle w:val="ListParagraph"/>
        <w:numPr>
          <w:ilvl w:val="0"/>
          <w:numId w:val="2"/>
        </w:numPr>
        <w:spacing w:after="40" w:before="40"/>
      </w:pPr>
      <w:r>
        <w:rPr>
          <w:rFonts w:ascii="Arial" w:cs="Arial" w:eastAsia="Arial" w:hAnsi="Arial"/>
          <w:color w:val="1F2937"/>
          <w:sz w:val="22"/>
          <w:szCs w:val="22"/>
        </w:rPr>
        <w:t xml:space="preserve">Validate residual risk levels</w:t>
      </w:r>
    </w:p>
    <w:p>
      <w:pPr>
        <w:pStyle w:val="ListParagraph"/>
        <w:numPr>
          <w:ilvl w:val="0"/>
          <w:numId w:val="2"/>
        </w:numPr>
        <w:spacing w:after="40" w:before="40"/>
      </w:pPr>
      <w:r>
        <w:rPr>
          <w:rFonts w:ascii="Arial" w:cs="Arial" w:eastAsia="Arial" w:hAnsi="Arial"/>
          <w:color w:val="1F2937"/>
          <w:sz w:val="22"/>
          <w:szCs w:val="22"/>
        </w:rPr>
        <w:t xml:space="preserve">Escalate risks if conditions worsen</w:t>
      </w:r>
    </w:p>
    <w:p>
      <w:r>
        <w:br w:type="page"/>
      </w:r>
    </w:p>
    <w:p>
      <w:pPr>
        <w:pStyle w:val="Heading1"/>
        <w:shd w:fill="CC2030" w:val="clear"/>
        <w:spacing w:after="240" w:before="0"/>
      </w:pPr>
      <w:r>
        <w:rPr>
          <w:rFonts w:ascii="Arial" w:cs="Arial" w:eastAsia="Arial" w:hAnsi="Arial"/>
          <w:b/>
          <w:bCs/>
          <w:color w:val="FFFFFF"/>
          <w:sz w:val="44"/>
          <w:szCs w:val="44"/>
        </w:rPr>
        <w:t xml:space="preserve">9.  Risk Reporting</w:t>
      </w:r>
    </w:p>
    <w:p>
      <w:pPr>
        <w:pStyle w:val="Heading3"/>
        <w:spacing w:after="120" w:before="0"/>
      </w:pPr>
      <w:r>
        <w:rPr>
          <w:rFonts w:ascii="Arial" w:cs="Arial" w:eastAsia="Arial" w:hAnsi="Arial"/>
          <w:b/>
          <w:bCs/>
          <w:color w:val="1F2937"/>
          <w:sz w:val="26"/>
          <w:szCs w:val="26"/>
        </w:rPr>
        <w:t xml:space="preserve">Reporting Process</w:t>
      </w:r>
    </w:p>
    <w:p>
      <w:pPr>
        <w:pStyle w:val="ListParagraph"/>
        <w:numPr>
          <w:ilvl w:val="0"/>
          <w:numId w:val="2"/>
        </w:numPr>
        <w:spacing w:after="40" w:before="40"/>
      </w:pPr>
      <w:r>
        <w:rPr>
          <w:rFonts w:ascii="Arial" w:cs="Arial" w:eastAsia="Arial" w:hAnsi="Arial"/>
          <w:color w:val="1F2937"/>
          <w:sz w:val="22"/>
          <w:szCs w:val="22"/>
        </w:rPr>
        <w:t xml:space="preserve">Define KRIs and performance metrics aligned with business objectives</w:t>
      </w:r>
    </w:p>
    <w:p>
      <w:pPr>
        <w:pStyle w:val="ListParagraph"/>
        <w:numPr>
          <w:ilvl w:val="0"/>
          <w:numId w:val="2"/>
        </w:numPr>
        <w:spacing w:after="40" w:before="40"/>
      </w:pPr>
      <w:r>
        <w:rPr>
          <w:rFonts w:ascii="Arial" w:cs="Arial" w:eastAsia="Arial" w:hAnsi="Arial"/>
          <w:color w:val="1F2937"/>
          <w:sz w:val="22"/>
          <w:szCs w:val="22"/>
        </w:rPr>
        <w:t xml:space="preserve">Capture data in the risk register: assessments, categories, scores, treatment status, ownership, compliance flags</w:t>
      </w:r>
    </w:p>
    <w:p>
      <w:pPr>
        <w:pStyle w:val="ListParagraph"/>
        <w:numPr>
          <w:ilvl w:val="0"/>
          <w:numId w:val="2"/>
        </w:numPr>
        <w:spacing w:after="40" w:before="40"/>
      </w:pPr>
      <w:r>
        <w:rPr>
          <w:rFonts w:ascii="Arial" w:cs="Arial" w:eastAsia="Arial" w:hAnsi="Arial"/>
          <w:color w:val="1F2937"/>
          <w:sz w:val="22"/>
          <w:szCs w:val="22"/>
        </w:rPr>
        <w:t xml:space="preserve">Generate visualizations tailored for each audience (executives vs. risk teams)</w:t>
      </w:r>
    </w:p>
    <w:p>
      <w:pPr>
        <w:pStyle w:val="ListParagraph"/>
        <w:numPr>
          <w:ilvl w:val="0"/>
          <w:numId w:val="2"/>
        </w:numPr>
        <w:spacing w:after="40" w:before="40"/>
      </w:pPr>
      <w:r>
        <w:rPr>
          <w:rFonts w:ascii="Arial" w:cs="Arial" w:eastAsia="Arial" w:hAnsi="Arial"/>
          <w:color w:val="1F2937"/>
          <w:sz w:val="22"/>
          <w:szCs w:val="22"/>
        </w:rPr>
        <w:t xml:space="preserve">Collect feedback to continuously refine reporting formats</w:t>
      </w:r>
    </w:p>
    <w:p>
      <w:pPr>
        <w:spacing w:after="0" w:before="200"/>
      </w:pPr>
    </w:p>
    <w:p>
      <w:pPr>
        <w:pStyle w:val="Heading3"/>
        <w:spacing w:after="120" w:before="200"/>
      </w:pPr>
      <w:r>
        <w:rPr>
          <w:rFonts w:ascii="Arial" w:cs="Arial" w:eastAsia="Arial" w:hAnsi="Arial"/>
          <w:b/>
          <w:bCs/>
          <w:color w:val="1F2937"/>
          <w:sz w:val="26"/>
          <w:szCs w:val="26"/>
        </w:rPr>
        <w:t xml:space="preserve">Leadership Reporting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Level</w:t>
            </w:r>
          </w:p>
        </w:tc>
        <w:tc>
          <w:tcPr>
            <w:tcW w:type="dxa" w:w="30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Frequency</w:t>
            </w:r>
          </w:p>
        </w:tc>
        <w:tc>
          <w:tcPr>
            <w:tcW w:type="dxa" w:w="39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Critical</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Monthly</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Dashboard / Report</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Severe</w:t>
            </w:r>
          </w:p>
        </w:tc>
        <w:tc>
          <w:tcPr>
            <w:tcW w:type="dxa" w:w="3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Monthly</w:t>
            </w:r>
          </w:p>
        </w:tc>
        <w:tc>
          <w:tcPr>
            <w:tcW w:type="dxa" w:w="3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Dashboard / Report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High</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Quarterly</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Dashboard / Report</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Moderate</w:t>
            </w:r>
          </w:p>
        </w:tc>
        <w:tc>
          <w:tcPr>
            <w:tcW w:type="dxa" w:w="30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Bi-annually</w:t>
            </w:r>
          </w:p>
        </w:tc>
        <w:tc>
          <w:tcPr>
            <w:tcW w:type="dxa" w:w="3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Dashboard / Report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Low</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Annually</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Dashboard / Report</w:t>
            </w:r>
          </w:p>
        </w:tc>
      </w:tr>
    </w:tbl>
    <w:p>
      <w:pPr>
        <w:spacing w:after="0" w:before="240"/>
      </w:pPr>
    </w:p>
    <w:p>
      <w:pPr>
        <w:pStyle w:val="Heading3"/>
        <w:spacing w:after="120" w:before="200"/>
      </w:pPr>
      <w:r>
        <w:rPr>
          <w:rFonts w:ascii="Arial" w:cs="Arial" w:eastAsia="Arial" w:hAnsi="Arial"/>
          <w:b/>
          <w:bCs/>
          <w:color w:val="1F2937"/>
          <w:sz w:val="26"/>
          <w:szCs w:val="26"/>
        </w:rPr>
        <w:t xml:space="preserve">Key Risk Indicators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KRI</w:t>
            </w:r>
          </w:p>
        </w:tc>
        <w:tc>
          <w:tcPr>
            <w:tcW w:type="dxa" w:w="61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Exposure Trends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Number of open risks by severity over time</w:t>
            </w:r>
          </w:p>
        </w:tc>
      </w:tr>
      <w:tr>
        <w:tc>
          <w:tcPr>
            <w:tcW w:type="dxa" w:w="3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Treatment Timeliness</w:t>
            </w:r>
          </w:p>
        </w:tc>
        <w:tc>
          <w:tcPr>
            <w:tcW w:type="dxa" w:w="61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Percentage of risks treated within SLA</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Acceptance Rate</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Percentage of risks accepted vs. mitigated</w:t>
            </w:r>
          </w:p>
        </w:tc>
      </w:tr>
      <w:tr>
        <w:tc>
          <w:tcPr>
            <w:tcW w:type="dxa" w:w="3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Third-Party Risk Exposure</w:t>
            </w:r>
          </w:p>
        </w:tc>
        <w:tc>
          <w:tcPr>
            <w:tcW w:type="dxa" w:w="61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Number of risks from vendors by impact level</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Regulatory Compliance Risks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Number of risks associated with regulatory non-compliance</w:t>
            </w:r>
          </w:p>
        </w:tc>
      </w:tr>
      <w:tr>
        <w:tc>
          <w:tcPr>
            <w:tcW w:type="dxa" w:w="3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Unassigned Risks</w:t>
            </w:r>
          </w:p>
        </w:tc>
        <w:tc>
          <w:tcPr>
            <w:tcW w:type="dxa" w:w="61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Number of risks lacking ownership</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Open Critical/Severe Risks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Current exposure at highest levels</w:t>
            </w:r>
          </w:p>
        </w:tc>
      </w:tr>
      <w:tr>
        <w:tc>
          <w:tcPr>
            <w:tcW w:type="dxa" w:w="32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Overdue Risk Actions</w:t>
            </w:r>
          </w:p>
        </w:tc>
        <w:tc>
          <w:tcPr>
            <w:tcW w:type="dxa" w:w="61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Treatment plans past due date</w:t>
            </w:r>
          </w:p>
        </w:tc>
      </w:tr>
    </w:tbl>
    <w:p>
      <w:pPr>
        <w:spacing w:after="0" w:before="240"/>
      </w:pPr>
    </w:p>
    <w:p>
      <w:pPr>
        <w:pStyle w:val="Heading3"/>
        <w:spacing w:after="120" w:before="200"/>
      </w:pPr>
      <w:r>
        <w:rPr>
          <w:rFonts w:ascii="Arial" w:cs="Arial" w:eastAsia="Arial" w:hAnsi="Arial"/>
          <w:b/>
          <w:bCs/>
          <w:color w:val="1F2937"/>
          <w:sz w:val="26"/>
          <w:szCs w:val="26"/>
        </w:rPr>
        <w:t xml:space="preserve">Escalation</w:t>
      </w:r>
    </w:p>
    <w:p>
      <w:pPr>
        <w:spacing w:after="160" w:before="0"/>
        <w:jc w:val="left"/>
      </w:pPr>
      <w:r>
        <w:rPr>
          <w:rFonts w:ascii="Arial" w:cs="Arial" w:eastAsia="Arial" w:hAnsi="Arial"/>
          <w:b w:val="false"/>
          <w:bCs w:val="false"/>
          <w:i w:val="false"/>
          <w:iCs w:val="false"/>
          <w:color w:val="1F2937"/>
          <w:sz w:val="22"/>
          <w:szCs w:val="22"/>
        </w:rPr>
        <w:t xml:space="preserve">If an issue with a risk cannot be resolved by the appropriate authority within the owning team, it is escalated to senior leadership with the appropriate level and domain of authority to adjudicate.</w:t>
      </w:r>
    </w:p>
    <w:p>
      <w:r>
        <w:br w:type="page"/>
      </w:r>
    </w:p>
    <w:p>
      <w:pPr>
        <w:pStyle w:val="Heading1"/>
        <w:shd w:fill="CC2030" w:val="clear"/>
        <w:spacing w:after="240" w:before="0"/>
      </w:pPr>
      <w:r>
        <w:rPr>
          <w:rFonts w:ascii="Arial" w:cs="Arial" w:eastAsia="Arial" w:hAnsi="Arial"/>
          <w:b/>
          <w:bCs/>
          <w:color w:val="FFFFFF"/>
          <w:sz w:val="44"/>
          <w:szCs w:val="44"/>
        </w:rPr>
        <w:t xml:space="preserve">10.  Risk Culture and Awareness</w:t>
      </w:r>
    </w:p>
    <w:p>
      <w:pPr>
        <w:pStyle w:val="Heading3"/>
        <w:spacing w:after="120" w:before="0"/>
      </w:pPr>
      <w:r>
        <w:rPr>
          <w:rFonts w:ascii="Arial" w:cs="Arial" w:eastAsia="Arial" w:hAnsi="Arial"/>
          <w:b/>
          <w:bCs/>
          <w:color w:val="1F2937"/>
          <w:sz w:val="26"/>
          <w:szCs w:val="26"/>
        </w:rPr>
        <w:t xml:space="preserve">Building a Risk-Aware Culture</w:t>
      </w:r>
    </w:p>
    <w:p>
      <w:pPr>
        <w:spacing w:after="100" w:before="0"/>
        <w:jc w:val="left"/>
      </w:pPr>
      <w:r>
        <w:rPr>
          <w:rFonts w:ascii="Arial" w:cs="Arial" w:eastAsia="Arial" w:hAnsi="Arial"/>
          <w:b w:val="false"/>
          <w:bCs w:val="false"/>
          <w:i w:val="false"/>
          <w:iCs w:val="false"/>
          <w:color w:val="1F2937"/>
          <w:sz w:val="22"/>
          <w:szCs w:val="22"/>
        </w:rPr>
        <w:t xml:space="preserve">The risk management team fosters a strong risk culture emphasizing:</w:t>
      </w:r>
    </w:p>
    <w:p>
      <w:pPr>
        <w:pStyle w:val="ListParagraph"/>
        <w:numPr>
          <w:ilvl w:val="0"/>
          <w:numId w:val="2"/>
        </w:numPr>
        <w:spacing w:after="40" w:before="40"/>
      </w:pPr>
      <w:r>
        <w:rPr>
          <w:rFonts w:ascii="Arial" w:cs="Arial" w:eastAsia="Arial" w:hAnsi="Arial"/>
          <w:color w:val="1F2937"/>
          <w:sz w:val="22"/>
          <w:szCs w:val="22"/>
        </w:rPr>
        <w:t xml:space="preserve">Awareness – Understanding of risk landscape and individual responsibilities</w:t>
      </w:r>
    </w:p>
    <w:p>
      <w:pPr>
        <w:pStyle w:val="ListParagraph"/>
        <w:numPr>
          <w:ilvl w:val="0"/>
          <w:numId w:val="2"/>
        </w:numPr>
        <w:spacing w:after="40" w:before="40"/>
      </w:pPr>
      <w:r>
        <w:rPr>
          <w:rFonts w:ascii="Arial" w:cs="Arial" w:eastAsia="Arial" w:hAnsi="Arial"/>
          <w:color w:val="1F2937"/>
          <w:sz w:val="22"/>
          <w:szCs w:val="22"/>
        </w:rPr>
        <w:t xml:space="preserve">Accountability – Clear ownership of risks and treatment actions</w:t>
      </w:r>
    </w:p>
    <w:p>
      <w:pPr>
        <w:pStyle w:val="ListParagraph"/>
        <w:numPr>
          <w:ilvl w:val="0"/>
          <w:numId w:val="2"/>
        </w:numPr>
        <w:spacing w:after="40" w:before="40"/>
      </w:pPr>
      <w:r>
        <w:rPr>
          <w:rFonts w:ascii="Arial" w:cs="Arial" w:eastAsia="Arial" w:hAnsi="Arial"/>
          <w:color w:val="1F2937"/>
          <w:sz w:val="22"/>
          <w:szCs w:val="22"/>
        </w:rPr>
        <w:t xml:space="preserve">Proactive Management – Anticipating and addressing risks before they materialize</w:t>
      </w:r>
    </w:p>
    <w:p>
      <w:pPr>
        <w:spacing w:after="0" w:before="160"/>
      </w:pPr>
    </w:p>
    <w:p>
      <w:pPr>
        <w:pStyle w:val="Heading3"/>
        <w:spacing w:after="120" w:before="200"/>
      </w:pPr>
      <w:r>
        <w:rPr>
          <w:rFonts w:ascii="Arial" w:cs="Arial" w:eastAsia="Arial" w:hAnsi="Arial"/>
          <w:b/>
          <w:bCs/>
          <w:color w:val="1F2937"/>
          <w:sz w:val="26"/>
          <w:szCs w:val="26"/>
        </w:rPr>
        <w:t xml:space="preserve">Risk Outreach Methods</w:t>
      </w:r>
    </w:p>
    <w:p>
      <w:pPr>
        <w:pStyle w:val="ListParagraph"/>
        <w:numPr>
          <w:ilvl w:val="0"/>
          <w:numId w:val="2"/>
        </w:numPr>
        <w:spacing w:after="40" w:before="40"/>
      </w:pPr>
      <w:r>
        <w:rPr>
          <w:rFonts w:ascii="Arial" w:cs="Arial" w:eastAsia="Arial" w:hAnsi="Arial"/>
          <w:color w:val="1F2937"/>
          <w:sz w:val="22"/>
          <w:szCs w:val="22"/>
        </w:rPr>
        <w:t xml:space="preserve">Regular office hours for risk consultations</w:t>
      </w:r>
    </w:p>
    <w:p>
      <w:pPr>
        <w:pStyle w:val="ListParagraph"/>
        <w:numPr>
          <w:ilvl w:val="0"/>
          <w:numId w:val="2"/>
        </w:numPr>
        <w:spacing w:after="40" w:before="40"/>
      </w:pPr>
      <w:r>
        <w:rPr>
          <w:rFonts w:ascii="Arial" w:cs="Arial" w:eastAsia="Arial" w:hAnsi="Arial"/>
          <w:color w:val="1F2937"/>
          <w:sz w:val="22"/>
          <w:szCs w:val="22"/>
        </w:rPr>
        <w:t xml:space="preserve">Dedicated communication channels (Slack, Teams)</w:t>
      </w:r>
    </w:p>
    <w:p>
      <w:pPr>
        <w:pStyle w:val="ListParagraph"/>
        <w:numPr>
          <w:ilvl w:val="0"/>
          <w:numId w:val="2"/>
        </w:numPr>
        <w:spacing w:after="40" w:before="40"/>
      </w:pPr>
      <w:r>
        <w:rPr>
          <w:rFonts w:ascii="Arial" w:cs="Arial" w:eastAsia="Arial" w:hAnsi="Arial"/>
          <w:color w:val="1F2937"/>
          <w:sz w:val="22"/>
          <w:szCs w:val="22"/>
        </w:rPr>
        <w:t xml:space="preserve">Team dashboards and self-service reporting</w:t>
      </w:r>
    </w:p>
    <w:p>
      <w:pPr>
        <w:pStyle w:val="ListParagraph"/>
        <w:numPr>
          <w:ilvl w:val="0"/>
          <w:numId w:val="2"/>
        </w:numPr>
        <w:spacing w:after="40" w:before="40"/>
      </w:pPr>
      <w:r>
        <w:rPr>
          <w:rFonts w:ascii="Arial" w:cs="Arial" w:eastAsia="Arial" w:hAnsi="Arial"/>
          <w:color w:val="1F2937"/>
          <w:sz w:val="22"/>
          <w:szCs w:val="22"/>
        </w:rPr>
        <w:t xml:space="preserve">Cross-functional working groups</w:t>
      </w:r>
    </w:p>
    <w:p>
      <w:pPr>
        <w:pStyle w:val="ListParagraph"/>
        <w:numPr>
          <w:ilvl w:val="0"/>
          <w:numId w:val="2"/>
        </w:numPr>
        <w:spacing w:after="40" w:before="40"/>
      </w:pPr>
      <w:r>
        <w:rPr>
          <w:rFonts w:ascii="Arial" w:cs="Arial" w:eastAsia="Arial" w:hAnsi="Arial"/>
          <w:color w:val="1F2937"/>
          <w:sz w:val="22"/>
          <w:szCs w:val="22"/>
        </w:rPr>
        <w:t xml:space="preserve">Risk awareness training sessions</w:t>
      </w:r>
    </w:p>
    <w:p>
      <w:pPr>
        <w:spacing w:after="0" w:before="320"/>
      </w:pPr>
    </w:p>
    <w:p>
      <w:pPr>
        <w:pBdr>
          <w:bottom w:val="single" w:color="CC2030" w:sz="6" w:space="1"/>
        </w:pBdr>
        <w:spacing w:after="200" w:before="200"/>
      </w:pPr>
    </w:p>
    <w:p>
      <w:pPr>
        <w:pStyle w:val="Heading1"/>
        <w:shd w:fill="CC2030" w:val="clear"/>
        <w:spacing w:after="240" w:before="0"/>
      </w:pPr>
      <w:r>
        <w:rPr>
          <w:rFonts w:ascii="Arial" w:cs="Arial" w:eastAsia="Arial" w:hAnsi="Arial"/>
          <w:b/>
          <w:bCs/>
          <w:color w:val="FFFFFF"/>
          <w:sz w:val="44"/>
          <w:szCs w:val="44"/>
        </w:rPr>
        <w:t xml:space="preserve">11.  Risk Aggregation</w:t>
      </w:r>
    </w:p>
    <w:p>
      <w:pPr>
        <w:spacing w:after="100" w:before="0"/>
        <w:jc w:val="left"/>
      </w:pPr>
      <w:r>
        <w:rPr>
          <w:rFonts w:ascii="Arial" w:cs="Arial" w:eastAsia="Arial" w:hAnsi="Arial"/>
          <w:b w:val="false"/>
          <w:bCs w:val="false"/>
          <w:i w:val="false"/>
          <w:iCs w:val="false"/>
          <w:color w:val="1F2937"/>
          <w:sz w:val="22"/>
          <w:szCs w:val="22"/>
        </w:rPr>
        <w:t xml:space="preserve">The annual risk report provides an aggregated view across:</w:t>
      </w:r>
    </w:p>
    <w:p>
      <w:pPr>
        <w:pStyle w:val="ListParagraph"/>
        <w:numPr>
          <w:ilvl w:val="0"/>
          <w:numId w:val="2"/>
        </w:numPr>
        <w:spacing w:after="40" w:before="40"/>
      </w:pPr>
      <w:r>
        <w:rPr>
          <w:rFonts w:ascii="Arial" w:cs="Arial" w:eastAsia="Arial" w:hAnsi="Arial"/>
          <w:color w:val="1F2937"/>
          <w:sz w:val="22"/>
          <w:szCs w:val="22"/>
        </w:rPr>
        <w:t xml:space="preserve">Business functions and risk domains</w:t>
      </w:r>
    </w:p>
    <w:p>
      <w:pPr>
        <w:pStyle w:val="ListParagraph"/>
        <w:numPr>
          <w:ilvl w:val="0"/>
          <w:numId w:val="2"/>
        </w:numPr>
        <w:spacing w:after="40" w:before="40"/>
      </w:pPr>
      <w:r>
        <w:rPr>
          <w:rFonts w:ascii="Arial" w:cs="Arial" w:eastAsia="Arial" w:hAnsi="Arial"/>
          <w:color w:val="1F2937"/>
          <w:sz w:val="22"/>
          <w:szCs w:val="22"/>
        </w:rPr>
        <w:t xml:space="preserve">Risk trends and volume over time</w:t>
      </w:r>
    </w:p>
    <w:p>
      <w:pPr>
        <w:pStyle w:val="ListParagraph"/>
        <w:numPr>
          <w:ilvl w:val="0"/>
          <w:numId w:val="2"/>
        </w:numPr>
        <w:spacing w:after="40" w:before="40"/>
      </w:pPr>
      <w:r>
        <w:rPr>
          <w:rFonts w:ascii="Arial" w:cs="Arial" w:eastAsia="Arial" w:hAnsi="Arial"/>
          <w:color w:val="1F2937"/>
          <w:sz w:val="22"/>
          <w:szCs w:val="22"/>
        </w:rPr>
        <w:t xml:space="preserve">Existing and emerging risks</w:t>
      </w:r>
    </w:p>
    <w:p>
      <w:pPr>
        <w:pStyle w:val="ListParagraph"/>
        <w:numPr>
          <w:ilvl w:val="0"/>
          <w:numId w:val="2"/>
        </w:numPr>
        <w:spacing w:after="40" w:before="40"/>
      </w:pPr>
      <w:r>
        <w:rPr>
          <w:rFonts w:ascii="Arial" w:cs="Arial" w:eastAsia="Arial" w:hAnsi="Arial"/>
          <w:color w:val="1F2937"/>
          <w:sz w:val="22"/>
          <w:szCs w:val="22"/>
        </w:rPr>
        <w:t xml:space="preserve">Mitigation strategies and treatment progress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CC2030" w:sz="24"/>
              <w:bottom w:val="single" w:color="F59E0B" w:sz="8"/>
              <w:right w:val="none" w:color="FFFFFF" w:sz="0"/>
            </w:tcBorders>
            <w:shd w:fill="FEF9C3" w:val="clear"/>
            <w:tcMar>
              <w:top w:type="dxa" w:w="100"/>
              <w:left w:type="dxa" w:w="160"/>
              <w:bottom w:type="dxa" w:w="100"/>
              <w:right w:type="dxa" w:w="160"/>
            </w:tcMar>
          </w:tcPr>
          <w:p>
            <w:r>
              <w:rPr>
                <w:rFonts w:ascii="Arial" w:cs="Arial" w:eastAsia="Arial" w:hAnsi="Arial"/>
                <w:b/>
                <w:bCs/>
                <w:color w:val="1F2937"/>
                <w:sz w:val="20"/>
                <w:szCs w:val="20"/>
              </w:rPr>
              <w:t xml:space="preserve">NOTE  </w:t>
            </w:r>
            <w:r>
              <w:rPr>
                <w:rFonts w:ascii="Arial" w:cs="Arial" w:eastAsia="Arial" w:hAnsi="Arial"/>
                <w:i/>
                <w:iCs/>
                <w:color w:val="4B5563"/>
                <w:sz w:val="20"/>
                <w:szCs w:val="20"/>
              </w:rPr>
              <w:t xml:space="preserve">Where a risk register tool supports it, portfolio-level querying should be made available continuously for teams requiring on-demand aggregation outside the annual cycle.</w:t>
            </w:r>
          </w:p>
        </w:tc>
      </w:tr>
    </w:tbl>
    <w:p>
      <w:r>
        <w:br w:type="page"/>
      </w:r>
    </w:p>
    <w:p>
      <w:pPr>
        <w:pStyle w:val="Heading1"/>
        <w:shd w:fill="CC2030" w:val="clear"/>
        <w:spacing w:after="240" w:before="0"/>
      </w:pPr>
      <w:r>
        <w:rPr>
          <w:rFonts w:ascii="Arial" w:cs="Arial" w:eastAsia="Arial" w:hAnsi="Arial"/>
          <w:b/>
          <w:bCs/>
          <w:color w:val="FFFFFF"/>
          <w:sz w:val="44"/>
          <w:szCs w:val="44"/>
        </w:rPr>
        <w:t xml:space="preserve">12.  Appendix</w:t>
      </w:r>
    </w:p>
    <w:p>
      <w:pPr>
        <w:pStyle w:val="Heading3"/>
        <w:spacing w:after="120" w:before="0"/>
      </w:pPr>
      <w:r>
        <w:rPr>
          <w:rFonts w:ascii="Arial" w:cs="Arial" w:eastAsia="Arial" w:hAnsi="Arial"/>
          <w:b/>
          <w:bCs/>
          <w:color w:val="1F2937"/>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696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potential for loss or damage when a threat exploits a vulnerability, considering both likelihood and impact</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Threat</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 circumstance or event with the potential to cause harm to operations, assets, or individuals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Issue</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 problem that may not be a vulnerability itself, but could lead to one</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Vulnerability</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 weakness or flaw in a system, application, or process that could be exploited</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Inherent Risk</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level of risk before any controls or mitigation measures are applied</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Residual Risk</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risk that remains after safeguards have been implemented</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Appetite</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amount and type of risk an organization is willing to pursue or retain</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Risk Tolerance</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The organization's readiness to bear risk after treatment in order to achieve its objectives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Control</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 measure that maintains and/or modifies risk</w:t>
            </w:r>
          </w:p>
        </w:tc>
      </w:tr>
      <w:tr>
        <w:tc>
          <w:tcPr>
            <w:tcW w:type="dxa" w:w="240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Treatment</w:t>
            </w:r>
          </w:p>
        </w:tc>
        <w:tc>
          <w:tcPr>
            <w:tcW w:type="dxa" w:w="6960"/>
            <w:gridSpan w:val="1"/>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Process to modify risk through selection and implementation of appropriate options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Asset</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An item, tangible or intangible, that if compromised would be damaging to the organization</w:t>
            </w:r>
          </w:p>
        </w:tc>
      </w:tr>
    </w:tbl>
    <w:p>
      <w:pPr>
        <w:spacing w:after="0" w:before="280"/>
      </w:pPr>
    </w:p>
    <w:p>
      <w:pPr>
        <w:pStyle w:val="Heading3"/>
        <w:spacing w:after="120" w:before="200"/>
      </w:pPr>
      <w:r>
        <w:rPr>
          <w:rFonts w:ascii="Arial" w:cs="Arial" w:eastAsia="Arial" w:hAnsi="Arial"/>
          <w:b/>
          <w:bCs/>
          <w:color w:val="1F2937"/>
          <w:sz w:val="26"/>
          <w:szCs w:val="26"/>
        </w:rPr>
        <w:t xml:space="preserve">References and Standards</w:t>
      </w:r>
    </w:p>
    <w:p>
      <w:pPr>
        <w:spacing w:after="80" w:before="0"/>
      </w:pPr>
      <w:r>
        <w:rPr>
          <w:rFonts w:ascii="Arial" w:cs="Arial" w:eastAsia="Arial" w:hAnsi="Arial"/>
          <w:b/>
          <w:bCs/>
          <w:color w:val="4B5563"/>
          <w:sz w:val="22"/>
          <w:szCs w:val="22"/>
        </w:rPr>
        <w:t xml:space="preserve">Core Standards</w:t>
      </w:r>
    </w:p>
    <w:p>
      <w:pPr>
        <w:pStyle w:val="ListParagraph"/>
        <w:numPr>
          <w:ilvl w:val="0"/>
          <w:numId w:val="2"/>
        </w:numPr>
        <w:spacing w:after="40" w:before="40"/>
      </w:pPr>
      <w:r>
        <w:rPr>
          <w:rFonts w:ascii="Arial" w:cs="Arial" w:eastAsia="Arial" w:hAnsi="Arial"/>
          <w:color w:val="1F2937"/>
          <w:sz w:val="22"/>
          <w:szCs w:val="22"/>
        </w:rPr>
        <w:t xml:space="preserve">ISO/IEC 31000:2018 – Risk management guidelines</w:t>
      </w:r>
    </w:p>
    <w:p>
      <w:pPr>
        <w:pStyle w:val="ListParagraph"/>
        <w:numPr>
          <w:ilvl w:val="0"/>
          <w:numId w:val="2"/>
        </w:numPr>
        <w:spacing w:after="40" w:before="40"/>
      </w:pPr>
      <w:r>
        <w:rPr>
          <w:rFonts w:ascii="Arial" w:cs="Arial" w:eastAsia="Arial" w:hAnsi="Arial"/>
          <w:color w:val="1F2937"/>
          <w:sz w:val="22"/>
          <w:szCs w:val="22"/>
        </w:rPr>
        <w:t xml:space="preserve">ISO/IEC 27005:2022 – Guidance on managing information security risks</w:t>
      </w:r>
    </w:p>
    <w:p>
      <w:pPr>
        <w:pStyle w:val="ListParagraph"/>
        <w:numPr>
          <w:ilvl w:val="0"/>
          <w:numId w:val="2"/>
        </w:numPr>
        <w:spacing w:after="40" w:before="40"/>
      </w:pPr>
      <w:r>
        <w:rPr>
          <w:rFonts w:ascii="Arial" w:cs="Arial" w:eastAsia="Arial" w:hAnsi="Arial"/>
          <w:color w:val="1F2937"/>
          <w:sz w:val="22"/>
          <w:szCs w:val="22"/>
        </w:rPr>
        <w:t xml:space="preserve">ISO/IEC 27001:2022 – Information security management systems requirements</w:t>
      </w:r>
    </w:p>
    <w:p>
      <w:pPr>
        <w:pStyle w:val="ListParagraph"/>
        <w:numPr>
          <w:ilvl w:val="0"/>
          <w:numId w:val="2"/>
        </w:numPr>
        <w:spacing w:after="40" w:before="40"/>
      </w:pPr>
      <w:r>
        <w:rPr>
          <w:rFonts w:ascii="Arial" w:cs="Arial" w:eastAsia="Arial" w:hAnsi="Arial"/>
          <w:color w:val="1F2937"/>
          <w:sz w:val="22"/>
          <w:szCs w:val="22"/>
        </w:rPr>
        <w:t xml:space="preserve">ISO/IEC 27002:2022 – Information security controls</w:t>
      </w:r>
    </w:p>
    <w:p>
      <w:pPr>
        <w:spacing w:after="80" w:before="120"/>
      </w:pPr>
      <w:r>
        <w:rPr>
          <w:rFonts w:ascii="Arial" w:cs="Arial" w:eastAsia="Arial" w:hAnsi="Arial"/>
          <w:b/>
          <w:bCs/>
          <w:color w:val="4B5563"/>
          <w:sz w:val="22"/>
          <w:szCs w:val="22"/>
        </w:rPr>
        <w:t xml:space="preserve">Additional Standards (as applicable)</w:t>
      </w:r>
    </w:p>
    <w:p>
      <w:pPr>
        <w:pStyle w:val="ListParagraph"/>
        <w:numPr>
          <w:ilvl w:val="0"/>
          <w:numId w:val="2"/>
        </w:numPr>
        <w:spacing w:after="40" w:before="40"/>
      </w:pPr>
      <w:r>
        <w:rPr>
          <w:rFonts w:ascii="Arial" w:cs="Arial" w:eastAsia="Arial" w:hAnsi="Arial"/>
          <w:color w:val="1F2937"/>
          <w:sz w:val="22"/>
          <w:szCs w:val="22"/>
        </w:rPr>
        <w:t xml:space="preserve">NIST SP 800-30 – Guide for conducting risk assessments</w:t>
      </w:r>
    </w:p>
    <w:p>
      <w:pPr>
        <w:pStyle w:val="ListParagraph"/>
        <w:numPr>
          <w:ilvl w:val="0"/>
          <w:numId w:val="2"/>
        </w:numPr>
        <w:spacing w:after="40" w:before="40"/>
      </w:pPr>
      <w:r>
        <w:rPr>
          <w:rFonts w:ascii="Arial" w:cs="Arial" w:eastAsia="Arial" w:hAnsi="Arial"/>
          <w:color w:val="1F2937"/>
          <w:sz w:val="22"/>
          <w:szCs w:val="22"/>
        </w:rPr>
        <w:t xml:space="preserve">NIST Cybersecurity Framework (CSF) 2.0</w:t>
      </w:r>
    </w:p>
    <w:p>
      <w:pPr>
        <w:pStyle w:val="ListParagraph"/>
        <w:numPr>
          <w:ilvl w:val="0"/>
          <w:numId w:val="2"/>
        </w:numPr>
        <w:spacing w:after="40" w:before="40"/>
      </w:pPr>
      <w:r>
        <w:rPr>
          <w:rFonts w:ascii="Arial" w:cs="Arial" w:eastAsia="Arial" w:hAnsi="Arial"/>
          <w:color w:val="1F2937"/>
          <w:sz w:val="22"/>
          <w:szCs w:val="22"/>
        </w:rPr>
        <w:t xml:space="preserve">PCI DSS 4.0</w:t>
      </w:r>
    </w:p>
    <w:p>
      <w:pPr>
        <w:pStyle w:val="ListParagraph"/>
        <w:numPr>
          <w:ilvl w:val="0"/>
          <w:numId w:val="2"/>
        </w:numPr>
        <w:spacing w:after="40" w:before="40"/>
      </w:pPr>
      <w:r>
        <w:rPr>
          <w:rFonts w:ascii="Arial" w:cs="Arial" w:eastAsia="Arial" w:hAnsi="Arial"/>
          <w:color w:val="1F2937"/>
          <w:sz w:val="22"/>
          <w:szCs w:val="22"/>
        </w:rPr>
        <w:t xml:space="preserve">SOC 2 Trust Services Criteria</w:t>
      </w:r>
    </w:p>
    <w:p>
      <w:pPr>
        <w:pStyle w:val="ListParagraph"/>
        <w:numPr>
          <w:ilvl w:val="0"/>
          <w:numId w:val="2"/>
        </w:numPr>
        <w:spacing w:after="40" w:before="40"/>
      </w:pPr>
      <w:r>
        <w:rPr>
          <w:rFonts w:ascii="Arial" w:cs="Arial" w:eastAsia="Arial" w:hAnsi="Arial"/>
          <w:color w:val="1F2937"/>
          <w:sz w:val="22"/>
          <w:szCs w:val="22"/>
        </w:rPr>
        <w:t xml:space="preserve">HIPAA Security Rule</w:t>
      </w:r>
    </w:p>
    <w:p>
      <w:pPr>
        <w:pStyle w:val="ListParagraph"/>
        <w:numPr>
          <w:ilvl w:val="0"/>
          <w:numId w:val="2"/>
        </w:numPr>
        <w:spacing w:after="40" w:before="40"/>
      </w:pPr>
      <w:r>
        <w:rPr>
          <w:rFonts w:ascii="Arial" w:cs="Arial" w:eastAsia="Arial" w:hAnsi="Arial"/>
          <w:color w:val="1F2937"/>
          <w:sz w:val="22"/>
          <w:szCs w:val="22"/>
        </w:rPr>
        <w:t xml:space="preserve">ISO 27017:2015 – Cloud services</w:t>
      </w:r>
    </w:p>
    <w:p>
      <w:pPr>
        <w:pStyle w:val="ListParagraph"/>
        <w:numPr>
          <w:ilvl w:val="0"/>
          <w:numId w:val="2"/>
        </w:numPr>
        <w:spacing w:after="40" w:before="40"/>
      </w:pPr>
      <w:r>
        <w:rPr>
          <w:rFonts w:ascii="Arial" w:cs="Arial" w:eastAsia="Arial" w:hAnsi="Arial"/>
          <w:color w:val="1F2937"/>
          <w:sz w:val="22"/>
          <w:szCs w:val="22"/>
        </w:rPr>
        <w:t xml:space="preserve">ISO 27018:2019 – PII in public clouds</w:t>
      </w:r>
    </w:p>
    <w:p>
      <w:pPr>
        <w:spacing w:after="0" w:before="280"/>
      </w:pPr>
    </w:p>
    <w:p>
      <w:pPr>
        <w:pStyle w:val="Heading3"/>
        <w:spacing w:after="120" w:before="200"/>
      </w:pPr>
      <w:r>
        <w:rPr>
          <w:rFonts w:ascii="Arial" w:cs="Arial" w:eastAsia="Arial" w:hAnsi="Arial"/>
          <w:b/>
          <w:bCs/>
          <w:color w:val="1F2937"/>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000"/>
        <w:gridCol w:w="3680"/>
      </w:tblGrid>
      <w:tr>
        <w:tc>
          <w:tcPr>
            <w:tcW w:type="dxa" w:w="1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20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00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3680"/>
            <w:gridSpan w:val="1"/>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168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v1.0</w:t>
            </w:r>
          </w:p>
        </w:tc>
        <w:tc>
          <w:tcPr>
            <w:tcW w:type="dxa" w:w="2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[Date]</w:t>
            </w:r>
          </w:p>
        </w:tc>
        <w:tc>
          <w:tcPr>
            <w:tcW w:type="dxa" w:w="20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[Author]</w:t>
            </w:r>
          </w:p>
        </w:tc>
        <w:tc>
          <w:tcPr>
            <w:tcW w:type="dxa" w:w="368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Initial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2030" w:sz="4" w:space="1"/>
      </w:pBdr>
      <w:tabs>
        <w:tab w:val="right" w:pos="9026"/>
      </w:tabs>
      <w:spacing w:after="0" w:before="80"/>
    </w:pPr>
    <w:r>
      <w:rPr>
        <w:rFonts w:ascii="Arial" w:cs="Arial" w:eastAsia="Arial" w:hAnsi="Arial"/>
        <w:color w:val="AAAAAA"/>
        <w:sz w:val="18"/>
        <w:szCs w:val="18"/>
      </w:rPr>
      <w:t xml:space="preserve">v1.0  |  Security Risk Team</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2030" w:sz="4" w:space="1"/>
      </w:pBdr>
      <w:spacing w:after="80" w:before="0"/>
    </w:pPr>
    <w:r>
      <w:rPr>
        <w:rFonts w:ascii="Arial" w:cs="Arial" w:eastAsia="Arial" w:hAnsi="Arial"/>
        <w:b/>
        <w:bCs/>
        <w:color w:val="4B5563"/>
        <w:sz w:val="18"/>
        <w:szCs w:val="18"/>
      </w:rPr>
      <w:t xml:space="preserve">Risk Management Framework</w:t>
    </w:r>
    <w:r>
      <w:rPr>
        <w:rFonts w:ascii="Arial" w:cs="Arial" w:eastAsia="Arial" w:hAnsi="Arial"/>
        <w:color w:val="AAAAAA"/>
        <w:sz w:val="18"/>
        <w:szCs w:val="18"/>
      </w:rPr>
      <w:t xml:space="preserve">   |   Security Risk Program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280"/>
      <w:outlineLvl w:val="1"/>
    </w:pPr>
    <w:rPr>
      <w:rFonts w:ascii="Arial" w:cs="Arial" w:eastAsia="Arial" w:hAnsi="Arial"/>
      <w:b/>
      <w:bCs/>
      <w:color w:val="FFFFFF"/>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2026-06-01T02:11:57.722Z</dcterms:created>
  <dcterms:modified xsi:type="dcterms:W3CDTF">2026-06-01T02:11:57.738Z</dcterms:modified>
</cp:coreProperties>
</file>

<file path=docProps/custom.xml><?xml version="1.0" encoding="utf-8"?>
<Properties xmlns="http://schemas.openxmlformats.org/officeDocument/2006/custom-properties" xmlns:vt="http://schemas.openxmlformats.org/officeDocument/2006/docPropsVTypes"/>
</file>