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1a2kihnvtsf" w:id="0"/>
      <w:bookmarkEnd w:id="0"/>
      <w:r w:rsidDel="00000000" w:rsidR="00000000" w:rsidRPr="00000000">
        <w:rPr>
          <w:rtl w:val="0"/>
        </w:rPr>
        <w:t xml:space="preserve">Data Pipeline Step </w:t>
      </w:r>
      <w:r w:rsidDel="00000000" w:rsidR="00000000" w:rsidRPr="00000000">
        <w:rPr>
          <w:rtl w:val="0"/>
        </w:rPr>
        <w:t xml:space="preserve">1. Define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ossible angles for proposal response: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region or country?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Conflict-affected WAEMU/UEMOA countries, particularly Burkina Faso, Mali, Niger, and northern Benin border regions affected by spillover insecurity and displacement dynamics.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hazard type?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Armed conflict, insecurity, forced displacement, school closures, and disruption of safe access to education due to escalating regional instability and population movements.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population or infrastructure gap?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Underserved rural and peri-urban communities; internally displaced populations; children in insecure border regions; schools affected by closures, occupation, destruction, or teacher shortages; weak educational continuity infrastructure in rapidly shifting conflict environments.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one sentence, what would your proposal argue?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open geospatial data, conflict-event monitoring, population analysis, and AI-assisted mapping tools to identify education access gaps, assess school vulnerability and displacement pressures, and support rapid, data-driven prioritization of education continuity interventions for vulnerable communities across conflict-affected WAEMU/UEMOA regions.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w9cxtsjwk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Angle 1 – Education Continuity Monitoring as the Backbone of Resilience in Conflict-Affected WAEMU/UEMOA Regions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y900edrwn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argument (refined)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regional, multi-layered education continuity monitoring and vulnerability intelligence system is the highest-impact investment because it enables prevention, protection, and response simultaneously – transforming fragmented reactions to conflict-related school disruption into a coordinated, data-driven education resilience system for vulnerable children and communities across conflict-affected WAEMU/UEMOA countries.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q7d47vbsw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the highest-leverage intervention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and insecurity in parts of Burkina Faso, Mali, Niger, and neighboring border regions are not only security crises – they are systemic disruptions to education access and long-term social stability.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disruption affects: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and peri-urban schools with weak infrastructure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Internally displaced children and host communities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Girls and vulnerable youth at heightened risk of exclusion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deployment and retention systems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trust and long-term economic resilience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population movement and strained social services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the current challenge is not simply a lack of humanitarian response capacity – it is a lack of timely, localized, and operationally actionable information that can help EBI and local authorities prioritize interventions consistently across regions.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fqb7591b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monitoring unlocks all three education continuity pillars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qin3s9c5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Prevention – informing risk-aware education planning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Conflict-event monitoring and geospatial analysis identify: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 near escalating insecurity hotspots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 where displacement pressures may overwhelm education infrastructure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 where child population density is increasing despite declining school access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analysis supports: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Proactive contingency planning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school placement and rehabilitation prioritization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 for at-risk districts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coordination with local education authorities and humanitarian actors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qob9rfvyq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Protection – optimizing intervention allocation before disruption escalates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Vulnerability mapping enables: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support for schools serving displaced populations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 of temporary learning spaces and mobile education services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infrastructure and staffing gaps in high-risk zones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 deployment of teaching materials and psychosocial support resources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could also support: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Anticipatory education response triggers tied to conflict escalation indicators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coordination between education, protection, and humanitarian sectors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equitable prioritization decisions across regions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7n7y2ha2q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Response – enabling rapid education continuity interventions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 real-time monitoring enables: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identification of school closures or access disruptions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targeting of emergency education support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of displacement-related education needs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visualization of affected communities for operational teams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supports: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Coordination of temporary learning infrastructure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and community-based education deployment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learning and connectivity interventions where feasible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of reopening and recovery progress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5s1bsrtgb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this concrete and scalable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“large centralized platform first” approach – it is modular and deployable incrementally.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gbcncykdb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small, prove operational value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in selected high-risk districts across: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Burkina Faso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Niger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Northern Benin border regions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conflict-event datasets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school-location data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and displacement estimates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dashboards and geospatial tools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iy2c3n5iy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capabilities over time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capabilities include: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school vulnerability scoring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Displacement trend overlays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and route-risk analysis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Early-warning indicators for probable education disruption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humanitarian coordination systems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w8matzkd1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regionally through partnerships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partners may include: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Ministries of Education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humanitarian coordination actors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 operators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UNICEF and Education Cluster partners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NGOs and community networks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npftgngor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funding disconnected interventions – school rehabilitation, emergency learning kits, temporary classrooms, or localized assessments – this approach multiplies the effectiveness of all of them by ensuring interventions are: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Adaptable across changing conflict dynamics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transforms education response from reactive crisis management into a predictive and operationally informed resilience system.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sm453o45gqvj" w:id="13"/>
      <w:bookmarkEnd w:id="13"/>
      <w:r w:rsidDel="00000000" w:rsidR="00000000" w:rsidRPr="00000000">
        <w:rPr>
          <w:sz w:val="46"/>
          <w:szCs w:val="46"/>
          <w:rtl w:val="0"/>
        </w:rPr>
        <w:t xml:space="preserve">Bottom line across both angles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is not just a technical layer – it is a force multiplier for education resilience.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one intervention that: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operational decision-making before, during, and after crises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education, humanitarian coordination, displacement analysis, and community resilience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EBI complement field expertise with data-driven prioritization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start with lightweight open-data tools and scale into a regional resilience architecture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implemented effectively, it transforms recurring education disruption in conflict-affected WAEMU/UEMOA regions into a more anticipatory, coordinated, and adaptive system for protecting learning continuity and vulnerable communities.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