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100"/>
        <w:ind w:left="720" w:hanging="359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Would you use a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for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 loop or a 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while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 loop if you were creating an application to print the odd numbers from 1 to 1000? Explain why.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I would use a for loop, as I find it more structured for most counting repetition tasks. In this case, I would do: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for (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int i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= -1; (i += 2) &lt; 1000;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 System.out.println(i)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I find code that is more concise without overly obfuscated tactics to be more readable. I also generally prefer one line solutions to these e kinds of problems. I see code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like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this a lot in C++, where one might use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for (std::string line; std::getline(file, line);) {</w:t>
        <w:br w:type="textWrapping"/>
        <w:t xml:space="preserve">    //process 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2. Create a variable trace form for the following code segment, tracing the values from myNum and mySum as well as any output.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int myNum = 11;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int mySum = 0;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while (myNum &gt;= 0)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myNum--;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mySum += myNum * 5;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System.out.println ("myNum: " + myNum);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System.out.println ("mySum: " + mySum);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ab/>
      </w:r>
      <w:r w:rsidRPr="00000000" w:rsidR="00000000" w:rsidDel="00000000">
        <w:rPr>
          <w:rtl w:val="0"/>
        </w:rPr>
      </w:r>
    </w:p>
    <w:tbl>
      <w:tblGrid>
        <w:gridCol w:w="4680"/>
        <w:gridCol w:w="4680"/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Trace Table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Output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                                                            myNum: -1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220"/>
        </w:tabs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mySum: 270</w:t>
      </w: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myNum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mySum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50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95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135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170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225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245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260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270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275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275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-1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4"/>
                <w:rtl w:val="0"/>
              </w:rPr>
              <w:t xml:space="preserve">270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9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41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3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U1A5A1_ChrisDeVisser.docx</dc:title>
</cp:coreProperties>
</file>