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single" w:color="138A36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9144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30"/>
                <w:szCs w:val="30"/>
              </w:rPr>
              <w:t xml:space="preserve">Questions for the World Bank Group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APIF–WBG JCAP meeting with pension fund leadership  |  October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NSSF Risk Management  |  STRICTLY CONFIDENTIAL</w:t>
            </w:r>
          </w:p>
        </w:tc>
      </w:tr>
    </w:tbl>
    <w:p>
      <w:pPr>
        <w:spacing w:after="60"/>
      </w:pPr>
    </w:p>
    <w:p>
      <w:pPr>
        <w:keepNext/>
        <w:pBdr>
          <w:bottom w:val="single" w:color="138A36" w:sz="6" w:space="2"/>
        </w:pBdr>
        <w:spacing w:after="50" w:before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Where APIF stands</w:t>
      </w:r>
    </w:p>
    <w:p>
      <w:pPr>
        <w:spacing w:after="60" w:line="240"/>
      </w:pPr>
      <w:r>
        <w:rPr>
          <w:rFonts w:ascii="Arial" w:cs="Arial" w:eastAsia="Arial" w:hAnsi="Arial"/>
          <w:sz w:val="17"/>
          <w:szCs w:val="17"/>
        </w:rPr>
        <w:t xml:space="preserve">AIIM (equity) and Ninety One (debt) are shortlisted;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no manager is approved and no member is committed</w:t>
      </w:r>
      <w:r>
        <w:rPr>
          <w:rFonts w:ascii="Arial" w:cs="Arial" w:eastAsia="Arial" w:hAnsi="Arial"/>
          <w:sz w:val="17"/>
          <w:szCs w:val="17"/>
        </w:rPr>
        <w:t xml:space="preserve">. Key dates: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30 Oct</w:t>
      </w:r>
      <w:r>
        <w:rPr>
          <w:rFonts w:ascii="Arial" w:cs="Arial" w:eastAsia="Arial" w:hAnsi="Arial"/>
          <w:sz w:val="17"/>
          <w:szCs w:val="17"/>
        </w:rPr>
        <w:t xml:space="preserve"> due diligence pass/fail  • 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30 Nov</w:t>
      </w:r>
      <w:r>
        <w:rPr>
          <w:rFonts w:ascii="Arial" w:cs="Arial" w:eastAsia="Arial" w:hAnsi="Arial"/>
          <w:sz w:val="17"/>
          <w:szCs w:val="17"/>
        </w:rPr>
        <w:t xml:space="preserve"> national approvals  • 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30 Dec</w:t>
      </w:r>
      <w:r>
        <w:rPr>
          <w:rFonts w:ascii="Arial" w:cs="Arial" w:eastAsia="Arial" w:hAnsi="Arial"/>
          <w:sz w:val="17"/>
          <w:szCs w:val="17"/>
        </w:rPr>
        <w:t xml:space="preserve"> Investment Management Agreement  • 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31 Mar 2027</w:t>
      </w:r>
      <w:r>
        <w:rPr>
          <w:rFonts w:ascii="Arial" w:cs="Arial" w:eastAsia="Arial" w:hAnsi="Arial"/>
          <w:sz w:val="17"/>
          <w:szCs w:val="17"/>
        </w:rPr>
        <w:t xml:space="preserve"> USD 600m first close.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Main tension:</w:t>
      </w:r>
      <w:r>
        <w:rPr>
          <w:rFonts w:ascii="Arial" w:cs="Arial" w:eastAsia="Arial" w:hAnsi="Arial"/>
          <w:sz w:val="17"/>
          <w:szCs w:val="17"/>
        </w:rPr>
        <w:t xml:space="preserve"> the deck’s 100-day diligence plan cannot finish before the 30 October gate.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Gaps in the deck:</w:t>
      </w:r>
      <w:r>
        <w:rPr>
          <w:rFonts w:ascii="Arial" w:cs="Arial" w:eastAsia="Arial" w:hAnsi="Arial"/>
          <w:sz w:val="17"/>
          <w:szCs w:val="17"/>
        </w:rPr>
        <w:t xml:space="preserve"> currency risk, RBA treatment, WBG’s own capital, and who pays for the PCV and diligence.</w:t>
      </w:r>
    </w:p>
    <w:p>
      <w:pPr>
        <w:keepNext/>
        <w:pBdr>
          <w:bottom w:val="single" w:color="138A36" w:sz="6" w:space="2"/>
        </w:pBdr>
        <w:spacing w:after="50" w:before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Priority 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"/>
        <w:gridCol w:w="5976"/>
        <w:gridCol w:w="3276"/>
      </w:tblGrid>
      <w:tr>
        <w:trPr>
          <w:tblHeader/>
        </w:trPr>
        <w:tc>
          <w:tcPr>
            <w:tcW w:type="dxa" w:w="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it matters to NSSF</w:t>
            </w:r>
          </w:p>
        </w:tc>
      </w:tr>
      <w:tr>
        <w:trPr>
          <w:cantSplit/>
        </w:trPr>
        <w:tc>
          <w:tcPr>
            <w:tcW w:type="dxa" w:w="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Gate scope: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What does the 30 Oct "due diligence test" decide? Which workstreams will be complete and which carry over to the IMA?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pass on partial diligence must not be read as full clearance.</w:t>
            </w:r>
          </w:p>
        </w:tc>
      </w:tr>
      <w:tr>
        <w:trPr>
          <w:cantSplit/>
        </w:trPr>
        <w:tc>
          <w:tcPr>
            <w:tcW w:type="dxa" w:w="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WBG capital: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Will IFC, MIGA or the WB commit capital, first-loss, guarantees or hedging? How much, and at which close?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DFI anchor improves terms; its absence is a signal.</w:t>
            </w:r>
          </w:p>
        </w:tc>
      </w:tr>
      <w:tr>
        <w:trPr>
          <w:cantSplit/>
        </w:trPr>
        <w:tc>
          <w:tcPr>
            <w:tcW w:type="dxa" w:w="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Currency: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What hedging or KES options exist, and what does a 30% KES fall do to the net return?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NSSF liabilities are in KES; the fund is in USD.</w:t>
            </w:r>
          </w:p>
        </w:tc>
      </w:tr>
      <w:tr>
        <w:trPr>
          <w:cantSplit/>
        </w:trPr>
        <w:tc>
          <w:tcPr>
            <w:tcW w:type="dxa" w:w="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 treatment: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Has RBA confirmed how a Mauritius- or EADB-domiciled fund counts against NSSF’s investment limits?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Wrong classification risks breaching RBA limits.</w:t>
            </w:r>
          </w:p>
        </w:tc>
      </w:tr>
      <w:tr>
        <w:trPr>
          <w:cantSplit/>
        </w:trPr>
        <w:tc>
          <w:tcPr>
            <w:tcW w:type="dxa" w:w="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Approvals: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Which NSSF approvals (Board, National Treasury, RBA) does the Kenya action plan list, and can they be met by 30 Nov on draft terms?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Approving draft terms creates re-approval risk.</w:t>
            </w:r>
          </w:p>
        </w:tc>
      </w:tr>
      <w:tr>
        <w:trPr>
          <w:cantSplit/>
        </w:trPr>
        <w:tc>
          <w:tcPr>
            <w:tcW w:type="dxa" w:w="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Ticket and fallback: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What commitment does USD 600m assume per member, and what happens if it is missed: smaller close, extension or abort?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Exposure to a sub-scale fund and sunk costs.</w:t>
            </w:r>
          </w:p>
        </w:tc>
      </w:tr>
      <w:tr>
        <w:trPr>
          <w:cantSplit/>
        </w:trPr>
        <w:tc>
          <w:tcPr>
            <w:tcW w:type="dxa" w:w="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PCV: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What is its budget, funding, staffing and cost share? Does any liability reach NSSF’s trustees?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Fiduciary duty stays with the NSSF Board.</w:t>
            </w:r>
          </w:p>
        </w:tc>
      </w:tr>
      <w:tr>
        <w:trPr>
          <w:cantSplit/>
        </w:trPr>
        <w:tc>
          <w:tcPr>
            <w:tcW w:type="dxa" w:w="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cost: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What is the all-in yearly cost (fees, carry, PCV, expenses, hedging) as % of committed and invested capital?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One number for the Investment Committee.</w:t>
            </w:r>
          </w:p>
        </w:tc>
      </w:tr>
      <w:tr>
        <w:trPr>
          <w:cantSplit/>
        </w:trPr>
        <w:tc>
          <w:tcPr>
            <w:tcW w:type="dxa" w:w="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Terms: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Can members see each manager’s term sheet (fees, hurdle, carry basis, GP commitment, escrow) against the ILPA checklist?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Cannot test terms without seeing them.</w:t>
            </w:r>
          </w:p>
        </w:tc>
      </w:tr>
      <w:tr>
        <w:trPr>
          <w:cantSplit/>
        </w:trPr>
        <w:tc>
          <w:tcPr>
            <w:tcW w:type="dxa" w:w="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Risk evidence: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Will the WBG share base, downside and stress scenarios (FX, construction delay, asset default) and the capital-call schedule?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Quantified downside and liquidity planning.</w:t>
            </w:r>
          </w:p>
        </w:tc>
      </w:tr>
      <w:tr>
        <w:trPr>
          <w:cantSplit/>
        </w:trPr>
        <w:tc>
          <w:tcPr>
            <w:tcW w:type="dxa" w:w="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Conflicts: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What ties do IFC or the WBG have with AIIM, Ninety One or the pipeline assets, and how are they disclosed?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WBG advises members and may invest alongside.</w:t>
            </w:r>
          </w:p>
        </w:tc>
      </w:tr>
      <w:tr>
        <w:trPr>
          <w:cantSplit/>
        </w:trPr>
        <w:tc>
          <w:tcPr>
            <w:tcW w:type="dxa" w:w="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Pipeline: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What share is greenfield vs operating, by country and sector, and what concentration limits apply?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Early binary losses on single greenfield assets.</w:t>
            </w:r>
          </w:p>
        </w:tc>
      </w:tr>
    </w:tbl>
    <w:p>
      <w:pPr>
        <w:keepNext/>
        <w:pBdr>
          <w:bottom w:val="single" w:color="138A36" w:sz="6" w:space="2"/>
        </w:pBdr>
        <w:spacing w:after="50" w:before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Support to request from the WBG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928"/>
      </w:tblGrid>
      <w:tr>
        <w:trPr>
          <w:tblHeader/>
        </w:trPr>
        <w:tc>
          <w:tcPr>
            <w:tcW w:type="dxa" w:w="7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Request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Needed by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Funding for independent Kenyan legal and tax counsel for NSSF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 Nov 2026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Scenario and liquidity model per USD 10m committed, in KES and USD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 Nov 2026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Joint JCAP–NSSF engagement with RBA on regulatory treatment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Nov 2026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One Investment Committee paper template for all nine members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Nov 2026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Indicative IFC and currency-hedging term sheets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 Dec 2026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Independent market study and staff secondment programme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Q1 2027</w:t>
            </w:r>
          </w:p>
        </w:tc>
      </w:tr>
    </w:tbl>
    <w:p>
      <w:pPr>
        <w:keepNext/>
        <w:pBdr>
          <w:bottom w:val="single" w:color="138A36" w:sz="6" w:space="2"/>
        </w:pBdr>
        <w:spacing w:after="50" w:before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Closing ask and next step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Closing ask:</w:t>
      </w:r>
      <w:r>
        <w:rPr>
          <w:rFonts w:ascii="Arial" w:cs="Arial" w:eastAsia="Arial" w:hAnsi="Arial"/>
          <w:sz w:val="17"/>
          <w:szCs w:val="17"/>
        </w:rPr>
        <w:t xml:space="preserve"> "Which of these answers can you give us in writing before 30 October, and which before 30 December?"</w:t>
      </w:r>
    </w:p>
    <w:p>
      <w:pPr>
        <w:spacing w:after="0" w:line="24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Next step:</w:t>
      </w:r>
      <w:r>
        <w:rPr>
          <w:rFonts w:ascii="Arial" w:cs="Arial" w:eastAsia="Arial" w:hAnsi="Arial"/>
          <w:sz w:val="17"/>
          <w:szCs w:val="17"/>
        </w:rPr>
        <w:t xml:space="preserve"> Investments to send the questions in writing within 2 working days; Risk Management to track answers in a findings log and update the risk assessment before the Board IC.</w:t>
      </w:r>
    </w:p>
    <w:sectPr>
      <w:pgSz w:w="11906" w:h="16838" w:orient="portrait"/>
      <w:pgMar w:top="680" w:right="1134" w:bottom="56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4d182b938cc3abd57b312bffe92d48fd584b47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APIF–WBG: Questions for the World Bank Group (one page)</dc:title>
  <dc:creator>NSSF Risk Management</dc:creator>
  <cp:lastModifiedBy>Un-named</cp:lastModifiedBy>
  <cp:revision>1</cp:revision>
  <dcterms:created xsi:type="dcterms:W3CDTF">2026-10-21T10:26:22.307Z</dcterms:created>
  <dcterms:modified xsi:type="dcterms:W3CDTF">2026-10-21T10:26:22.308Z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