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B5E20"/>
          <w:sz w:val="30"/>
        </w:rPr>
        <w:t>NATIONAL SOCIAL SECURITY FUND (NSSF) KENYA</w:t>
      </w:r>
    </w:p>
    <w:p>
      <w:pPr>
        <w:jc w:val="center"/>
      </w:pPr>
      <w:r>
        <w:rPr>
          <w:b/>
          <w:i w:val="0"/>
          <w:color w:val="1A5276"/>
          <w:sz w:val="24"/>
        </w:rPr>
        <w:t>RISK MANAGEMENT DEPARTMENT</w:t>
      </w:r>
    </w:p>
    <w:p/>
    <w:p>
      <w:pPr>
        <w:jc w:val="center"/>
      </w:pPr>
      <w:r>
        <w:rPr>
          <w:b/>
          <w:i w:val="0"/>
          <w:color w:val="1A5276"/>
          <w:sz w:val="44"/>
        </w:rPr>
        <w:t>TERMS OF REFERENCE</w:t>
      </w:r>
    </w:p>
    <w:p>
      <w:pPr>
        <w:jc w:val="center"/>
      </w:pPr>
      <w:r>
        <w:rPr>
          <w:i w:val="0"/>
          <w:sz w:val="26"/>
        </w:rPr>
        <w:t>Enterprise Risk, Business Continuity and Compliance Risk Management System (Risk Management Module)</w:t>
      </w:r>
    </w:p>
    <w:p/>
    <w:p>
      <w:pPr>
        <w:jc w:val="center"/>
      </w:pPr>
      <w:r>
        <w:rPr>
          <w:i/>
          <w:sz w:val="20"/>
        </w:rPr>
        <w:t>Covering: Risk Assessment (RCSA) | Business Continuity Management (BIA, BCP/DRP, Exercising) | Compliance Risk Management | Incidents &amp; Loss Events | Key Risk Indicators | Action Tracking | Board &amp; Management Reporting</w:t>
      </w:r>
    </w:p>
    <w:p/>
    <w:p/>
    <w:p/>
    <w:p/>
    <w:p/>
    <w:p/>
    <w:p>
      <w:pPr>
        <w:jc w:val="center"/>
      </w:pPr>
      <w:r>
        <w:rPr>
          <w:i w:val="0"/>
          <w:sz w:val="19"/>
        </w:rPr>
        <w:t>Reference: NSSF/RM/TOR/26/27/01   |   Version 0.1 (Draft for review)   |   October 2026</w:t>
      </w:r>
    </w:p>
    <w:p>
      <w:pPr>
        <w:jc w:val="center"/>
      </w:pPr>
      <w:r>
        <w:rPr>
          <w:b/>
          <w:i w:val="0"/>
          <w:color w:val="1B5E20"/>
          <w:sz w:val="19"/>
        </w:rPr>
        <w:t>STRICTLY CONFIDENTIAL</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551"/>
        <w:gridCol w:w="6860"/>
      </w:tblGrid>
      <w:tr>
        <w:trPr>
          <w:tblHeader w:val="true"/>
        </w:trPr>
        <w:tc>
          <w:tcPr>
            <w:tcW w:type="dxa" w:w="2551"/>
            <w:shd w:val="clear" w:color="auto" w:fill="1A5276"/>
          </w:tcPr>
          <w:p>
            <w:r/>
            <w:r>
              <w:rPr>
                <w:b/>
                <w:color w:val="FFFFFF"/>
                <w:sz w:val="18"/>
              </w:rPr>
              <w:t>Item</w:t>
            </w:r>
          </w:p>
        </w:tc>
        <w:tc>
          <w:tcPr>
            <w:tcW w:type="dxa" w:w="6860"/>
            <w:shd w:val="clear" w:color="auto" w:fill="1A5276"/>
          </w:tcPr>
          <w:p>
            <w:r/>
            <w:r>
              <w:rPr>
                <w:b/>
                <w:color w:val="FFFFFF"/>
                <w:sz w:val="18"/>
              </w:rPr>
              <w:t>Detail</w:t>
            </w:r>
          </w:p>
        </w:tc>
      </w:tr>
      <w:tr>
        <w:tc>
          <w:tcPr>
            <w:tcW w:type="dxa" w:w="2551"/>
          </w:tcPr>
          <w:p>
            <w:pPr>
              <w:spacing w:after="20"/>
            </w:pPr>
            <w:r/>
            <w:r>
              <w:rPr>
                <w:b w:val="0"/>
                <w:sz w:val="18"/>
              </w:rPr>
              <w:t>Document title</w:t>
            </w:r>
          </w:p>
        </w:tc>
        <w:tc>
          <w:tcPr>
            <w:tcW w:type="dxa" w:w="6860"/>
          </w:tcPr>
          <w:p>
            <w:pPr>
              <w:spacing w:after="20"/>
            </w:pPr>
            <w:r/>
            <w:r>
              <w:rPr>
                <w:b w:val="0"/>
                <w:sz w:val="18"/>
              </w:rPr>
              <w:t>Terms of Reference: Enterprise Risk, Business Continuity and Compliance Risk Management System</w:t>
            </w:r>
          </w:p>
        </w:tc>
      </w:tr>
      <w:tr>
        <w:tc>
          <w:tcPr>
            <w:tcW w:type="dxa" w:w="2551"/>
            <w:shd w:val="clear" w:color="auto" w:fill="EBF5FB"/>
          </w:tcPr>
          <w:p>
            <w:pPr>
              <w:spacing w:after="20"/>
            </w:pPr>
            <w:r/>
            <w:r>
              <w:rPr>
                <w:b w:val="0"/>
                <w:sz w:val="18"/>
              </w:rPr>
              <w:t>Owner</w:t>
            </w:r>
          </w:p>
        </w:tc>
        <w:tc>
          <w:tcPr>
            <w:tcW w:type="dxa" w:w="6860"/>
            <w:shd w:val="clear" w:color="auto" w:fill="EBF5FB"/>
          </w:tcPr>
          <w:p>
            <w:pPr>
              <w:spacing w:after="20"/>
            </w:pPr>
            <w:r/>
            <w:r>
              <w:rPr>
                <w:b w:val="0"/>
                <w:sz w:val="18"/>
              </w:rPr>
              <w:t>Manager, Risk Management</w:t>
            </w:r>
          </w:p>
        </w:tc>
      </w:tr>
      <w:tr>
        <w:tc>
          <w:tcPr>
            <w:tcW w:type="dxa" w:w="2551"/>
          </w:tcPr>
          <w:p>
            <w:pPr>
              <w:spacing w:after="20"/>
            </w:pPr>
            <w:r/>
            <w:r>
              <w:rPr>
                <w:b w:val="0"/>
                <w:sz w:val="18"/>
              </w:rPr>
              <w:t>Prepared by</w:t>
            </w:r>
          </w:p>
        </w:tc>
        <w:tc>
          <w:tcPr>
            <w:tcW w:type="dxa" w:w="6860"/>
          </w:tcPr>
          <w:p>
            <w:pPr>
              <w:spacing w:after="20"/>
            </w:pPr>
            <w:r/>
            <w:r>
              <w:rPr>
                <w:b w:val="0"/>
                <w:sz w:val="18"/>
              </w:rPr>
              <w:t>Risk Management Department</w:t>
            </w:r>
          </w:p>
        </w:tc>
      </w:tr>
      <w:tr>
        <w:tc>
          <w:tcPr>
            <w:tcW w:type="dxa" w:w="2551"/>
            <w:shd w:val="clear" w:color="auto" w:fill="EBF5FB"/>
          </w:tcPr>
          <w:p>
            <w:pPr>
              <w:spacing w:after="20"/>
            </w:pPr>
            <w:r/>
            <w:r>
              <w:rPr>
                <w:b w:val="0"/>
                <w:sz w:val="18"/>
              </w:rPr>
              <w:t>Reviewed by</w:t>
            </w:r>
          </w:p>
        </w:tc>
        <w:tc>
          <w:tcPr>
            <w:tcW w:type="dxa" w:w="6860"/>
            <w:shd w:val="clear" w:color="auto" w:fill="EBF5FB"/>
          </w:tcPr>
          <w:p>
            <w:pPr>
              <w:spacing w:after="20"/>
            </w:pPr>
            <w:r/>
            <w:r>
              <w:rPr>
                <w:b w:val="0"/>
                <w:sz w:val="18"/>
              </w:rPr>
              <w:t>ICT Department; Internal Audit (advisory, independence preserved); Supply Chain Management; Legal Services</w:t>
            </w:r>
          </w:p>
        </w:tc>
      </w:tr>
      <w:tr>
        <w:tc>
          <w:tcPr>
            <w:tcW w:type="dxa" w:w="2551"/>
          </w:tcPr>
          <w:p>
            <w:pPr>
              <w:spacing w:after="20"/>
            </w:pPr>
            <w:r/>
            <w:r>
              <w:rPr>
                <w:b w:val="0"/>
                <w:sz w:val="18"/>
              </w:rPr>
              <w:t>Approved by</w:t>
            </w:r>
          </w:p>
        </w:tc>
        <w:tc>
          <w:tcPr>
            <w:tcW w:type="dxa" w:w="6860"/>
          </w:tcPr>
          <w:p>
            <w:pPr>
              <w:spacing w:after="20"/>
            </w:pPr>
            <w:r/>
            <w:r>
              <w:rPr>
                <w:b w:val="0"/>
                <w:sz w:val="18"/>
              </w:rPr>
              <w:t>Managing Trustee/CEO, on recommendation of Senior Management</w:t>
            </w:r>
          </w:p>
        </w:tc>
      </w:tr>
      <w:tr>
        <w:tc>
          <w:tcPr>
            <w:tcW w:type="dxa" w:w="2551"/>
            <w:shd w:val="clear" w:color="auto" w:fill="EBF5FB"/>
          </w:tcPr>
          <w:p>
            <w:pPr>
              <w:spacing w:after="20"/>
            </w:pPr>
            <w:r/>
            <w:r>
              <w:rPr>
                <w:b w:val="0"/>
                <w:sz w:val="18"/>
              </w:rPr>
              <w:t>Parent framework</w:t>
            </w:r>
          </w:p>
        </w:tc>
        <w:tc>
          <w:tcPr>
            <w:tcW w:type="dxa" w:w="6860"/>
            <w:shd w:val="clear" w:color="auto" w:fill="EBF5FB"/>
          </w:tcPr>
          <w:p>
            <w:pPr>
              <w:spacing w:after="20"/>
            </w:pPr>
            <w:r/>
            <w:r>
              <w:rPr>
                <w:b w:val="0"/>
                <w:sz w:val="18"/>
              </w:rPr>
              <w:t>NSSF Enterprise Risk Management Framework, NSSF/ERM/PD/03, Issue 02 (16 May 2025)</w:t>
            </w:r>
          </w:p>
        </w:tc>
      </w:tr>
      <w:tr>
        <w:tc>
          <w:tcPr>
            <w:tcW w:type="dxa" w:w="2551"/>
          </w:tcPr>
          <w:p>
            <w:pPr>
              <w:spacing w:after="20"/>
            </w:pPr>
            <w:r/>
            <w:r>
              <w:rPr>
                <w:b w:val="0"/>
                <w:sz w:val="18"/>
              </w:rPr>
              <w:t>Related TORs</w:t>
            </w:r>
          </w:p>
        </w:tc>
        <w:tc>
          <w:tcPr>
            <w:tcW w:type="dxa" w:w="6860"/>
          </w:tcPr>
          <w:p>
            <w:pPr>
              <w:spacing w:after="20"/>
            </w:pPr>
            <w:r/>
            <w:r>
              <w:rPr>
                <w:b w:val="0"/>
                <w:sz w:val="18"/>
              </w:rPr>
              <w:t>Integrated system TOR: Module 11, Governance, Risk &amp; Compliance (GRC) Module; Audit &amp; Risk System TOR</w:t>
            </w:r>
          </w:p>
        </w:tc>
      </w:tr>
      <w:tr>
        <w:tc>
          <w:tcPr>
            <w:tcW w:type="dxa" w:w="2551"/>
            <w:shd w:val="clear" w:color="auto" w:fill="EBF5FB"/>
          </w:tcPr>
          <w:p>
            <w:pPr>
              <w:spacing w:after="20"/>
            </w:pPr>
            <w:r/>
            <w:r>
              <w:rPr>
                <w:b w:val="0"/>
                <w:sz w:val="18"/>
              </w:rPr>
              <w:t>Status</w:t>
            </w:r>
          </w:p>
        </w:tc>
        <w:tc>
          <w:tcPr>
            <w:tcW w:type="dxa" w:w="6860"/>
            <w:shd w:val="clear" w:color="auto" w:fill="EBF5FB"/>
          </w:tcPr>
          <w:p>
            <w:pPr>
              <w:spacing w:after="20"/>
            </w:pPr>
            <w:r/>
            <w:r>
              <w:rPr>
                <w:b w:val="0"/>
                <w:sz w:val="18"/>
              </w:rPr>
              <w:t>Draft v0.1 for internal review</w:t>
            </w:r>
          </w:p>
        </w:tc>
      </w:tr>
    </w:tbl>
    <w:p>
      <w:pPr>
        <w:spacing w:after="40"/>
      </w:pPr>
    </w:p>
    <w:tbl>
      <w:tblPr>
        <w:tblStyle w:val="TableGrid"/>
        <w:tblW w:type="auto" w:w="0"/>
        <w:jc w:val="center"/>
        <w:tblLayout w:type="fixed"/>
        <w:tblLook w:firstColumn="1" w:firstRow="1" w:lastColumn="0" w:lastRow="0" w:noHBand="0" w:noVBand="1" w:val="04A0"/>
      </w:tblPr>
      <w:tblGrid>
        <w:gridCol w:w="1134"/>
        <w:gridCol w:w="1417"/>
        <w:gridCol w:w="2551"/>
        <w:gridCol w:w="4309"/>
      </w:tblGrid>
      <w:tr>
        <w:trPr>
          <w:tblHeader w:val="true"/>
        </w:trPr>
        <w:tc>
          <w:tcPr>
            <w:tcW w:type="dxa" w:w="1134"/>
            <w:shd w:val="clear" w:color="auto" w:fill="1A5276"/>
          </w:tcPr>
          <w:p>
            <w:r/>
            <w:r>
              <w:rPr>
                <w:b/>
                <w:color w:val="FFFFFF"/>
                <w:sz w:val="18"/>
              </w:rPr>
              <w:t>Version</w:t>
            </w:r>
          </w:p>
        </w:tc>
        <w:tc>
          <w:tcPr>
            <w:tcW w:type="dxa" w:w="1417"/>
            <w:shd w:val="clear" w:color="auto" w:fill="1A5276"/>
          </w:tcPr>
          <w:p>
            <w:r/>
            <w:r>
              <w:rPr>
                <w:b/>
                <w:color w:val="FFFFFF"/>
                <w:sz w:val="18"/>
              </w:rPr>
              <w:t>Date</w:t>
            </w:r>
          </w:p>
        </w:tc>
        <w:tc>
          <w:tcPr>
            <w:tcW w:type="dxa" w:w="2551"/>
            <w:shd w:val="clear" w:color="auto" w:fill="1A5276"/>
          </w:tcPr>
          <w:p>
            <w:r/>
            <w:r>
              <w:rPr>
                <w:b/>
                <w:color w:val="FFFFFF"/>
                <w:sz w:val="18"/>
              </w:rPr>
              <w:t>Author</w:t>
            </w:r>
          </w:p>
        </w:tc>
        <w:tc>
          <w:tcPr>
            <w:tcW w:type="dxa" w:w="4309"/>
            <w:shd w:val="clear" w:color="auto" w:fill="1A5276"/>
          </w:tcPr>
          <w:p>
            <w:r/>
            <w:r>
              <w:rPr>
                <w:b/>
                <w:color w:val="FFFFFF"/>
                <w:sz w:val="18"/>
              </w:rPr>
              <w:t>Change</w:t>
            </w:r>
          </w:p>
        </w:tc>
      </w:tr>
      <w:tr>
        <w:tc>
          <w:tcPr>
            <w:tcW w:type="dxa" w:w="1134"/>
          </w:tcPr>
          <w:p>
            <w:pPr>
              <w:spacing w:after="20"/>
            </w:pPr>
            <w:r/>
            <w:r>
              <w:rPr>
                <w:b w:val="0"/>
                <w:sz w:val="18"/>
              </w:rPr>
              <w:t>0.1</w:t>
            </w:r>
          </w:p>
        </w:tc>
        <w:tc>
          <w:tcPr>
            <w:tcW w:type="dxa" w:w="1417"/>
          </w:tcPr>
          <w:p>
            <w:pPr>
              <w:spacing w:after="20"/>
            </w:pPr>
            <w:r/>
            <w:r>
              <w:rPr>
                <w:b w:val="0"/>
                <w:sz w:val="18"/>
              </w:rPr>
              <w:t>Oct 2026</w:t>
            </w:r>
          </w:p>
        </w:tc>
        <w:tc>
          <w:tcPr>
            <w:tcW w:type="dxa" w:w="2551"/>
          </w:tcPr>
          <w:p>
            <w:pPr>
              <w:spacing w:after="20"/>
            </w:pPr>
            <w:r/>
            <w:r>
              <w:rPr>
                <w:b w:val="0"/>
                <w:sz w:val="18"/>
              </w:rPr>
              <w:t>Risk Management Department</w:t>
            </w:r>
          </w:p>
        </w:tc>
        <w:tc>
          <w:tcPr>
            <w:tcW w:type="dxa" w:w="4309"/>
          </w:tcPr>
          <w:p>
            <w:pPr>
              <w:spacing w:after="20"/>
            </w:pPr>
            <w:r/>
            <w:r>
              <w:rPr>
                <w:b w:val="0"/>
                <w:sz w:val="18"/>
              </w:rPr>
              <w:t>First draft built from ERM Framework and GRC Module TOR extracts</w:t>
            </w:r>
          </w:p>
        </w:tc>
      </w:tr>
      <w:tr>
        <w:tc>
          <w:tcPr>
            <w:tcW w:type="dxa" w:w="1134"/>
            <w:shd w:val="clear" w:color="auto" w:fill="EBF5FB"/>
          </w:tcPr>
          <w:p>
            <w:pPr>
              <w:spacing w:after="20"/>
            </w:pPr>
            <w:r/>
            <w:r>
              <w:rPr>
                <w:b w:val="0"/>
                <w:sz w:val="18"/>
              </w:rPr>
            </w:r>
          </w:p>
        </w:tc>
        <w:tc>
          <w:tcPr>
            <w:tcW w:type="dxa" w:w="1417"/>
            <w:shd w:val="clear" w:color="auto" w:fill="EBF5FB"/>
          </w:tcPr>
          <w:p>
            <w:pPr>
              <w:spacing w:after="20"/>
            </w:pPr>
            <w:r/>
            <w:r>
              <w:rPr>
                <w:b w:val="0"/>
                <w:sz w:val="18"/>
              </w:rPr>
            </w:r>
          </w:p>
        </w:tc>
        <w:tc>
          <w:tcPr>
            <w:tcW w:type="dxa" w:w="2551"/>
            <w:shd w:val="clear" w:color="auto" w:fill="EBF5FB"/>
          </w:tcPr>
          <w:p>
            <w:pPr>
              <w:spacing w:after="20"/>
            </w:pPr>
            <w:r/>
            <w:r>
              <w:rPr>
                <w:b w:val="0"/>
                <w:sz w:val="18"/>
              </w:rPr>
            </w:r>
          </w:p>
        </w:tc>
        <w:tc>
          <w:tcPr>
            <w:tcW w:type="dxa" w:w="4309"/>
            <w:shd w:val="clear" w:color="auto" w:fill="EBF5FB"/>
          </w:tcPr>
          <w:p>
            <w:pPr>
              <w:spacing w:after="20"/>
            </w:pPr>
            <w:r/>
            <w:r>
              <w:rPr>
                <w:b w:val="0"/>
                <w:sz w:val="18"/>
              </w:rPr>
            </w:r>
          </w:p>
        </w:tc>
      </w:tr>
    </w:tbl>
    <w:p>
      <w:pPr>
        <w:spacing w:after="40"/>
      </w:pPr>
    </w:p>
    <w:p>
      <w:pPr>
        <w:pStyle w:val="Heading1"/>
      </w:pPr>
      <w:r>
        <w:t>1. Executive Summary</w:t>
      </w:r>
    </w:p>
    <w:p>
      <w:r>
        <w:rPr>
          <w:i w:val="0"/>
        </w:rPr>
        <w:t>The Fund requires a single system to run the three services the Risk Management Department delivers: enterprise risk assessment, business continuity management (BCM) and compliance risk management. These services currently run on spreadsheets, Word templates and email, which makes consolidation slow, leaves no reliable audit trail, and breaks the line of sight from a risk to the control, the action, the owner and the evidence of closure. This TOR defines what the system must do, how it must integrate with the Fund's core platforms, how it will be implemented, and how NSSF will accept it.</w:t>
      </w:r>
    </w:p>
    <w:tbl>
      <w:tblPr>
        <w:tblStyle w:val="TableGrid"/>
        <w:tblW w:type="auto" w:w="0"/>
        <w:jc w:val="center"/>
        <w:tblLayout w:type="fixed"/>
        <w:tblLook w:firstColumn="1" w:firstRow="1" w:lastColumn="0" w:lastRow="0" w:noHBand="0" w:noVBand="1" w:val="04A0"/>
      </w:tblPr>
      <w:tblGrid>
        <w:gridCol w:w="1474"/>
        <w:gridCol w:w="7937"/>
      </w:tblGrid>
      <w:tr>
        <w:trPr>
          <w:tblHeader w:val="true"/>
        </w:trPr>
        <w:tc>
          <w:tcPr>
            <w:tcW w:type="dxa" w:w="1474"/>
            <w:shd w:val="clear" w:color="auto" w:fill="1A5276"/>
          </w:tcPr>
          <w:p>
            <w:r/>
            <w:r>
              <w:rPr>
                <w:b/>
                <w:color w:val="FFFFFF"/>
                <w:sz w:val="18"/>
              </w:rPr>
              <w:t>Lens</w:t>
            </w:r>
          </w:p>
        </w:tc>
        <w:tc>
          <w:tcPr>
            <w:tcW w:type="dxa" w:w="7937"/>
            <w:shd w:val="clear" w:color="auto" w:fill="1A5276"/>
          </w:tcPr>
          <w:p>
            <w:r/>
            <w:r>
              <w:rPr>
                <w:b/>
                <w:color w:val="FFFFFF"/>
                <w:sz w:val="18"/>
              </w:rPr>
              <w:t>Summary</w:t>
            </w:r>
          </w:p>
        </w:tc>
      </w:tr>
      <w:tr>
        <w:tc>
          <w:tcPr>
            <w:tcW w:type="dxa" w:w="1474"/>
          </w:tcPr>
          <w:p>
            <w:pPr>
              <w:spacing w:after="20"/>
            </w:pPr>
            <w:r/>
            <w:r>
              <w:rPr>
                <w:b/>
                <w:sz w:val="18"/>
              </w:rPr>
              <w:t>What</w:t>
            </w:r>
          </w:p>
        </w:tc>
        <w:tc>
          <w:tcPr>
            <w:tcW w:type="dxa" w:w="7937"/>
          </w:tcPr>
          <w:p>
            <w:pPr>
              <w:spacing w:after="20"/>
            </w:pPr>
            <w:r/>
            <w:r>
              <w:rPr>
                <w:b w:val="0"/>
                <w:sz w:val="18"/>
              </w:rPr>
              <w:t>A configurable risk, BCM and compliance platform aligned to the NSSF ERM Framework (ISO 31000:2018, COSO ERM 2017), ISO 22301:2019 and ISO 37301:2021, covering 9 modules, 75 functional requirements (Section 7) and 9 non-functional requirements (Section 10).</w:t>
            </w:r>
          </w:p>
        </w:tc>
      </w:tr>
      <w:tr>
        <w:tc>
          <w:tcPr>
            <w:tcW w:type="dxa" w:w="1474"/>
            <w:shd w:val="clear" w:color="auto" w:fill="EBF5FB"/>
          </w:tcPr>
          <w:p>
            <w:pPr>
              <w:spacing w:after="20"/>
            </w:pPr>
            <w:r/>
            <w:r>
              <w:rPr>
                <w:b/>
                <w:sz w:val="18"/>
              </w:rPr>
              <w:t>So what</w:t>
            </w:r>
          </w:p>
        </w:tc>
        <w:tc>
          <w:tcPr>
            <w:tcW w:type="dxa" w:w="7937"/>
            <w:shd w:val="clear" w:color="auto" w:fill="EBF5FB"/>
          </w:tcPr>
          <w:p>
            <w:pPr>
              <w:spacing w:after="20"/>
            </w:pPr>
            <w:r/>
            <w:r>
              <w:rPr>
                <w:b w:val="0"/>
                <w:sz w:val="18"/>
              </w:rPr>
              <w:t>• Quarterly Board Risk Report produced from live data instead of manual consolidation</w:t>
            </w:r>
          </w:p>
          <w:p>
            <w:pPr>
              <w:spacing w:after="20"/>
            </w:pPr>
            <w:r>
              <w:rPr>
                <w:b w:val="0"/>
                <w:sz w:val="18"/>
              </w:rPr>
              <w:t>• BCPs and call trees reachable when primary systems are down</w:t>
            </w:r>
          </w:p>
          <w:p>
            <w:pPr>
              <w:spacing w:after="20"/>
            </w:pPr>
            <w:r>
              <w:rPr>
                <w:b w:val="0"/>
                <w:sz w:val="18"/>
              </w:rPr>
              <w:t>• Statutory returns and regulatory obligations tracked to evidence, supporting the zero appetite for regulatory non-compliance</w:t>
            </w:r>
          </w:p>
          <w:p>
            <w:pPr>
              <w:spacing w:after="20"/>
            </w:pPr>
            <w:r>
              <w:rPr>
                <w:b w:val="0"/>
                <w:sz w:val="18"/>
              </w:rPr>
              <w:t>• Every High risk traceable: Risk → Control → Assessment → Issue → Action → Owner → Due date → Verification → Closure</w:t>
            </w:r>
          </w:p>
        </w:tc>
      </w:tr>
      <w:tr>
        <w:tc>
          <w:tcPr>
            <w:tcW w:type="dxa" w:w="1474"/>
          </w:tcPr>
          <w:p>
            <w:pPr>
              <w:spacing w:after="20"/>
            </w:pPr>
            <w:r/>
            <w:r>
              <w:rPr>
                <w:b/>
                <w:sz w:val="18"/>
              </w:rPr>
              <w:t>Now what</w:t>
            </w:r>
          </w:p>
        </w:tc>
        <w:tc>
          <w:tcPr>
            <w:tcW w:type="dxa" w:w="7937"/>
          </w:tcPr>
          <w:p>
            <w:pPr>
              <w:spacing w:after="20"/>
            </w:pPr>
            <w:r/>
            <w:r>
              <w:rPr>
                <w:b w:val="0"/>
                <w:sz w:val="18"/>
              </w:rPr>
              <w:t>Management to approve this TOR, confirm the four open decisions in Section 17 and authorise procurement. Indicative timeline: 9 months to full go-live, followed by 3 months of hypercare.</w:t>
            </w:r>
          </w:p>
        </w:tc>
      </w:tr>
    </w:tbl>
    <w:p>
      <w:pPr>
        <w:spacing w:after="40"/>
      </w:pPr>
    </w:p>
    <w:p>
      <w:pPr>
        <w:pStyle w:val="Heading1"/>
      </w:pPr>
      <w:r>
        <w:t>2. Background</w:t>
      </w:r>
    </w:p>
    <w:p>
      <w:pPr>
        <w:pStyle w:val="Heading2"/>
      </w:pPr>
      <w:r>
        <w:t>2.1 The Fund and its risk mandate</w:t>
      </w:r>
    </w:p>
    <w:p>
      <w:r>
        <w:rPr>
          <w:i w:val="0"/>
        </w:rPr>
        <w:t>NSSF administers basic social security under the NSSF Act, 2013. The Board of Trustees (BOT) is ultimately responsible for risk management and has delegated oversight to the Audit &amp; Risk Committee (ARC). The Managing Trustee is accountable for managing the Fund's risks, and the Risk Management Department coordinates risk management activities Fund-wide (ERM Framework, Section 11). Clause 11, Table 6 also requires the Manager, Risk Management to "select, develop and maintain systems required to support the risk assessment process". This TOR gives effect to that requirement.</w:t>
      </w:r>
    </w:p>
    <w:p>
      <w:pPr>
        <w:pStyle w:val="Heading2"/>
      </w:pPr>
      <w:r>
        <w:t>2.2 How the department works today</w:t>
      </w:r>
    </w:p>
    <w:tbl>
      <w:tblPr>
        <w:tblStyle w:val="TableGrid"/>
        <w:tblW w:type="auto" w:w="0"/>
        <w:jc w:val="center"/>
        <w:tblLayout w:type="fixed"/>
        <w:tblLook w:firstColumn="1" w:firstRow="1" w:lastColumn="0" w:lastRow="0" w:noHBand="0" w:noVBand="1" w:val="04A0"/>
      </w:tblPr>
      <w:tblGrid>
        <w:gridCol w:w="1701"/>
        <w:gridCol w:w="4139"/>
        <w:gridCol w:w="3572"/>
      </w:tblGrid>
      <w:tr>
        <w:trPr>
          <w:tblHeader w:val="true"/>
        </w:trPr>
        <w:tc>
          <w:tcPr>
            <w:tcW w:type="dxa" w:w="1701"/>
            <w:shd w:val="clear" w:color="auto" w:fill="1A5276"/>
          </w:tcPr>
          <w:p>
            <w:r/>
            <w:r>
              <w:rPr>
                <w:b/>
                <w:color w:val="FFFFFF"/>
                <w:sz w:val="17"/>
              </w:rPr>
              <w:t>Service</w:t>
            </w:r>
          </w:p>
        </w:tc>
        <w:tc>
          <w:tcPr>
            <w:tcW w:type="dxa" w:w="4139"/>
            <w:shd w:val="clear" w:color="auto" w:fill="1A5276"/>
          </w:tcPr>
          <w:p>
            <w:r/>
            <w:r>
              <w:rPr>
                <w:b/>
                <w:color w:val="FFFFFF"/>
                <w:sz w:val="17"/>
              </w:rPr>
              <w:t>Current practice (as documented and observed)</w:t>
            </w:r>
          </w:p>
        </w:tc>
        <w:tc>
          <w:tcPr>
            <w:tcW w:type="dxa" w:w="3572"/>
            <w:shd w:val="clear" w:color="auto" w:fill="1A5276"/>
          </w:tcPr>
          <w:p>
            <w:r/>
            <w:r>
              <w:rPr>
                <w:b/>
                <w:color w:val="FFFFFF"/>
                <w:sz w:val="17"/>
              </w:rPr>
              <w:t>Gaps the system must close</w:t>
            </w:r>
          </w:p>
        </w:tc>
      </w:tr>
      <w:tr>
        <w:tc>
          <w:tcPr>
            <w:tcW w:type="dxa" w:w="1701"/>
          </w:tcPr>
          <w:p>
            <w:pPr>
              <w:spacing w:after="20"/>
            </w:pPr>
            <w:r/>
            <w:r>
              <w:rPr>
                <w:b w:val="0"/>
                <w:sz w:val="17"/>
              </w:rPr>
              <w:t>Risk assessment (RCSA)</w:t>
            </w:r>
          </w:p>
        </w:tc>
        <w:tc>
          <w:tcPr>
            <w:tcW w:type="dxa" w:w="4139"/>
          </w:tcPr>
          <w:p>
            <w:pPr>
              <w:spacing w:after="20"/>
            </w:pPr>
            <w:r/>
            <w:r>
              <w:rPr>
                <w:b w:val="0"/>
                <w:sz w:val="17"/>
              </w:rPr>
              <w:t>• Annual and quarterly risk assessments at HQ departments, regions, branches and Huduma centres</w:t>
            </w:r>
          </w:p>
          <w:p>
            <w:pPr>
              <w:spacing w:after="20"/>
            </w:pPr>
            <w:r>
              <w:rPr>
                <w:b w:val="0"/>
                <w:sz w:val="17"/>
              </w:rPr>
              <w:t>• Workshops facilitated by RM staff and Risk Champions</w:t>
            </w:r>
          </w:p>
          <w:p>
            <w:pPr>
              <w:spacing w:after="20"/>
            </w:pPr>
            <w:r>
              <w:rPr>
                <w:b w:val="0"/>
                <w:sz w:val="17"/>
              </w:rPr>
              <w:t>• 5×5 matrix; inherent and residual ratings; control effectiveness = ROUND((Residual total ÷ Inherent total) × 5, 0)</w:t>
            </w:r>
          </w:p>
          <w:p>
            <w:pPr>
              <w:spacing w:after="20"/>
            </w:pPr>
            <w:r>
              <w:rPr>
                <w:b w:val="0"/>
                <w:sz w:val="17"/>
              </w:rPr>
              <w:t>• Separate registers: Operational, BCM, Information Security, Fraud; project risk by lifecycle phase</w:t>
            </w:r>
          </w:p>
        </w:tc>
        <w:tc>
          <w:tcPr>
            <w:tcW w:type="dxa" w:w="3572"/>
          </w:tcPr>
          <w:p>
            <w:pPr>
              <w:spacing w:after="20"/>
            </w:pPr>
            <w:r/>
            <w:r>
              <w:rPr>
                <w:b w:val="0"/>
                <w:sz w:val="17"/>
              </w:rPr>
              <w:t>• Registers held in separate Excel files per unit</w:t>
            </w:r>
          </w:p>
          <w:p>
            <w:pPr>
              <w:spacing w:after="20"/>
            </w:pPr>
            <w:r>
              <w:rPr>
                <w:b w:val="0"/>
                <w:sz w:val="17"/>
              </w:rPr>
              <w:t>• Manual roll-up to the Corporate Risk Register</w:t>
            </w:r>
          </w:p>
          <w:p>
            <w:pPr>
              <w:spacing w:after="20"/>
            </w:pPr>
            <w:r>
              <w:rPr>
                <w:b w:val="0"/>
                <w:sz w:val="17"/>
              </w:rPr>
              <w:t>• No version history or approval trail</w:t>
            </w:r>
          </w:p>
          <w:p>
            <w:pPr>
              <w:spacing w:after="20"/>
            </w:pPr>
            <w:r>
              <w:rPr>
                <w:b w:val="0"/>
                <w:sz w:val="17"/>
              </w:rPr>
              <w:t>• Rating movement between quarters tracked by hand</w:t>
            </w:r>
          </w:p>
        </w:tc>
      </w:tr>
      <w:tr>
        <w:tc>
          <w:tcPr>
            <w:tcW w:type="dxa" w:w="1701"/>
            <w:shd w:val="clear" w:color="auto" w:fill="EBF5FB"/>
          </w:tcPr>
          <w:p>
            <w:pPr>
              <w:spacing w:after="20"/>
            </w:pPr>
            <w:r/>
            <w:r>
              <w:rPr>
                <w:b w:val="0"/>
                <w:sz w:val="17"/>
              </w:rPr>
              <w:t>Business continuity</w:t>
            </w:r>
          </w:p>
        </w:tc>
        <w:tc>
          <w:tcPr>
            <w:tcW w:type="dxa" w:w="4139"/>
            <w:shd w:val="clear" w:color="auto" w:fill="EBF5FB"/>
          </w:tcPr>
          <w:p>
            <w:pPr>
              <w:spacing w:after="20"/>
            </w:pPr>
            <w:r/>
            <w:r>
              <w:rPr>
                <w:b w:val="0"/>
                <w:sz w:val="17"/>
              </w:rPr>
              <w:t>• BIA per unit with critical activities, RTO, RPO, MTPD and dependencies</w:t>
            </w:r>
          </w:p>
          <w:p>
            <w:pPr>
              <w:spacing w:after="20"/>
            </w:pPr>
            <w:r>
              <w:rPr>
                <w:b w:val="0"/>
                <w:sz w:val="17"/>
              </w:rPr>
              <w:t>• BCPs and ICT DRP held as Word documents</w:t>
            </w:r>
          </w:p>
          <w:p>
            <w:pPr>
              <w:spacing w:after="20"/>
            </w:pPr>
            <w:r>
              <w:rPr>
                <w:b w:val="0"/>
                <w:sz w:val="17"/>
              </w:rPr>
              <w:t>• BCM section included in branch risk reports; exercises planned and logged</w:t>
            </w:r>
          </w:p>
        </w:tc>
        <w:tc>
          <w:tcPr>
            <w:tcW w:type="dxa" w:w="3572"/>
            <w:shd w:val="clear" w:color="auto" w:fill="EBF5FB"/>
          </w:tcPr>
          <w:p>
            <w:pPr>
              <w:spacing w:after="20"/>
            </w:pPr>
            <w:r/>
            <w:r>
              <w:rPr>
                <w:b w:val="0"/>
                <w:sz w:val="17"/>
              </w:rPr>
              <w:t>• Plans hard to reach during an outage</w:t>
            </w:r>
          </w:p>
          <w:p>
            <w:pPr>
              <w:spacing w:after="20"/>
            </w:pPr>
            <w:r>
              <w:rPr>
                <w:b w:val="0"/>
                <w:sz w:val="17"/>
              </w:rPr>
              <w:t>• Contact lists go stale</w:t>
            </w:r>
          </w:p>
          <w:p>
            <w:pPr>
              <w:spacing w:after="20"/>
            </w:pPr>
            <w:r>
              <w:rPr>
                <w:b w:val="0"/>
                <w:sz w:val="17"/>
              </w:rPr>
              <w:t>• Application recovery capability (DRP) not reconciled against business RTOs</w:t>
            </w:r>
          </w:p>
          <w:p>
            <w:pPr>
              <w:spacing w:after="20"/>
            </w:pPr>
            <w:r>
              <w:rPr>
                <w:b w:val="0"/>
                <w:sz w:val="17"/>
              </w:rPr>
              <w:t>• Exercise lessons learned not tracked to closure</w:t>
            </w:r>
          </w:p>
        </w:tc>
      </w:tr>
      <w:tr>
        <w:tc>
          <w:tcPr>
            <w:tcW w:type="dxa" w:w="1701"/>
          </w:tcPr>
          <w:p>
            <w:pPr>
              <w:spacing w:after="20"/>
            </w:pPr>
            <w:r/>
            <w:r>
              <w:rPr>
                <w:b w:val="0"/>
                <w:sz w:val="17"/>
              </w:rPr>
              <w:t>Compliance risk</w:t>
            </w:r>
          </w:p>
        </w:tc>
        <w:tc>
          <w:tcPr>
            <w:tcW w:type="dxa" w:w="4139"/>
          </w:tcPr>
          <w:p>
            <w:pPr>
              <w:spacing w:after="20"/>
            </w:pPr>
            <w:r/>
            <w:r>
              <w:rPr>
                <w:b w:val="0"/>
                <w:sz w:val="17"/>
              </w:rPr>
              <w:t>• Compliance Risk Management Policy linked to the ERM Framework</w:t>
            </w:r>
          </w:p>
          <w:p>
            <w:pPr>
              <w:spacing w:after="20"/>
            </w:pPr>
            <w:r>
              <w:rPr>
                <w:b w:val="0"/>
                <w:sz w:val="17"/>
              </w:rPr>
              <w:t>• Compliance risks reported in branch and Board reports</w:t>
            </w:r>
          </w:p>
          <w:p>
            <w:pPr>
              <w:spacing w:after="20"/>
            </w:pPr>
            <w:r>
              <w:rPr>
                <w:b w:val="0"/>
                <w:sz w:val="17"/>
              </w:rPr>
              <w:t>• Statutory and regulatory returns tracked by individual departments</w:t>
            </w:r>
          </w:p>
        </w:tc>
        <w:tc>
          <w:tcPr>
            <w:tcW w:type="dxa" w:w="3572"/>
          </w:tcPr>
          <w:p>
            <w:pPr>
              <w:spacing w:after="20"/>
            </w:pPr>
            <w:r/>
            <w:r>
              <w:rPr>
                <w:b w:val="0"/>
                <w:sz w:val="17"/>
              </w:rPr>
              <w:t>• No single obligations register</w:t>
            </w:r>
          </w:p>
          <w:p>
            <w:pPr>
              <w:spacing w:after="20"/>
            </w:pPr>
            <w:r>
              <w:rPr>
                <w:b w:val="0"/>
                <w:sz w:val="17"/>
              </w:rPr>
              <w:t>• Regulatory change not tracked to impact assessment</w:t>
            </w:r>
          </w:p>
          <w:p>
            <w:pPr>
              <w:spacing w:after="20"/>
            </w:pPr>
            <w:r>
              <w:rPr>
                <w:b w:val="0"/>
                <w:sz w:val="17"/>
              </w:rPr>
              <w:t>• Breach notification deadlines (e.g., Data Protection Act) at risk</w:t>
            </w:r>
          </w:p>
          <w:p>
            <w:pPr>
              <w:spacing w:after="20"/>
            </w:pPr>
            <w:r>
              <w:rPr>
                <w:b w:val="0"/>
                <w:sz w:val="17"/>
              </w:rPr>
              <w:t>• Attestations collected on paper or by email</w:t>
            </w:r>
          </w:p>
        </w:tc>
      </w:tr>
      <w:tr>
        <w:tc>
          <w:tcPr>
            <w:tcW w:type="dxa" w:w="1701"/>
            <w:shd w:val="clear" w:color="auto" w:fill="EBF5FB"/>
          </w:tcPr>
          <w:p>
            <w:pPr>
              <w:spacing w:after="20"/>
            </w:pPr>
            <w:r/>
            <w:r>
              <w:rPr>
                <w:b w:val="0"/>
                <w:sz w:val="17"/>
              </w:rPr>
              <w:t>Reporting</w:t>
            </w:r>
          </w:p>
        </w:tc>
        <w:tc>
          <w:tcPr>
            <w:tcW w:type="dxa" w:w="4139"/>
            <w:shd w:val="clear" w:color="auto" w:fill="EBF5FB"/>
          </w:tcPr>
          <w:p>
            <w:pPr>
              <w:spacing w:after="20"/>
            </w:pPr>
            <w:r/>
            <w:r>
              <w:rPr>
                <w:b w:val="0"/>
                <w:sz w:val="17"/>
              </w:rPr>
              <w:t>Risk Advisory (ad hoc), Risk Management Reports, quarterly Board Risk Management Report, annual Corporate Risk Register update (ERM Table 5)</w:t>
            </w:r>
          </w:p>
        </w:tc>
        <w:tc>
          <w:tcPr>
            <w:tcW w:type="dxa" w:w="3572"/>
            <w:shd w:val="clear" w:color="auto" w:fill="EBF5FB"/>
          </w:tcPr>
          <w:p>
            <w:pPr>
              <w:spacing w:after="20"/>
            </w:pPr>
            <w:r/>
            <w:r>
              <w:rPr>
                <w:b w:val="0"/>
                <w:sz w:val="17"/>
              </w:rPr>
              <w:t>• Each report rebuilt manually</w:t>
            </w:r>
          </w:p>
          <w:p>
            <w:pPr>
              <w:spacing w:after="20"/>
            </w:pPr>
            <w:r>
              <w:rPr>
                <w:b w:val="0"/>
                <w:sz w:val="17"/>
              </w:rPr>
              <w:t>• KRIs and incident data not systematically linked to risks</w:t>
            </w:r>
          </w:p>
        </w:tc>
      </w:tr>
    </w:tbl>
    <w:p>
      <w:pPr>
        <w:spacing w:after="40"/>
      </w:pPr>
    </w:p>
    <w:p>
      <w:r>
        <w:rPr>
          <w:i/>
          <w:sz w:val="18"/>
        </w:rPr>
        <w:t>Assumption: the gaps above reflect the department's documented templates and the ERM Framework. Where the department's own experience differs, update this table before the TOR is issued, since it drives the evaluation scenarios in Section 15.</w:t>
      </w:r>
    </w:p>
    <w:p>
      <w:pPr>
        <w:pStyle w:val="Heading1"/>
      </w:pPr>
      <w:r>
        <w:t>3. Purpose and Objectives</w:t>
      </w:r>
    </w:p>
    <w:p>
      <w:r>
        <w:rPr>
          <w:i w:val="0"/>
        </w:rPr>
        <w:t>Purpose: to procure, configure and implement an integrated Risk Management System (RMS) that automates the NSSF ERM process (Identify → Analyse → Evaluate → Treat → Monitor → Report) and the BCM lifecycle (Plan → Risk Assessment → BIA → Strategy → BCP/DRP → Exercising → Review), together with compliance risk management.</w:t>
      </w:r>
    </w:p>
    <w:p>
      <w:r>
        <w:rPr>
          <w:i w:val="0"/>
        </w:rPr>
        <w:t>Specific objectives (each with a measure of success; see Section 16):</w:t>
      </w:r>
    </w:p>
    <w:p>
      <w:pPr>
        <w:pStyle w:val="ListBullet"/>
        <w:spacing w:after="60"/>
      </w:pPr>
      <w:r>
        <w:rPr>
          <w:b/>
        </w:rPr>
        <w:t xml:space="preserve">O1. One risk universe. </w:t>
      </w:r>
      <w:r>
        <w:t>A single, Fund-wide register hierarchy that rolls up from branch to corporate level, using the NSSF risk categories and matrix.</w:t>
      </w:r>
    </w:p>
    <w:p>
      <w:pPr>
        <w:pStyle w:val="ListBullet"/>
        <w:spacing w:after="60"/>
      </w:pPr>
      <w:r>
        <w:rPr>
          <w:b/>
        </w:rPr>
        <w:t xml:space="preserve">O2. Workflow-driven assessments. </w:t>
      </w:r>
      <w:r>
        <w:t>RCSA, BIA and compliance attestation campaigns issued, completed, reviewed and approved in the system with a full audit trail.</w:t>
      </w:r>
    </w:p>
    <w:p>
      <w:pPr>
        <w:pStyle w:val="ListBullet"/>
        <w:spacing w:after="60"/>
      </w:pPr>
      <w:r>
        <w:rPr>
          <w:b/>
        </w:rPr>
        <w:t xml:space="preserve">O3. Resilience on demand. </w:t>
      </w:r>
      <w:r>
        <w:t>Approved BCPs, DRPs and call trees available offline and on mobile during a disruption.</w:t>
      </w:r>
    </w:p>
    <w:p>
      <w:pPr>
        <w:pStyle w:val="ListBullet"/>
        <w:spacing w:after="60"/>
      </w:pPr>
      <w:r>
        <w:rPr>
          <w:b/>
        </w:rPr>
        <w:t xml:space="preserve">O4. Obligations under control. </w:t>
      </w:r>
      <w:r>
        <w:t>Every material legal, regulatory and policy obligation registered, owned, risk-rated and monitored to evidence.</w:t>
      </w:r>
    </w:p>
    <w:p>
      <w:pPr>
        <w:pStyle w:val="ListBullet"/>
        <w:spacing w:after="60"/>
      </w:pPr>
      <w:r>
        <w:rPr>
          <w:b/>
        </w:rPr>
        <w:t xml:space="preserve">O5. Early warning. </w:t>
      </w:r>
      <w:r>
        <w:t>KRIs with appetite-linked thresholds and automatic escalation on breach.</w:t>
      </w:r>
    </w:p>
    <w:p>
      <w:pPr>
        <w:pStyle w:val="ListBullet"/>
        <w:spacing w:after="60"/>
      </w:pPr>
      <w:r>
        <w:rPr>
          <w:b/>
        </w:rPr>
        <w:t xml:space="preserve">O6. Closed loop. </w:t>
      </w:r>
      <w:r>
        <w:t>One action tracker for risk treatments, BCM corrective actions, compliance remediation and incident actions, with second-line verification before closure.</w:t>
      </w:r>
    </w:p>
    <w:p>
      <w:pPr>
        <w:pStyle w:val="ListBullet"/>
        <w:spacing w:after="60"/>
      </w:pPr>
      <w:r>
        <w:rPr>
          <w:b/>
        </w:rPr>
        <w:t xml:space="preserve">O7. Decision-ready reporting. </w:t>
      </w:r>
      <w:r>
        <w:t>Board, ARC, Senior Management and unit reports generated from live data in NSSF templates.</w:t>
      </w:r>
    </w:p>
    <w:p>
      <w:pPr>
        <w:pStyle w:val="Heading1"/>
      </w:pPr>
      <w:r>
        <w:t>4. Scope</w:t>
      </w:r>
    </w:p>
    <w:p>
      <w:pPr>
        <w:pStyle w:val="Heading2"/>
      </w:pPr>
      <w:r>
        <w:t>4.1 In scope</w:t>
      </w:r>
    </w:p>
    <w:tbl>
      <w:tblPr>
        <w:tblStyle w:val="TableGrid"/>
        <w:tblW w:type="auto" w:w="0"/>
        <w:jc w:val="center"/>
        <w:tblLayout w:type="fixed"/>
        <w:tblLook w:firstColumn="1" w:firstRow="1" w:lastColumn="0" w:lastRow="0" w:noHBand="0" w:noVBand="1" w:val="04A0"/>
      </w:tblPr>
      <w:tblGrid>
        <w:gridCol w:w="567"/>
        <w:gridCol w:w="6009"/>
        <w:gridCol w:w="2835"/>
      </w:tblGrid>
      <w:tr>
        <w:trPr>
          <w:tblHeader w:val="true"/>
        </w:trPr>
        <w:tc>
          <w:tcPr>
            <w:tcW w:type="dxa" w:w="567"/>
            <w:shd w:val="clear" w:color="auto" w:fill="1A5276"/>
          </w:tcPr>
          <w:p>
            <w:r/>
            <w:r>
              <w:rPr>
                <w:b/>
                <w:color w:val="FFFFFF"/>
                <w:sz w:val="18"/>
              </w:rPr>
              <w:t>#</w:t>
            </w:r>
          </w:p>
        </w:tc>
        <w:tc>
          <w:tcPr>
            <w:tcW w:type="dxa" w:w="6009"/>
            <w:shd w:val="clear" w:color="auto" w:fill="1A5276"/>
          </w:tcPr>
          <w:p>
            <w:r/>
            <w:r>
              <w:rPr>
                <w:b/>
                <w:color w:val="FFFFFF"/>
                <w:sz w:val="18"/>
              </w:rPr>
              <w:t>Module</w:t>
            </w:r>
          </w:p>
        </w:tc>
        <w:tc>
          <w:tcPr>
            <w:tcW w:type="dxa" w:w="2835"/>
            <w:shd w:val="clear" w:color="auto" w:fill="1A5276"/>
          </w:tcPr>
          <w:p>
            <w:r/>
            <w:r>
              <w:rPr>
                <w:b/>
                <w:color w:val="FFFFFF"/>
                <w:sz w:val="18"/>
              </w:rPr>
              <w:t>Primary users</w:t>
            </w:r>
          </w:p>
        </w:tc>
      </w:tr>
      <w:tr>
        <w:tc>
          <w:tcPr>
            <w:tcW w:type="dxa" w:w="567"/>
          </w:tcPr>
          <w:p>
            <w:pPr>
              <w:spacing w:after="20"/>
            </w:pPr>
            <w:r/>
            <w:r>
              <w:rPr>
                <w:b w:val="0"/>
                <w:sz w:val="18"/>
              </w:rPr>
              <w:t>A</w:t>
            </w:r>
          </w:p>
        </w:tc>
        <w:tc>
          <w:tcPr>
            <w:tcW w:type="dxa" w:w="6009"/>
          </w:tcPr>
          <w:p>
            <w:pPr>
              <w:spacing w:after="20"/>
            </w:pPr>
            <w:r/>
            <w:r>
              <w:rPr>
                <w:b w:val="0"/>
                <w:sz w:val="18"/>
              </w:rPr>
              <w:t>Enterprise Risk Assessment (RCSA, risk registers, appetite, project, IS and fraud risk, scenario analysis)</w:t>
            </w:r>
          </w:p>
        </w:tc>
        <w:tc>
          <w:tcPr>
            <w:tcW w:type="dxa" w:w="2835"/>
          </w:tcPr>
          <w:p>
            <w:pPr>
              <w:spacing w:after="20"/>
            </w:pPr>
            <w:r/>
            <w:r>
              <w:rPr>
                <w:b w:val="0"/>
                <w:sz w:val="18"/>
              </w:rPr>
              <w:t>RM Dept, risk owners, Risk Champions</w:t>
            </w:r>
          </w:p>
        </w:tc>
      </w:tr>
      <w:tr>
        <w:tc>
          <w:tcPr>
            <w:tcW w:type="dxa" w:w="567"/>
            <w:shd w:val="clear" w:color="auto" w:fill="EBF5FB"/>
          </w:tcPr>
          <w:p>
            <w:pPr>
              <w:spacing w:after="20"/>
            </w:pPr>
            <w:r/>
            <w:r>
              <w:rPr>
                <w:b w:val="0"/>
                <w:sz w:val="18"/>
              </w:rPr>
              <w:t>B</w:t>
            </w:r>
          </w:p>
        </w:tc>
        <w:tc>
          <w:tcPr>
            <w:tcW w:type="dxa" w:w="6009"/>
            <w:shd w:val="clear" w:color="auto" w:fill="EBF5FB"/>
          </w:tcPr>
          <w:p>
            <w:pPr>
              <w:spacing w:after="20"/>
            </w:pPr>
            <w:r/>
            <w:r>
              <w:rPr>
                <w:b w:val="0"/>
                <w:sz w:val="18"/>
              </w:rPr>
              <w:t>Business Continuity Management (BIA, dependencies, strategies, BCP/DRP, activation, exercising, readiness)</w:t>
            </w:r>
          </w:p>
        </w:tc>
        <w:tc>
          <w:tcPr>
            <w:tcW w:type="dxa" w:w="2835"/>
            <w:shd w:val="clear" w:color="auto" w:fill="EBF5FB"/>
          </w:tcPr>
          <w:p>
            <w:pPr>
              <w:spacing w:after="20"/>
            </w:pPr>
            <w:r/>
            <w:r>
              <w:rPr>
                <w:b w:val="0"/>
                <w:sz w:val="18"/>
              </w:rPr>
              <w:t>RM Dept (BCM), BCM Champions, ICT, Crisis Management Team</w:t>
            </w:r>
          </w:p>
        </w:tc>
      </w:tr>
      <w:tr>
        <w:tc>
          <w:tcPr>
            <w:tcW w:type="dxa" w:w="567"/>
          </w:tcPr>
          <w:p>
            <w:pPr>
              <w:spacing w:after="20"/>
            </w:pPr>
            <w:r/>
            <w:r>
              <w:rPr>
                <w:b w:val="0"/>
                <w:sz w:val="18"/>
              </w:rPr>
              <w:t>C</w:t>
            </w:r>
          </w:p>
        </w:tc>
        <w:tc>
          <w:tcPr>
            <w:tcW w:type="dxa" w:w="6009"/>
          </w:tcPr>
          <w:p>
            <w:pPr>
              <w:spacing w:after="20"/>
            </w:pPr>
            <w:r/>
            <w:r>
              <w:rPr>
                <w:b w:val="0"/>
                <w:sz w:val="18"/>
              </w:rPr>
              <w:t>Compliance Risk Management (obligations, regulatory change, returns calendar, attestations, monitoring, breaches, policies)</w:t>
            </w:r>
          </w:p>
        </w:tc>
        <w:tc>
          <w:tcPr>
            <w:tcW w:type="dxa" w:w="2835"/>
          </w:tcPr>
          <w:p>
            <w:pPr>
              <w:spacing w:after="20"/>
            </w:pPr>
            <w:r/>
            <w:r>
              <w:rPr>
                <w:b w:val="0"/>
                <w:sz w:val="18"/>
              </w:rPr>
              <w:t>Compliance function within RM Dept, Legal, all HODs</w:t>
            </w:r>
          </w:p>
        </w:tc>
      </w:tr>
      <w:tr>
        <w:tc>
          <w:tcPr>
            <w:tcW w:type="dxa" w:w="567"/>
            <w:shd w:val="clear" w:color="auto" w:fill="EBF5FB"/>
          </w:tcPr>
          <w:p>
            <w:pPr>
              <w:spacing w:after="20"/>
            </w:pPr>
            <w:r/>
            <w:r>
              <w:rPr>
                <w:b w:val="0"/>
                <w:sz w:val="18"/>
              </w:rPr>
              <w:t>D</w:t>
            </w:r>
          </w:p>
        </w:tc>
        <w:tc>
          <w:tcPr>
            <w:tcW w:type="dxa" w:w="6009"/>
            <w:shd w:val="clear" w:color="auto" w:fill="EBF5FB"/>
          </w:tcPr>
          <w:p>
            <w:pPr>
              <w:spacing w:after="20"/>
            </w:pPr>
            <w:r/>
            <w:r>
              <w:rPr>
                <w:b w:val="0"/>
                <w:sz w:val="18"/>
              </w:rPr>
              <w:t>Incident and Loss Event Management (including near misses)</w:t>
            </w:r>
          </w:p>
        </w:tc>
        <w:tc>
          <w:tcPr>
            <w:tcW w:type="dxa" w:w="2835"/>
            <w:shd w:val="clear" w:color="auto" w:fill="EBF5FB"/>
          </w:tcPr>
          <w:p>
            <w:pPr>
              <w:spacing w:after="20"/>
            </w:pPr>
            <w:r/>
            <w:r>
              <w:rPr>
                <w:b w:val="0"/>
                <w:sz w:val="18"/>
              </w:rPr>
              <w:t>All staff (reporting), RM Dept (triage)</w:t>
            </w:r>
          </w:p>
        </w:tc>
      </w:tr>
      <w:tr>
        <w:tc>
          <w:tcPr>
            <w:tcW w:type="dxa" w:w="567"/>
          </w:tcPr>
          <w:p>
            <w:pPr>
              <w:spacing w:after="20"/>
            </w:pPr>
            <w:r/>
            <w:r>
              <w:rPr>
                <w:b w:val="0"/>
                <w:sz w:val="18"/>
              </w:rPr>
              <w:t>E</w:t>
            </w:r>
          </w:p>
        </w:tc>
        <w:tc>
          <w:tcPr>
            <w:tcW w:type="dxa" w:w="6009"/>
          </w:tcPr>
          <w:p>
            <w:pPr>
              <w:spacing w:after="20"/>
            </w:pPr>
            <w:r/>
            <w:r>
              <w:rPr>
                <w:b w:val="0"/>
                <w:sz w:val="18"/>
              </w:rPr>
              <w:t>Key Risk Indicators (KRIs)</w:t>
            </w:r>
          </w:p>
        </w:tc>
        <w:tc>
          <w:tcPr>
            <w:tcW w:type="dxa" w:w="2835"/>
          </w:tcPr>
          <w:p>
            <w:pPr>
              <w:spacing w:after="20"/>
            </w:pPr>
            <w:r/>
            <w:r>
              <w:rPr>
                <w:b w:val="0"/>
                <w:sz w:val="18"/>
              </w:rPr>
              <w:t>Risk owners, data owners, RM Dept</w:t>
            </w:r>
          </w:p>
        </w:tc>
      </w:tr>
      <w:tr>
        <w:tc>
          <w:tcPr>
            <w:tcW w:type="dxa" w:w="567"/>
            <w:shd w:val="clear" w:color="auto" w:fill="EBF5FB"/>
          </w:tcPr>
          <w:p>
            <w:pPr>
              <w:spacing w:after="20"/>
            </w:pPr>
            <w:r/>
            <w:r>
              <w:rPr>
                <w:b w:val="0"/>
                <w:sz w:val="18"/>
              </w:rPr>
              <w:t>F</w:t>
            </w:r>
          </w:p>
        </w:tc>
        <w:tc>
          <w:tcPr>
            <w:tcW w:type="dxa" w:w="6009"/>
            <w:shd w:val="clear" w:color="auto" w:fill="EBF5FB"/>
          </w:tcPr>
          <w:p>
            <w:pPr>
              <w:spacing w:after="20"/>
            </w:pPr>
            <w:r/>
            <w:r>
              <w:rPr>
                <w:b w:val="0"/>
                <w:sz w:val="18"/>
              </w:rPr>
              <w:t>Action and Issue Tracking</w:t>
            </w:r>
          </w:p>
        </w:tc>
        <w:tc>
          <w:tcPr>
            <w:tcW w:type="dxa" w:w="2835"/>
            <w:shd w:val="clear" w:color="auto" w:fill="EBF5FB"/>
          </w:tcPr>
          <w:p>
            <w:pPr>
              <w:spacing w:after="20"/>
            </w:pPr>
            <w:r/>
            <w:r>
              <w:rPr>
                <w:b w:val="0"/>
                <w:sz w:val="18"/>
              </w:rPr>
              <w:t>All action owners, RM Dept (verification)</w:t>
            </w:r>
          </w:p>
        </w:tc>
      </w:tr>
      <w:tr>
        <w:tc>
          <w:tcPr>
            <w:tcW w:type="dxa" w:w="567"/>
          </w:tcPr>
          <w:p>
            <w:pPr>
              <w:spacing w:after="20"/>
            </w:pPr>
            <w:r/>
            <w:r>
              <w:rPr>
                <w:b w:val="0"/>
                <w:sz w:val="18"/>
              </w:rPr>
              <w:t>G</w:t>
            </w:r>
          </w:p>
        </w:tc>
        <w:tc>
          <w:tcPr>
            <w:tcW w:type="dxa" w:w="6009"/>
          </w:tcPr>
          <w:p>
            <w:pPr>
              <w:spacing w:after="20"/>
            </w:pPr>
            <w:r/>
            <w:r>
              <w:rPr>
                <w:b w:val="0"/>
                <w:sz w:val="18"/>
              </w:rPr>
              <w:t>Reporting, Dashboards and Board Packs</w:t>
            </w:r>
          </w:p>
        </w:tc>
        <w:tc>
          <w:tcPr>
            <w:tcW w:type="dxa" w:w="2835"/>
          </w:tcPr>
          <w:p>
            <w:pPr>
              <w:spacing w:after="20"/>
            </w:pPr>
            <w:r/>
            <w:r>
              <w:rPr>
                <w:b w:val="0"/>
                <w:sz w:val="18"/>
              </w:rPr>
              <w:t>BOT, ARC, Senior Management, HODs</w:t>
            </w:r>
          </w:p>
        </w:tc>
      </w:tr>
      <w:tr>
        <w:tc>
          <w:tcPr>
            <w:tcW w:type="dxa" w:w="567"/>
            <w:shd w:val="clear" w:color="auto" w:fill="EBF5FB"/>
          </w:tcPr>
          <w:p>
            <w:pPr>
              <w:spacing w:after="20"/>
            </w:pPr>
            <w:r/>
            <w:r>
              <w:rPr>
                <w:b w:val="0"/>
                <w:sz w:val="18"/>
              </w:rPr>
              <w:t>H</w:t>
            </w:r>
          </w:p>
        </w:tc>
        <w:tc>
          <w:tcPr>
            <w:tcW w:type="dxa" w:w="6009"/>
            <w:shd w:val="clear" w:color="auto" w:fill="EBF5FB"/>
          </w:tcPr>
          <w:p>
            <w:pPr>
              <w:spacing w:after="20"/>
            </w:pPr>
            <w:r/>
            <w:r>
              <w:rPr>
                <w:b w:val="0"/>
                <w:sz w:val="18"/>
              </w:rPr>
              <w:t>Governance, Workflow, Risk Champion Network and Risk Culture</w:t>
            </w:r>
          </w:p>
        </w:tc>
        <w:tc>
          <w:tcPr>
            <w:tcW w:type="dxa" w:w="2835"/>
            <w:shd w:val="clear" w:color="auto" w:fill="EBF5FB"/>
          </w:tcPr>
          <w:p>
            <w:pPr>
              <w:spacing w:after="20"/>
            </w:pPr>
            <w:r/>
            <w:r>
              <w:rPr>
                <w:b w:val="0"/>
                <w:sz w:val="18"/>
              </w:rPr>
              <w:t>RM Dept, HR (training records)</w:t>
            </w:r>
          </w:p>
        </w:tc>
      </w:tr>
      <w:tr>
        <w:tc>
          <w:tcPr>
            <w:tcW w:type="dxa" w:w="567"/>
          </w:tcPr>
          <w:p>
            <w:pPr>
              <w:spacing w:after="20"/>
            </w:pPr>
            <w:r/>
            <w:r>
              <w:rPr>
                <w:b w:val="0"/>
                <w:sz w:val="18"/>
              </w:rPr>
              <w:t>I</w:t>
            </w:r>
          </w:p>
        </w:tc>
        <w:tc>
          <w:tcPr>
            <w:tcW w:type="dxa" w:w="6009"/>
          </w:tcPr>
          <w:p>
            <w:pPr>
              <w:spacing w:after="20"/>
            </w:pPr>
            <w:r/>
            <w:r>
              <w:rPr>
                <w:b w:val="0"/>
                <w:sz w:val="18"/>
              </w:rPr>
              <w:t>Administration, Security and Audit Trail</w:t>
            </w:r>
          </w:p>
        </w:tc>
        <w:tc>
          <w:tcPr>
            <w:tcW w:type="dxa" w:w="2835"/>
          </w:tcPr>
          <w:p>
            <w:pPr>
              <w:spacing w:after="20"/>
            </w:pPr>
            <w:r/>
            <w:r>
              <w:rPr>
                <w:b w:val="0"/>
                <w:sz w:val="18"/>
              </w:rPr>
              <w:t>System administrators, ICT Security</w:t>
            </w:r>
          </w:p>
        </w:tc>
      </w:tr>
    </w:tbl>
    <w:p>
      <w:pPr>
        <w:spacing w:after="40"/>
      </w:pPr>
    </w:p>
    <w:p>
      <w:pPr>
        <w:pStyle w:val="Heading2"/>
      </w:pPr>
      <w:r>
        <w:t>4.2 Out of scope</w:t>
      </w:r>
    </w:p>
    <w:p>
      <w:pPr>
        <w:pStyle w:val="ListBullet"/>
        <w:spacing w:after="60"/>
      </w:pPr>
      <w:r>
        <w:t>Internal audit planning, engagement management and working papers. These belong to the Internal Audit workspace of the GRC Module (third line). The RMS must integrate with it (Section 9) and give Internal Audit read access, but must not merge the two functions' workflows.</w:t>
      </w:r>
    </w:p>
    <w:p>
      <w:pPr>
        <w:pStyle w:val="ListBullet"/>
        <w:spacing w:after="60"/>
      </w:pPr>
      <w:r>
        <w:t>Investment portfolio risk analytics (VaR, ALM, asset allocation). Investment risk registers and KRIs are in scope; the quantitative investment engine is not.</w:t>
      </w:r>
    </w:p>
    <w:p>
      <w:pPr>
        <w:pStyle w:val="ListBullet"/>
        <w:spacing w:after="60"/>
      </w:pPr>
      <w:r>
        <w:t>Physical security systems, SIEM and SOC tooling. These are integration sources only.</w:t>
      </w:r>
    </w:p>
    <w:p>
      <w:pPr>
        <w:pStyle w:val="Heading2"/>
      </w:pPr>
      <w:r>
        <w:t>4.3 Organisational coverage</w:t>
      </w:r>
    </w:p>
    <w:p>
      <w:r>
        <w:rPr>
          <w:i w:val="0"/>
        </w:rPr>
        <w:t>All HQ divisions and departments, regions, branches, sub-branches, Huduma Centre desks, major projects (including PPPs) and critical third parties. Licensing assumption for pricing: about 300 named contributor users (risk owners, champions, action owners), 25 power users (RM Dept and ICT), and read-only or incident-reporting access for all staff and Trustees. Bidders must price both named-user and enterprise licensing.</w:t>
      </w:r>
    </w:p>
    <w:p>
      <w:pPr>
        <w:pStyle w:val="Heading1"/>
      </w:pPr>
      <w:r>
        <w:t>5. Standards, Legal and Policy Alignment</w:t>
      </w:r>
    </w:p>
    <w:p>
      <w:r>
        <w:rPr>
          <w:i w:val="0"/>
        </w:rPr>
        <w:t>The solution must be configurable to, and bidders must demonstrate how it supports, the following:</w:t>
      </w:r>
    </w:p>
    <w:tbl>
      <w:tblPr>
        <w:tblStyle w:val="TableGrid"/>
        <w:tblW w:type="auto" w:w="0"/>
        <w:jc w:val="center"/>
        <w:tblLayout w:type="fixed"/>
        <w:tblLook w:firstColumn="1" w:firstRow="1" w:lastColumn="0" w:lastRow="0" w:noHBand="0" w:noVBand="1" w:val="04A0"/>
      </w:tblPr>
      <w:tblGrid>
        <w:gridCol w:w="2948"/>
        <w:gridCol w:w="6463"/>
      </w:tblGrid>
      <w:tr>
        <w:trPr>
          <w:tblHeader w:val="true"/>
        </w:trPr>
        <w:tc>
          <w:tcPr>
            <w:tcW w:type="dxa" w:w="2948"/>
            <w:shd w:val="clear" w:color="auto" w:fill="1A5276"/>
          </w:tcPr>
          <w:p>
            <w:r/>
            <w:r>
              <w:rPr>
                <w:b/>
                <w:color w:val="FFFFFF"/>
                <w:sz w:val="17"/>
              </w:rPr>
              <w:t>Reference</w:t>
            </w:r>
          </w:p>
        </w:tc>
        <w:tc>
          <w:tcPr>
            <w:tcW w:type="dxa" w:w="6463"/>
            <w:shd w:val="clear" w:color="auto" w:fill="1A5276"/>
          </w:tcPr>
          <w:p>
            <w:r/>
            <w:r>
              <w:rPr>
                <w:b/>
                <w:color w:val="FFFFFF"/>
                <w:sz w:val="17"/>
              </w:rPr>
              <w:t>What the system must support</w:t>
            </w:r>
          </w:p>
        </w:tc>
      </w:tr>
      <w:tr>
        <w:tc>
          <w:tcPr>
            <w:tcW w:type="dxa" w:w="2948"/>
          </w:tcPr>
          <w:p>
            <w:pPr>
              <w:spacing w:after="20"/>
            </w:pPr>
            <w:r/>
            <w:r>
              <w:rPr>
                <w:b w:val="0"/>
                <w:sz w:val="17"/>
              </w:rPr>
              <w:t>NSSF ERM Framework NSSF/ERM/PD/03 (2025)</w:t>
            </w:r>
          </w:p>
        </w:tc>
        <w:tc>
          <w:tcPr>
            <w:tcW w:type="dxa" w:w="6463"/>
          </w:tcPr>
          <w:p>
            <w:pPr>
              <w:spacing w:after="20"/>
            </w:pPr>
            <w:r/>
            <w:r>
              <w:rPr>
                <w:b w:val="0"/>
                <w:sz w:val="17"/>
              </w:rPr>
              <w:t>Risk categories, 5×5 matrix, acceptance criteria (ERM Table 3), treatment options (Table 4), reporting framework (Table 5), roles (Table 6), Risk Champion duties (Annex 12.3), IS risk process (Annex 12.4)</w:t>
            </w:r>
          </w:p>
        </w:tc>
      </w:tr>
      <w:tr>
        <w:tc>
          <w:tcPr>
            <w:tcW w:type="dxa" w:w="2948"/>
            <w:shd w:val="clear" w:color="auto" w:fill="EBF5FB"/>
          </w:tcPr>
          <w:p>
            <w:pPr>
              <w:spacing w:after="20"/>
            </w:pPr>
            <w:r/>
            <w:r>
              <w:rPr>
                <w:b w:val="0"/>
                <w:sz w:val="17"/>
              </w:rPr>
              <w:t>ISO 31000:2018 Risk management</w:t>
            </w:r>
          </w:p>
        </w:tc>
        <w:tc>
          <w:tcPr>
            <w:tcW w:type="dxa" w:w="6463"/>
            <w:shd w:val="clear" w:color="auto" w:fill="EBF5FB"/>
          </w:tcPr>
          <w:p>
            <w:pPr>
              <w:spacing w:after="20"/>
            </w:pPr>
            <w:r/>
            <w:r>
              <w:rPr>
                <w:b w:val="0"/>
                <w:sz w:val="17"/>
              </w:rPr>
              <w:t>Process: context, identification, analysis, evaluation, treatment, monitoring and review, recording and reporting</w:t>
            </w:r>
          </w:p>
        </w:tc>
      </w:tr>
      <w:tr>
        <w:tc>
          <w:tcPr>
            <w:tcW w:type="dxa" w:w="2948"/>
          </w:tcPr>
          <w:p>
            <w:pPr>
              <w:spacing w:after="20"/>
            </w:pPr>
            <w:r/>
            <w:r>
              <w:rPr>
                <w:b w:val="0"/>
                <w:sz w:val="17"/>
              </w:rPr>
              <w:t>COSO ERM: Integrating with Strategy and Performance (2017)</w:t>
            </w:r>
          </w:p>
        </w:tc>
        <w:tc>
          <w:tcPr>
            <w:tcW w:type="dxa" w:w="6463"/>
          </w:tcPr>
          <w:p>
            <w:pPr>
              <w:spacing w:after="20"/>
            </w:pPr>
            <w:r/>
            <w:r>
              <w:rPr>
                <w:b w:val="0"/>
                <w:sz w:val="17"/>
              </w:rPr>
              <w:t>Linking risks to strategic objectives, appetite and performance</w:t>
            </w:r>
          </w:p>
        </w:tc>
      </w:tr>
      <w:tr>
        <w:tc>
          <w:tcPr>
            <w:tcW w:type="dxa" w:w="2948"/>
            <w:shd w:val="clear" w:color="auto" w:fill="EBF5FB"/>
          </w:tcPr>
          <w:p>
            <w:pPr>
              <w:spacing w:after="20"/>
            </w:pPr>
            <w:r/>
            <w:r>
              <w:rPr>
                <w:b w:val="0"/>
                <w:sz w:val="17"/>
              </w:rPr>
              <w:t>IIA Three Lines Model (2020)</w:t>
            </w:r>
          </w:p>
        </w:tc>
        <w:tc>
          <w:tcPr>
            <w:tcW w:type="dxa" w:w="6463"/>
            <w:shd w:val="clear" w:color="auto" w:fill="EBF5FB"/>
          </w:tcPr>
          <w:p>
            <w:pPr>
              <w:spacing w:after="20"/>
            </w:pPr>
            <w:r/>
            <w:r>
              <w:rPr>
                <w:b w:val="0"/>
                <w:sz w:val="17"/>
              </w:rPr>
              <w:t>Role separation: 1st line owns risk, RM Dept (2nd line) oversees and challenges, Internal Audit (3rd line) gives independent assurance</w:t>
            </w:r>
          </w:p>
        </w:tc>
      </w:tr>
      <w:tr>
        <w:tc>
          <w:tcPr>
            <w:tcW w:type="dxa" w:w="2948"/>
          </w:tcPr>
          <w:p>
            <w:pPr>
              <w:spacing w:after="20"/>
            </w:pPr>
            <w:r/>
            <w:r>
              <w:rPr>
                <w:b w:val="0"/>
                <w:sz w:val="17"/>
              </w:rPr>
              <w:t>ISO 22301:2019, ISO 22313:2020, ISO/TS 22317:2021</w:t>
            </w:r>
          </w:p>
        </w:tc>
        <w:tc>
          <w:tcPr>
            <w:tcW w:type="dxa" w:w="6463"/>
          </w:tcPr>
          <w:p>
            <w:pPr>
              <w:spacing w:after="20"/>
            </w:pPr>
            <w:r/>
            <w:r>
              <w:rPr>
                <w:b w:val="0"/>
                <w:sz w:val="17"/>
              </w:rPr>
              <w:t>BCMS requirements, guidance and BIA methodology (MTPD, RTO, RPO, MBCO)</w:t>
            </w:r>
          </w:p>
        </w:tc>
      </w:tr>
      <w:tr>
        <w:tc>
          <w:tcPr>
            <w:tcW w:type="dxa" w:w="2948"/>
            <w:shd w:val="clear" w:color="auto" w:fill="EBF5FB"/>
          </w:tcPr>
          <w:p>
            <w:pPr>
              <w:spacing w:after="20"/>
            </w:pPr>
            <w:r/>
            <w:r>
              <w:rPr>
                <w:b w:val="0"/>
                <w:sz w:val="17"/>
              </w:rPr>
              <w:t>ISO/IEC 27001:2022 and 27005:2022</w:t>
            </w:r>
          </w:p>
        </w:tc>
        <w:tc>
          <w:tcPr>
            <w:tcW w:type="dxa" w:w="6463"/>
            <w:shd w:val="clear" w:color="auto" w:fill="EBF5FB"/>
          </w:tcPr>
          <w:p>
            <w:pPr>
              <w:spacing w:after="20"/>
            </w:pPr>
            <w:r/>
            <w:r>
              <w:rPr>
                <w:b w:val="0"/>
                <w:sz w:val="17"/>
              </w:rPr>
              <w:t>Information security risk assessment, Annex A (93 controls), Statement of Applicability</w:t>
            </w:r>
          </w:p>
        </w:tc>
      </w:tr>
      <w:tr>
        <w:tc>
          <w:tcPr>
            <w:tcW w:type="dxa" w:w="2948"/>
          </w:tcPr>
          <w:p>
            <w:pPr>
              <w:spacing w:after="20"/>
            </w:pPr>
            <w:r/>
            <w:r>
              <w:rPr>
                <w:b w:val="0"/>
                <w:sz w:val="17"/>
              </w:rPr>
              <w:t>ISO 37301:2021 Compliance management systems</w:t>
            </w:r>
          </w:p>
        </w:tc>
        <w:tc>
          <w:tcPr>
            <w:tcW w:type="dxa" w:w="6463"/>
          </w:tcPr>
          <w:p>
            <w:pPr>
              <w:spacing w:after="20"/>
            </w:pPr>
            <w:r/>
            <w:r>
              <w:rPr>
                <w:b w:val="0"/>
                <w:sz w:val="17"/>
              </w:rPr>
              <w:t>Obligations register, compliance risk assessment, monitoring, non-compliance handling</w:t>
            </w:r>
          </w:p>
        </w:tc>
      </w:tr>
      <w:tr>
        <w:tc>
          <w:tcPr>
            <w:tcW w:type="dxa" w:w="2948"/>
            <w:shd w:val="clear" w:color="auto" w:fill="EBF5FB"/>
          </w:tcPr>
          <w:p>
            <w:pPr>
              <w:spacing w:after="20"/>
            </w:pPr>
            <w:r/>
            <w:r>
              <w:rPr>
                <w:b w:val="0"/>
                <w:sz w:val="17"/>
              </w:rPr>
              <w:t>Kenyan law and codes</w:t>
            </w:r>
          </w:p>
        </w:tc>
        <w:tc>
          <w:tcPr>
            <w:tcW w:type="dxa" w:w="6463"/>
            <w:shd w:val="clear" w:color="auto" w:fill="EBF5FB"/>
          </w:tcPr>
          <w:p>
            <w:pPr>
              <w:spacing w:after="20"/>
            </w:pPr>
            <w:r/>
            <w:r>
              <w:rPr>
                <w:b w:val="0"/>
                <w:sz w:val="17"/>
              </w:rPr>
              <w:t>NSSF Act 2013; Retirement Benefits Act and regulations (RBA); Public Finance Management Act 2012 and regulations; Treasury Circular 3/2009 on institutional risk management; Mwongozo Code of Governance for State Corporations; Data Protection Act 2019 and its regulations; Public Procurement and Asset Disposal Act 2015; Occupational Safety and Health Act 2007; Anti-Corruption and Economic Crimes Act 2003; Proceeds of Crime and Anti-Money Laundering Act 2009; Access to Information Act 2016</w:t>
            </w:r>
          </w:p>
        </w:tc>
      </w:tr>
    </w:tbl>
    <w:p>
      <w:pPr>
        <w:spacing w:after="40"/>
      </w:pPr>
    </w:p>
    <w:p>
      <w:pPr>
        <w:pStyle w:val="Heading1"/>
      </w:pPr>
      <w:r>
        <w:t>6. Target Operating Model in the System</w:t>
      </w:r>
    </w:p>
    <w:p>
      <w:pPr>
        <w:pStyle w:val="Heading2"/>
      </w:pPr>
      <w:r>
        <w:t>6.1 Traceability chain</w:t>
      </w:r>
    </w:p>
    <w:p>
      <w:r>
        <w:rPr>
          <w:i w:val="0"/>
        </w:rPr>
        <w:t>The system's data model must enforce the chain set out in the GRC Module TOR, extended for BCM and compliance:</w:t>
      </w:r>
    </w:p>
    <w:p>
      <w:pPr>
        <w:jc w:val="center"/>
      </w:pPr>
      <w:r>
        <w:rPr>
          <w:b/>
          <w:i w:val="0"/>
          <w:color w:val="1A5276"/>
        </w:rPr>
        <w:t>Objective → Risk → Cause / Event / Consequence → Control → Control Assessment → Issue / Finding / Breach / Incident → Action → Owner → Due Date → Evidence → Second-line Verification → Closure</w:t>
      </w:r>
    </w:p>
    <w:p>
      <w:r>
        <w:rPr>
          <w:i w:val="0"/>
        </w:rPr>
        <w:t>BCM extension: Product/Service → Prioritised Activity → Dependencies → RTO/RPO/MTPD → Recovery Strategy → Plan → Exercise → Lesson → Action.</w:t>
      </w:r>
    </w:p>
    <w:p>
      <w:r>
        <w:rPr>
          <w:i w:val="0"/>
        </w:rPr>
        <w:t>Compliance extension: Obligation → Owner → Compliance Risk Rating → Control → Monitoring Test / Attestation → Breach → Action → Regulator Notification.</w:t>
      </w:r>
    </w:p>
    <w:p>
      <w:pPr>
        <w:pStyle w:val="Heading2"/>
      </w:pPr>
      <w:r>
        <w:t>6.2 Roles in the system (Three Lines)</w:t>
      </w:r>
    </w:p>
    <w:tbl>
      <w:tblPr>
        <w:tblStyle w:val="TableGrid"/>
        <w:tblW w:type="auto" w:w="0"/>
        <w:jc w:val="center"/>
        <w:tblLayout w:type="fixed"/>
        <w:tblLook w:firstColumn="1" w:firstRow="1" w:lastColumn="0" w:lastRow="0" w:noHBand="0" w:noVBand="1" w:val="04A0"/>
      </w:tblPr>
      <w:tblGrid>
        <w:gridCol w:w="2835"/>
        <w:gridCol w:w="1361"/>
        <w:gridCol w:w="5216"/>
      </w:tblGrid>
      <w:tr>
        <w:trPr>
          <w:tblHeader w:val="true"/>
        </w:trPr>
        <w:tc>
          <w:tcPr>
            <w:tcW w:type="dxa" w:w="2835"/>
            <w:shd w:val="clear" w:color="auto" w:fill="1A5276"/>
          </w:tcPr>
          <w:p>
            <w:r/>
            <w:r>
              <w:rPr>
                <w:b/>
                <w:color w:val="FFFFFF"/>
                <w:sz w:val="17"/>
              </w:rPr>
              <w:t>Role</w:t>
            </w:r>
          </w:p>
        </w:tc>
        <w:tc>
          <w:tcPr>
            <w:tcW w:type="dxa" w:w="1361"/>
            <w:shd w:val="clear" w:color="auto" w:fill="1A5276"/>
          </w:tcPr>
          <w:p>
            <w:r/>
            <w:r>
              <w:rPr>
                <w:b/>
                <w:color w:val="FFFFFF"/>
                <w:sz w:val="17"/>
              </w:rPr>
              <w:t>Line</w:t>
            </w:r>
          </w:p>
        </w:tc>
        <w:tc>
          <w:tcPr>
            <w:tcW w:type="dxa" w:w="5216"/>
            <w:shd w:val="clear" w:color="auto" w:fill="1A5276"/>
          </w:tcPr>
          <w:p>
            <w:r/>
            <w:r>
              <w:rPr>
                <w:b/>
                <w:color w:val="FFFFFF"/>
                <w:sz w:val="17"/>
              </w:rPr>
              <w:t>Key system rights</w:t>
            </w:r>
          </w:p>
        </w:tc>
      </w:tr>
      <w:tr>
        <w:tc>
          <w:tcPr>
            <w:tcW w:type="dxa" w:w="2835"/>
          </w:tcPr>
          <w:p>
            <w:pPr>
              <w:spacing w:after="20"/>
            </w:pPr>
            <w:r/>
            <w:r>
              <w:rPr>
                <w:b w:val="0"/>
                <w:sz w:val="17"/>
              </w:rPr>
              <w:t>Board of Trustees / ARC</w:t>
            </w:r>
          </w:p>
        </w:tc>
        <w:tc>
          <w:tcPr>
            <w:tcW w:type="dxa" w:w="1361"/>
          </w:tcPr>
          <w:p>
            <w:pPr>
              <w:spacing w:after="20"/>
            </w:pPr>
            <w:r/>
            <w:r>
              <w:rPr>
                <w:b w:val="0"/>
                <w:sz w:val="17"/>
              </w:rPr>
              <w:t>Governance</w:t>
            </w:r>
          </w:p>
        </w:tc>
        <w:tc>
          <w:tcPr>
            <w:tcW w:type="dxa" w:w="5216"/>
          </w:tcPr>
          <w:p>
            <w:pPr>
              <w:spacing w:after="20"/>
            </w:pPr>
            <w:r/>
            <w:r>
              <w:rPr>
                <w:b w:val="0"/>
                <w:sz w:val="17"/>
              </w:rPr>
              <w:t>Read-only portal: Board dashboards, top risks, appetite breaches, BCM readiness, compliance status</w:t>
            </w:r>
          </w:p>
        </w:tc>
      </w:tr>
      <w:tr>
        <w:tc>
          <w:tcPr>
            <w:tcW w:type="dxa" w:w="2835"/>
            <w:shd w:val="clear" w:color="auto" w:fill="EBF5FB"/>
          </w:tcPr>
          <w:p>
            <w:pPr>
              <w:spacing w:after="20"/>
            </w:pPr>
            <w:r/>
            <w:r>
              <w:rPr>
                <w:b w:val="0"/>
                <w:sz w:val="17"/>
              </w:rPr>
              <w:t>Managing Trustee / Senior Management</w:t>
            </w:r>
          </w:p>
        </w:tc>
        <w:tc>
          <w:tcPr>
            <w:tcW w:type="dxa" w:w="1361"/>
            <w:shd w:val="clear" w:color="auto" w:fill="EBF5FB"/>
          </w:tcPr>
          <w:p>
            <w:pPr>
              <w:spacing w:after="20"/>
            </w:pPr>
            <w:r/>
            <w:r>
              <w:rPr>
                <w:b w:val="0"/>
                <w:sz w:val="17"/>
              </w:rPr>
              <w:t>Management</w:t>
            </w:r>
          </w:p>
        </w:tc>
        <w:tc>
          <w:tcPr>
            <w:tcW w:type="dxa" w:w="5216"/>
            <w:shd w:val="clear" w:color="auto" w:fill="EBF5FB"/>
          </w:tcPr>
          <w:p>
            <w:pPr>
              <w:spacing w:after="20"/>
            </w:pPr>
            <w:r/>
            <w:r>
              <w:rPr>
                <w:b w:val="0"/>
                <w:sz w:val="17"/>
              </w:rPr>
              <w:t>Approve corporate register, accept High residual risks, approve recovery strategies, receive escalations</w:t>
            </w:r>
          </w:p>
        </w:tc>
      </w:tr>
      <w:tr>
        <w:tc>
          <w:tcPr>
            <w:tcW w:type="dxa" w:w="2835"/>
          </w:tcPr>
          <w:p>
            <w:pPr>
              <w:spacing w:after="20"/>
            </w:pPr>
            <w:r/>
            <w:r>
              <w:rPr>
                <w:b w:val="0"/>
                <w:sz w:val="17"/>
              </w:rPr>
              <w:t>HODs, Regional Managers, Branch Managers, OICs</w:t>
            </w:r>
          </w:p>
        </w:tc>
        <w:tc>
          <w:tcPr>
            <w:tcW w:type="dxa" w:w="1361"/>
          </w:tcPr>
          <w:p>
            <w:pPr>
              <w:spacing w:after="20"/>
            </w:pPr>
            <w:r/>
            <w:r>
              <w:rPr>
                <w:b w:val="0"/>
                <w:sz w:val="17"/>
              </w:rPr>
              <w:t>1st</w:t>
            </w:r>
          </w:p>
        </w:tc>
        <w:tc>
          <w:tcPr>
            <w:tcW w:type="dxa" w:w="5216"/>
          </w:tcPr>
          <w:p>
            <w:pPr>
              <w:spacing w:after="20"/>
            </w:pPr>
            <w:r/>
            <w:r>
              <w:rPr>
                <w:b w:val="0"/>
                <w:sz w:val="17"/>
              </w:rPr>
              <w:t>Approve unit registers, BIAs, BCPs, attestations; assign actions</w:t>
            </w:r>
          </w:p>
        </w:tc>
      </w:tr>
      <w:tr>
        <w:tc>
          <w:tcPr>
            <w:tcW w:type="dxa" w:w="2835"/>
            <w:shd w:val="clear" w:color="auto" w:fill="EBF5FB"/>
          </w:tcPr>
          <w:p>
            <w:pPr>
              <w:spacing w:after="20"/>
            </w:pPr>
            <w:r/>
            <w:r>
              <w:rPr>
                <w:b w:val="0"/>
                <w:sz w:val="17"/>
              </w:rPr>
              <w:t>Risk Owners / Action Owners</w:t>
            </w:r>
          </w:p>
        </w:tc>
        <w:tc>
          <w:tcPr>
            <w:tcW w:type="dxa" w:w="1361"/>
            <w:shd w:val="clear" w:color="auto" w:fill="EBF5FB"/>
          </w:tcPr>
          <w:p>
            <w:pPr>
              <w:spacing w:after="20"/>
            </w:pPr>
            <w:r/>
            <w:r>
              <w:rPr>
                <w:b w:val="0"/>
                <w:sz w:val="17"/>
              </w:rPr>
              <w:t>1st</w:t>
            </w:r>
          </w:p>
        </w:tc>
        <w:tc>
          <w:tcPr>
            <w:tcW w:type="dxa" w:w="5216"/>
            <w:shd w:val="clear" w:color="auto" w:fill="EBF5FB"/>
          </w:tcPr>
          <w:p>
            <w:pPr>
              <w:spacing w:after="20"/>
            </w:pPr>
            <w:r/>
            <w:r>
              <w:rPr>
                <w:b w:val="0"/>
                <w:sz w:val="17"/>
              </w:rPr>
              <w:t>Update risks, controls, KRIs and actions; upload evidence</w:t>
            </w:r>
          </w:p>
        </w:tc>
      </w:tr>
      <w:tr>
        <w:tc>
          <w:tcPr>
            <w:tcW w:type="dxa" w:w="2835"/>
          </w:tcPr>
          <w:p>
            <w:pPr>
              <w:spacing w:after="20"/>
            </w:pPr>
            <w:r/>
            <w:r>
              <w:rPr>
                <w:b w:val="0"/>
                <w:sz w:val="17"/>
              </w:rPr>
              <w:t>Risk / BCM / Compliance Champions</w:t>
            </w:r>
          </w:p>
        </w:tc>
        <w:tc>
          <w:tcPr>
            <w:tcW w:type="dxa" w:w="1361"/>
          </w:tcPr>
          <w:p>
            <w:pPr>
              <w:spacing w:after="20"/>
            </w:pPr>
            <w:r/>
            <w:r>
              <w:rPr>
                <w:b w:val="0"/>
                <w:sz w:val="17"/>
              </w:rPr>
              <w:t>1st</w:t>
            </w:r>
          </w:p>
        </w:tc>
        <w:tc>
          <w:tcPr>
            <w:tcW w:type="dxa" w:w="5216"/>
          </w:tcPr>
          <w:p>
            <w:pPr>
              <w:spacing w:after="20"/>
            </w:pPr>
            <w:r/>
            <w:r>
              <w:rPr>
                <w:b w:val="0"/>
                <w:sz w:val="17"/>
              </w:rPr>
              <w:t>Facilitate and enter assessments; follow up actions; prepare quarterly unit reports (Annex 12.3)</w:t>
            </w:r>
          </w:p>
        </w:tc>
      </w:tr>
      <w:tr>
        <w:tc>
          <w:tcPr>
            <w:tcW w:type="dxa" w:w="2835"/>
            <w:shd w:val="clear" w:color="auto" w:fill="EBF5FB"/>
          </w:tcPr>
          <w:p>
            <w:pPr>
              <w:spacing w:after="20"/>
            </w:pPr>
            <w:r/>
            <w:r>
              <w:rPr>
                <w:b w:val="0"/>
                <w:sz w:val="17"/>
              </w:rPr>
              <w:t>Risk Management Department (Risk, BCM, Compliance officers)</w:t>
            </w:r>
          </w:p>
        </w:tc>
        <w:tc>
          <w:tcPr>
            <w:tcW w:type="dxa" w:w="1361"/>
            <w:shd w:val="clear" w:color="auto" w:fill="EBF5FB"/>
          </w:tcPr>
          <w:p>
            <w:pPr>
              <w:spacing w:after="20"/>
            </w:pPr>
            <w:r/>
            <w:r>
              <w:rPr>
                <w:b w:val="0"/>
                <w:sz w:val="17"/>
              </w:rPr>
              <w:t>2nd</w:t>
            </w:r>
          </w:p>
        </w:tc>
        <w:tc>
          <w:tcPr>
            <w:tcW w:type="dxa" w:w="5216"/>
            <w:shd w:val="clear" w:color="auto" w:fill="EBF5FB"/>
          </w:tcPr>
          <w:p>
            <w:pPr>
              <w:spacing w:after="20"/>
            </w:pPr>
            <w:r/>
            <w:r>
              <w:rPr>
                <w:b w:val="0"/>
                <w:sz w:val="17"/>
              </w:rPr>
              <w:t>Configure methodology, launch campaigns, review and challenge, verify closure, consolidate and report</w:t>
            </w:r>
          </w:p>
        </w:tc>
      </w:tr>
      <w:tr>
        <w:tc>
          <w:tcPr>
            <w:tcW w:type="dxa" w:w="2835"/>
          </w:tcPr>
          <w:p>
            <w:pPr>
              <w:spacing w:after="20"/>
            </w:pPr>
            <w:r/>
            <w:r>
              <w:rPr>
                <w:b w:val="0"/>
                <w:sz w:val="17"/>
              </w:rPr>
              <w:t>ICT (DR coordinator, Security)</w:t>
            </w:r>
          </w:p>
        </w:tc>
        <w:tc>
          <w:tcPr>
            <w:tcW w:type="dxa" w:w="1361"/>
          </w:tcPr>
          <w:p>
            <w:pPr>
              <w:spacing w:after="20"/>
            </w:pPr>
            <w:r/>
            <w:r>
              <w:rPr>
                <w:b w:val="0"/>
                <w:sz w:val="17"/>
              </w:rPr>
              <w:t>1st/2nd</w:t>
            </w:r>
          </w:p>
        </w:tc>
        <w:tc>
          <w:tcPr>
            <w:tcW w:type="dxa" w:w="5216"/>
          </w:tcPr>
          <w:p>
            <w:pPr>
              <w:spacing w:after="20"/>
            </w:pPr>
            <w:r/>
            <w:r>
              <w:rPr>
                <w:b w:val="0"/>
                <w:sz w:val="17"/>
              </w:rPr>
              <w:t>Maintain application inventory, DRP, IS risk register, SoA</w:t>
            </w:r>
          </w:p>
        </w:tc>
      </w:tr>
      <w:tr>
        <w:tc>
          <w:tcPr>
            <w:tcW w:type="dxa" w:w="2835"/>
            <w:shd w:val="clear" w:color="auto" w:fill="EBF5FB"/>
          </w:tcPr>
          <w:p>
            <w:pPr>
              <w:spacing w:after="20"/>
            </w:pPr>
            <w:r/>
            <w:r>
              <w:rPr>
                <w:b w:val="0"/>
                <w:sz w:val="17"/>
              </w:rPr>
              <w:t>Internal Audit</w:t>
            </w:r>
          </w:p>
        </w:tc>
        <w:tc>
          <w:tcPr>
            <w:tcW w:type="dxa" w:w="1361"/>
            <w:shd w:val="clear" w:color="auto" w:fill="EBF5FB"/>
          </w:tcPr>
          <w:p>
            <w:pPr>
              <w:spacing w:after="20"/>
            </w:pPr>
            <w:r/>
            <w:r>
              <w:rPr>
                <w:b w:val="0"/>
                <w:sz w:val="17"/>
              </w:rPr>
              <w:t>3rd</w:t>
            </w:r>
          </w:p>
        </w:tc>
        <w:tc>
          <w:tcPr>
            <w:tcW w:type="dxa" w:w="5216"/>
            <w:shd w:val="clear" w:color="auto" w:fill="EBF5FB"/>
          </w:tcPr>
          <w:p>
            <w:pPr>
              <w:spacing w:after="20"/>
            </w:pPr>
            <w:r/>
            <w:r>
              <w:rPr>
                <w:b w:val="0"/>
                <w:sz w:val="17"/>
              </w:rPr>
              <w:t>Read-only across all modules; raise findings that flow into the action tracker</w:t>
            </w:r>
          </w:p>
        </w:tc>
      </w:tr>
      <w:tr>
        <w:tc>
          <w:tcPr>
            <w:tcW w:type="dxa" w:w="2835"/>
          </w:tcPr>
          <w:p>
            <w:pPr>
              <w:spacing w:after="20"/>
            </w:pPr>
            <w:r/>
            <w:r>
              <w:rPr>
                <w:b w:val="0"/>
                <w:sz w:val="17"/>
              </w:rPr>
              <w:t>System Administrator</w:t>
            </w:r>
          </w:p>
        </w:tc>
        <w:tc>
          <w:tcPr>
            <w:tcW w:type="dxa" w:w="1361"/>
          </w:tcPr>
          <w:p>
            <w:pPr>
              <w:spacing w:after="20"/>
            </w:pPr>
            <w:r/>
            <w:r>
              <w:rPr>
                <w:b w:val="0"/>
                <w:sz w:val="17"/>
              </w:rPr>
              <w:t>Support</w:t>
            </w:r>
          </w:p>
        </w:tc>
        <w:tc>
          <w:tcPr>
            <w:tcW w:type="dxa" w:w="5216"/>
          </w:tcPr>
          <w:p>
            <w:pPr>
              <w:spacing w:after="20"/>
            </w:pPr>
            <w:r/>
            <w:r>
              <w:rPr>
                <w:b w:val="0"/>
                <w:sz w:val="17"/>
              </w:rPr>
              <w:t>User, role and configuration management; no rights to approve risk content (SoD)</w:t>
            </w:r>
          </w:p>
        </w:tc>
      </w:tr>
    </w:tbl>
    <w:p>
      <w:pPr>
        <w:spacing w:after="40"/>
      </w:pPr>
    </w:p>
    <w:p>
      <w:pPr>
        <w:pStyle w:val="Heading1"/>
      </w:pPr>
      <w:r>
        <w:t>7. Functional Requirements</w:t>
      </w:r>
    </w:p>
    <w:p>
      <w:r>
        <w:rPr>
          <w:i w:val="0"/>
        </w:rPr>
        <w:t>Priority: M = Must (mandatory, non-compliance disqualifies), S = Should (scored), C = Could (scored, low weight). Bidders must respond to each line as Fully Met (standard), Met by Configuration, Met by Customisation, Roadmap, or Not Met, with evidence.</w:t>
      </w:r>
    </w:p>
    <w:p>
      <w:pPr>
        <w:pStyle w:val="Heading2"/>
      </w:pPr>
      <w:r>
        <w:t>7.1 Module A: Enterprise Risk Assessment</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RA-01</w:t>
            </w:r>
          </w:p>
        </w:tc>
        <w:tc>
          <w:tcPr>
            <w:tcW w:type="dxa" w:w="7483"/>
          </w:tcPr>
          <w:p>
            <w:pPr>
              <w:spacing w:after="20"/>
            </w:pPr>
            <w:r/>
            <w:r>
              <w:rPr>
                <w:b w:val="0"/>
                <w:sz w:val="17"/>
              </w:rPr>
              <w:t>Configurable risk taxonomy pre-loaded with the 11 NSSF categories: Governance, Strategy, Operational, Financial, Compliance, Information Security, Business Continuity, Project, Fraud, Health &amp; Safety, and ESG, with sub-categories.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RA-02</w:t>
            </w:r>
          </w:p>
        </w:tc>
        <w:tc>
          <w:tcPr>
            <w:tcW w:type="dxa" w:w="7483"/>
            <w:shd w:val="clear" w:color="auto" w:fill="EBF5FB"/>
          </w:tcPr>
          <w:p>
            <w:pPr>
              <w:spacing w:after="20"/>
            </w:pPr>
            <w:r/>
            <w:r>
              <w:rPr>
                <w:b w:val="0"/>
                <w:sz w:val="17"/>
              </w:rPr>
              <w:t>Multi-level registers (Corporate/Strategic, Division, Department, Region, Branch, Sub-branch/Huduma, Project, ICT/IS, Fraud, BCM) with automatic roll-up to the Corporate Risk Register and drill-down to source.</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RA-03</w:t>
            </w:r>
          </w:p>
        </w:tc>
        <w:tc>
          <w:tcPr>
            <w:tcW w:type="dxa" w:w="7483"/>
          </w:tcPr>
          <w:p>
            <w:pPr>
              <w:spacing w:after="20"/>
            </w:pPr>
            <w:r/>
            <w:r>
              <w:rPr>
                <w:b w:val="0"/>
                <w:sz w:val="17"/>
              </w:rPr>
              <w:t>Organisation hierarchy synchronised from HRMIS/SAP so that restructures update ownership without manual rework.</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RA-04</w:t>
            </w:r>
          </w:p>
        </w:tc>
        <w:tc>
          <w:tcPr>
            <w:tcW w:type="dxa" w:w="7483"/>
            <w:shd w:val="clear" w:color="auto" w:fill="EBF5FB"/>
          </w:tcPr>
          <w:p>
            <w:pPr>
              <w:spacing w:after="20"/>
            </w:pPr>
            <w:r/>
            <w:r>
              <w:rPr>
                <w:b w:val="0"/>
                <w:sz w:val="17"/>
              </w:rPr>
              <w:t>Risk record fields at minimum: ID, title, risk statement in cause-event-consequence form, category, linked strategic objective and process, risk owner, champion, existing controls, inherent likelihood and impact, residual likelihood and impact, target rating, treatment option, actions, KRIs, review date, status, attachments.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RA-05</w:t>
            </w:r>
          </w:p>
        </w:tc>
        <w:tc>
          <w:tcPr>
            <w:tcW w:type="dxa" w:w="7483"/>
          </w:tcPr>
          <w:p>
            <w:pPr>
              <w:spacing w:after="20"/>
            </w:pPr>
            <w:r/>
            <w:r>
              <w:rPr>
                <w:b w:val="0"/>
                <w:sz w:val="17"/>
              </w:rPr>
              <w:t>Configurable 5×5 matrix with NSSF descriptors (likelihood 1 Rare to 5 Almost Certain; impact 1 Insignificant to 5 Catastrophic across financial, member/stakeholder, reputational, regulatory and service dimensions). Score = L × I. Rating bands: High 15-25 (Unacceptable), Medium 5-12 (Tolerable), Low 1-4 (Acceptable), with red/amber/green colours.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RA-06</w:t>
            </w:r>
          </w:p>
        </w:tc>
        <w:tc>
          <w:tcPr>
            <w:tcW w:type="dxa" w:w="7483"/>
            <w:shd w:val="clear" w:color="auto" w:fill="EBF5FB"/>
          </w:tcPr>
          <w:p>
            <w:pPr>
              <w:spacing w:after="20"/>
            </w:pPr>
            <w:r/>
            <w:r>
              <w:rPr>
                <w:b w:val="0"/>
                <w:sz w:val="17"/>
              </w:rPr>
              <w:t>Control library with control type (preventive, detective, corrective), owner, frequency, and separate ratings for design and operating effectiveness. Automatic control effectiveness score per register, unit and Fund: ROUND((Residual total ÷ Inherent total) × 5, 0), 1 Excellent to 5 Poor.</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RA-07</w:t>
            </w:r>
          </w:p>
        </w:tc>
        <w:tc>
          <w:tcPr>
            <w:tcW w:type="dxa" w:w="7483"/>
          </w:tcPr>
          <w:p>
            <w:pPr>
              <w:spacing w:after="20"/>
            </w:pPr>
            <w:r/>
            <w:r>
              <w:rPr>
                <w:b w:val="0"/>
                <w:sz w:val="17"/>
              </w:rPr>
              <w:t>RCSA campaigns: RM Dept launches annual or quarterly campaigns to selected units with templates, deadlines and reminders; champion enters, owner submits, RM Dept reviews and challenges, HOD approves; approved register locked and versioned.</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RA-08</w:t>
            </w:r>
          </w:p>
        </w:tc>
        <w:tc>
          <w:tcPr>
            <w:tcW w:type="dxa" w:w="7483"/>
            <w:shd w:val="clear" w:color="auto" w:fill="EBF5FB"/>
          </w:tcPr>
          <w:p>
            <w:pPr>
              <w:spacing w:after="20"/>
            </w:pPr>
            <w:r/>
            <w:r>
              <w:rPr>
                <w:b w:val="0"/>
                <w:sz w:val="17"/>
              </w:rPr>
              <w:t>Workshop mode: bulk entry grid, live heat map for projection in workshops, and an offline Excel template that imports with validation and error reporting.</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RA-09</w:t>
            </w:r>
          </w:p>
        </w:tc>
        <w:tc>
          <w:tcPr>
            <w:tcW w:type="dxa" w:w="7483"/>
          </w:tcPr>
          <w:p>
            <w:pPr>
              <w:spacing w:after="20"/>
            </w:pPr>
            <w:r/>
            <w:r>
              <w:rPr>
                <w:b w:val="0"/>
                <w:sz w:val="17"/>
              </w:rPr>
              <w:t>Risk Advisory (ERM Table 5): ad hoc capture of a risk by Internal Audit, RM staff or Champions, routed to the risk owner for a response within a set period.</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RA-10</w:t>
            </w:r>
          </w:p>
        </w:tc>
        <w:tc>
          <w:tcPr>
            <w:tcW w:type="dxa" w:w="7483"/>
            <w:shd w:val="clear" w:color="auto" w:fill="EBF5FB"/>
          </w:tcPr>
          <w:p>
            <w:pPr>
              <w:spacing w:after="20"/>
            </w:pPr>
            <w:r/>
            <w:r>
              <w:rPr>
                <w:b w:val="0"/>
                <w:sz w:val="17"/>
              </w:rPr>
              <w:t>Risk appetite and tolerance: store Board-approved statements per category, including zero-appetite categories (regulatory non-compliance, fraud, corruption, harassment, information integrity, injury). Flag and escalate any residual rating or KRI outside appetite.</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RA-11</w:t>
            </w:r>
          </w:p>
        </w:tc>
        <w:tc>
          <w:tcPr>
            <w:tcW w:type="dxa" w:w="7483"/>
          </w:tcPr>
          <w:p>
            <w:pPr>
              <w:spacing w:after="20"/>
            </w:pPr>
            <w:r/>
            <w:r>
              <w:rPr>
                <w:b w:val="0"/>
                <w:sz w:val="17"/>
              </w:rPr>
              <w:t>Risk acceptance workflow: formal acceptance of a residual risk with justification, approval by delegated authority (High residual: Managing Trustee with ARC notification), and expiry date for re-review.</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RA-12</w:t>
            </w:r>
          </w:p>
        </w:tc>
        <w:tc>
          <w:tcPr>
            <w:tcW w:type="dxa" w:w="7483"/>
            <w:shd w:val="clear" w:color="auto" w:fill="EBF5FB"/>
          </w:tcPr>
          <w:p>
            <w:pPr>
              <w:spacing w:after="20"/>
            </w:pPr>
            <w:r/>
            <w:r>
              <w:rPr>
                <w:b w:val="0"/>
                <w:sz w:val="17"/>
              </w:rPr>
              <w:t>Rating movement history: quarter-on-quarter trend arrows, reason for each change, point-in-time snapshots for each reporting period.</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RA-13</w:t>
            </w:r>
          </w:p>
        </w:tc>
        <w:tc>
          <w:tcPr>
            <w:tcW w:type="dxa" w:w="7483"/>
          </w:tcPr>
          <w:p>
            <w:pPr>
              <w:spacing w:after="20"/>
            </w:pPr>
            <w:r/>
            <w:r>
              <w:rPr>
                <w:b w:val="0"/>
                <w:sz w:val="17"/>
              </w:rPr>
              <w:t>Information Security risk process per ERM Annex 12.4: process and information asset inventory, CIA threat classification, vulnerabilities, mapping to ISO/IEC 27001:2022 Annex A, auto-generated Statement of Applicability with justifications, treatment plan with owner approval.</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RA-14</w:t>
            </w:r>
          </w:p>
        </w:tc>
        <w:tc>
          <w:tcPr>
            <w:tcW w:type="dxa" w:w="7483"/>
            <w:shd w:val="clear" w:color="auto" w:fill="EBF5FB"/>
          </w:tcPr>
          <w:p>
            <w:pPr>
              <w:spacing w:after="20"/>
            </w:pPr>
            <w:r/>
            <w:r>
              <w:rPr>
                <w:b w:val="0"/>
                <w:sz w:val="17"/>
              </w:rPr>
              <w:t>Project risk assessments by lifecycle phase (Initiation, Implementation, Execution, Completion), PESTLE tagging, for capital and PPP projects, linked to the project in SAP PS or the PMO register.</w:t>
            </w:r>
          </w:p>
        </w:tc>
        <w:tc>
          <w:tcPr>
            <w:tcW w:type="dxa" w:w="1020"/>
            <w:shd w:val="clear" w:color="auto" w:fill="EBF5FB"/>
          </w:tcPr>
          <w:p>
            <w:pPr>
              <w:spacing w:after="20"/>
            </w:pPr>
            <w:r/>
            <w:r>
              <w:rPr>
                <w:b w:val="0"/>
                <w:sz w:val="17"/>
              </w:rPr>
              <w:t>S</w:t>
            </w:r>
          </w:p>
        </w:tc>
      </w:tr>
      <w:tr>
        <w:tc>
          <w:tcPr>
            <w:tcW w:type="dxa" w:w="907"/>
          </w:tcPr>
          <w:p>
            <w:pPr>
              <w:spacing w:after="20"/>
            </w:pPr>
            <w:r/>
            <w:r>
              <w:rPr>
                <w:b w:val="0"/>
                <w:sz w:val="17"/>
              </w:rPr>
              <w:t>RA-15</w:t>
            </w:r>
          </w:p>
        </w:tc>
        <w:tc>
          <w:tcPr>
            <w:tcW w:type="dxa" w:w="7483"/>
          </w:tcPr>
          <w:p>
            <w:pPr>
              <w:spacing w:after="20"/>
            </w:pPr>
            <w:r/>
            <w:r>
              <w:rPr>
                <w:b w:val="0"/>
                <w:sz w:val="17"/>
              </w:rPr>
              <w:t>Fraud risk assessment: fraud scheme library, red flags, link to incidents and whistleblowing cases (case content restricted).</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RA-16</w:t>
            </w:r>
          </w:p>
        </w:tc>
        <w:tc>
          <w:tcPr>
            <w:tcW w:type="dxa" w:w="7483"/>
            <w:shd w:val="clear" w:color="auto" w:fill="EBF5FB"/>
          </w:tcPr>
          <w:p>
            <w:pPr>
              <w:spacing w:after="20"/>
            </w:pPr>
            <w:r/>
            <w:r>
              <w:rPr>
                <w:b w:val="0"/>
                <w:sz w:val="17"/>
              </w:rPr>
              <w:t>Emerging risks register with horizon-scanning source, watch status and one-click promotion to a register.</w:t>
            </w:r>
          </w:p>
        </w:tc>
        <w:tc>
          <w:tcPr>
            <w:tcW w:type="dxa" w:w="1020"/>
            <w:shd w:val="clear" w:color="auto" w:fill="EBF5FB"/>
          </w:tcPr>
          <w:p>
            <w:pPr>
              <w:spacing w:after="20"/>
            </w:pPr>
            <w:r/>
            <w:r>
              <w:rPr>
                <w:b w:val="0"/>
                <w:sz w:val="17"/>
              </w:rPr>
              <w:t>S</w:t>
            </w:r>
          </w:p>
        </w:tc>
      </w:tr>
      <w:tr>
        <w:tc>
          <w:tcPr>
            <w:tcW w:type="dxa" w:w="907"/>
          </w:tcPr>
          <w:p>
            <w:pPr>
              <w:spacing w:after="20"/>
            </w:pPr>
            <w:r/>
            <w:r>
              <w:rPr>
                <w:b w:val="0"/>
                <w:sz w:val="17"/>
              </w:rPr>
              <w:t>RA-17</w:t>
            </w:r>
          </w:p>
        </w:tc>
        <w:tc>
          <w:tcPr>
            <w:tcW w:type="dxa" w:w="7483"/>
          </w:tcPr>
          <w:p>
            <w:pPr>
              <w:spacing w:after="20"/>
            </w:pPr>
            <w:r/>
            <w:r>
              <w:rPr>
                <w:b w:val="0"/>
                <w:sz w:val="17"/>
              </w:rPr>
              <w:t>Scenario and stress-testing library: severe-but-plausible scenarios with minimum, most-likely and maximum loss estimates, linked risks and controls.</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RA-18</w:t>
            </w:r>
          </w:p>
        </w:tc>
        <w:tc>
          <w:tcPr>
            <w:tcW w:type="dxa" w:w="7483"/>
            <w:shd w:val="clear" w:color="auto" w:fill="EBF5FB"/>
          </w:tcPr>
          <w:p>
            <w:pPr>
              <w:spacing w:after="20"/>
            </w:pPr>
            <w:r/>
            <w:r>
              <w:rPr>
                <w:b w:val="0"/>
                <w:sz w:val="17"/>
              </w:rPr>
              <w:t>Monte Carlo simulation of scenario and loss estimates (native, or one-click export to Excel in a format ready for simulation) producing loss distributions, P50/P90/P95 values and a tornado view of drivers.</w:t>
            </w:r>
          </w:p>
        </w:tc>
        <w:tc>
          <w:tcPr>
            <w:tcW w:type="dxa" w:w="1020"/>
            <w:shd w:val="clear" w:color="auto" w:fill="EBF5FB"/>
          </w:tcPr>
          <w:p>
            <w:pPr>
              <w:spacing w:after="20"/>
            </w:pPr>
            <w:r/>
            <w:r>
              <w:rPr>
                <w:b w:val="0"/>
                <w:sz w:val="17"/>
              </w:rPr>
              <w:t>C</w:t>
            </w:r>
          </w:p>
        </w:tc>
      </w:tr>
      <w:tr>
        <w:tc>
          <w:tcPr>
            <w:tcW w:type="dxa" w:w="907"/>
          </w:tcPr>
          <w:p>
            <w:pPr>
              <w:spacing w:after="20"/>
            </w:pPr>
            <w:r/>
            <w:r>
              <w:rPr>
                <w:b w:val="0"/>
                <w:sz w:val="17"/>
              </w:rPr>
              <w:t>RA-19</w:t>
            </w:r>
          </w:p>
        </w:tc>
        <w:tc>
          <w:tcPr>
            <w:tcW w:type="dxa" w:w="7483"/>
          </w:tcPr>
          <w:p>
            <w:pPr>
              <w:spacing w:after="20"/>
            </w:pPr>
            <w:r/>
            <w:r>
              <w:rPr>
                <w:b w:val="0"/>
                <w:sz w:val="17"/>
              </w:rPr>
              <w:t>Risk interconnection and bow-tie view linking causes, events, consequences, preventive and recovery controls, and related risks.</w:t>
            </w:r>
          </w:p>
        </w:tc>
        <w:tc>
          <w:tcPr>
            <w:tcW w:type="dxa" w:w="1020"/>
          </w:tcPr>
          <w:p>
            <w:pPr>
              <w:spacing w:after="20"/>
            </w:pPr>
            <w:r/>
            <w:r>
              <w:rPr>
                <w:b w:val="0"/>
                <w:sz w:val="17"/>
              </w:rPr>
              <w:t>C</w:t>
            </w:r>
          </w:p>
        </w:tc>
      </w:tr>
      <w:tr>
        <w:tc>
          <w:tcPr>
            <w:tcW w:type="dxa" w:w="907"/>
            <w:shd w:val="clear" w:color="auto" w:fill="EBF5FB"/>
          </w:tcPr>
          <w:p>
            <w:pPr>
              <w:spacing w:after="20"/>
            </w:pPr>
            <w:r/>
            <w:r>
              <w:rPr>
                <w:b w:val="0"/>
                <w:sz w:val="17"/>
              </w:rPr>
              <w:t>RA-20</w:t>
            </w:r>
          </w:p>
        </w:tc>
        <w:tc>
          <w:tcPr>
            <w:tcW w:type="dxa" w:w="7483"/>
            <w:shd w:val="clear" w:color="auto" w:fill="EBF5FB"/>
          </w:tcPr>
          <w:p>
            <w:pPr>
              <w:spacing w:after="20"/>
            </w:pPr>
            <w:r/>
            <w:r>
              <w:rPr>
                <w:b w:val="0"/>
                <w:sz w:val="17"/>
              </w:rPr>
              <w:t>Third-party risk: supplier risk tiering, due-diligence questionnaires, linkage to contracts and to critical supplier records in Module B.</w:t>
            </w:r>
          </w:p>
        </w:tc>
        <w:tc>
          <w:tcPr>
            <w:tcW w:type="dxa" w:w="1020"/>
            <w:shd w:val="clear" w:color="auto" w:fill="EBF5FB"/>
          </w:tcPr>
          <w:p>
            <w:pPr>
              <w:spacing w:after="20"/>
            </w:pPr>
            <w:r/>
            <w:r>
              <w:rPr>
                <w:b w:val="0"/>
                <w:sz w:val="17"/>
              </w:rPr>
              <w:t>S</w:t>
            </w:r>
          </w:p>
        </w:tc>
      </w:tr>
    </w:tbl>
    <w:p>
      <w:pPr>
        <w:spacing w:after="40"/>
      </w:pPr>
    </w:p>
    <w:p>
      <w:pPr>
        <w:pStyle w:val="Heading2"/>
      </w:pPr>
      <w:r>
        <w:t>7.2 Module B: Business Continuity Management</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BC-01</w:t>
            </w:r>
          </w:p>
        </w:tc>
        <w:tc>
          <w:tcPr>
            <w:tcW w:type="dxa" w:w="7483"/>
          </w:tcPr>
          <w:p>
            <w:pPr>
              <w:spacing w:after="20"/>
            </w:pPr>
            <w:r/>
            <w:r>
              <w:rPr>
                <w:b w:val="0"/>
                <w:sz w:val="17"/>
              </w:rPr>
              <w:t>BCMS repository: BCM policy, scope, objectives, interested parties and legal requirements (ISO 22301 clauses 4 to 6), with review dates.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BC-02</w:t>
            </w:r>
          </w:p>
        </w:tc>
        <w:tc>
          <w:tcPr>
            <w:tcW w:type="dxa" w:w="7483"/>
            <w:shd w:val="clear" w:color="auto" w:fill="EBF5FB"/>
          </w:tcPr>
          <w:p>
            <w:pPr>
              <w:spacing w:after="20"/>
            </w:pPr>
            <w:r/>
            <w:r>
              <w:rPr>
                <w:b w:val="0"/>
                <w:sz w:val="17"/>
              </w:rPr>
              <w:t>BIA campaigns per unit: products/services, prioritised activities, time-based impact assessment (e.g., 1h, 4h, 24h, 72h, 1 week, 2 weeks, 1 month) across financial, member service, regulatory and reputational dimensions; system derives MTPD and proposes RTO (must be less than MTPD), RPO and MBCO for approval.</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BC-03</w:t>
            </w:r>
          </w:p>
        </w:tc>
        <w:tc>
          <w:tcPr>
            <w:tcW w:type="dxa" w:w="7483"/>
          </w:tcPr>
          <w:p>
            <w:pPr>
              <w:spacing w:after="20"/>
            </w:pPr>
            <w:r/>
            <w:r>
              <w:rPr>
                <w:b w:val="0"/>
                <w:sz w:val="17"/>
              </w:rPr>
              <w:t>Dependency mapping for each prioritised activity: minimum staffing and key persons, premises, applications (e.g., SSPAS, SAP ERP, EDMS, email, bank and mobile-money integrations), data, vital records, equipment and suppliers; visual dependency map.</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BC-04</w:t>
            </w:r>
          </w:p>
        </w:tc>
        <w:tc>
          <w:tcPr>
            <w:tcW w:type="dxa" w:w="7483"/>
            <w:shd w:val="clear" w:color="auto" w:fill="EBF5FB"/>
          </w:tcPr>
          <w:p>
            <w:pPr>
              <w:spacing w:after="20"/>
            </w:pPr>
            <w:r/>
            <w:r>
              <w:rPr>
                <w:b w:val="0"/>
                <w:sz w:val="17"/>
              </w:rPr>
              <w:t>RTO gap analysis: compare each activity's RTO and RPO with the recovery capability recorded for the applications and suppliers it depends on, and flag every mismatch.</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BC-05</w:t>
            </w:r>
          </w:p>
        </w:tc>
        <w:tc>
          <w:tcPr>
            <w:tcW w:type="dxa" w:w="7483"/>
          </w:tcPr>
          <w:p>
            <w:pPr>
              <w:spacing w:after="20"/>
            </w:pPr>
            <w:r/>
            <w:r>
              <w:rPr>
                <w:b w:val="0"/>
                <w:sz w:val="17"/>
              </w:rPr>
              <w:t>BCM risk assessment of threats and single points of failure to prioritised activities, feeding the BCM risk register in Module A.</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BC-06</w:t>
            </w:r>
          </w:p>
        </w:tc>
        <w:tc>
          <w:tcPr>
            <w:tcW w:type="dxa" w:w="7483"/>
            <w:shd w:val="clear" w:color="auto" w:fill="EBF5FB"/>
          </w:tcPr>
          <w:p>
            <w:pPr>
              <w:spacing w:after="20"/>
            </w:pPr>
            <w:r/>
            <w:r>
              <w:rPr>
                <w:b w:val="0"/>
                <w:sz w:val="17"/>
              </w:rPr>
              <w:t>Recovery strategy register by resource (people, premises, technology, information, suppliers), with cost, lead time and approval status.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BC-07</w:t>
            </w:r>
          </w:p>
        </w:tc>
        <w:tc>
          <w:tcPr>
            <w:tcW w:type="dxa" w:w="7483"/>
          </w:tcPr>
          <w:p>
            <w:pPr>
              <w:spacing w:after="20"/>
            </w:pPr>
            <w:r/>
            <w:r>
              <w:rPr>
                <w:b w:val="0"/>
                <w:sz w:val="17"/>
              </w:rPr>
              <w:t>BCP and DRP builder with NSSF templates per HQ unit, region and branch: activation criteria, Crisis Management Team, Incident Response Teams, call trees, recovery procedures, vital records; contact data synchronised from HRMIS; version control and approval.</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BC-08</w:t>
            </w:r>
          </w:p>
        </w:tc>
        <w:tc>
          <w:tcPr>
            <w:tcW w:type="dxa" w:w="7483"/>
            <w:shd w:val="clear" w:color="auto" w:fill="EBF5FB"/>
          </w:tcPr>
          <w:p>
            <w:pPr>
              <w:spacing w:after="20"/>
            </w:pPr>
            <w:r/>
            <w:r>
              <w:rPr>
                <w:b w:val="0"/>
                <w:sz w:val="17"/>
              </w:rPr>
              <w:t>Plan availability during disruption: approved plans and call trees accessible on mobile (iOS/Android) with offline cache, and from hosting independent of the Fund's primary data centre; automatic PDF export on each approval.</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BC-09</w:t>
            </w:r>
          </w:p>
        </w:tc>
        <w:tc>
          <w:tcPr>
            <w:tcW w:type="dxa" w:w="7483"/>
          </w:tcPr>
          <w:p>
            <w:pPr>
              <w:spacing w:after="20"/>
            </w:pPr>
            <w:r/>
            <w:r>
              <w:rPr>
                <w:b w:val="0"/>
                <w:sz w:val="17"/>
              </w:rPr>
              <w:t>Incident activation: declare an incident, notify teams by SMS, email and app, staff safety roll-call with check-in status, timestamped decision and action log, situation reports.</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BC-10</w:t>
            </w:r>
          </w:p>
        </w:tc>
        <w:tc>
          <w:tcPr>
            <w:tcW w:type="dxa" w:w="7483"/>
            <w:shd w:val="clear" w:color="auto" w:fill="EBF5FB"/>
          </w:tcPr>
          <w:p>
            <w:pPr>
              <w:spacing w:after="20"/>
            </w:pPr>
            <w:r/>
            <w:r>
              <w:rPr>
                <w:b w:val="0"/>
                <w:sz w:val="17"/>
              </w:rPr>
              <w:t>Exercise management: annual exercise programme; exercise types (walkthrough, tabletop, simulation, live and DR failover); objectives, scenario, participants, RTO/RPO achieved versus target, lessons learned and corrective actions pushed to Module F.</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BC-11</w:t>
            </w:r>
          </w:p>
        </w:tc>
        <w:tc>
          <w:tcPr>
            <w:tcW w:type="dxa" w:w="7483"/>
          </w:tcPr>
          <w:p>
            <w:pPr>
              <w:spacing w:after="20"/>
            </w:pPr>
            <w:r/>
            <w:r>
              <w:rPr>
                <w:b w:val="0"/>
                <w:sz w:val="17"/>
              </w:rPr>
              <w:t>BCM readiness score per unit from configurable criteria (e.g., BIA reviewed in 12 months, BCP approved, exercised in 12 months, contacts verified in 90 days, no overdue BCM actions).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BC-12</w:t>
            </w:r>
          </w:p>
        </w:tc>
        <w:tc>
          <w:tcPr>
            <w:tcW w:type="dxa" w:w="7483"/>
            <w:shd w:val="clear" w:color="auto" w:fill="EBF5FB"/>
          </w:tcPr>
          <w:p>
            <w:pPr>
              <w:spacing w:after="20"/>
            </w:pPr>
            <w:r/>
            <w:r>
              <w:rPr>
                <w:b w:val="0"/>
                <w:sz w:val="17"/>
              </w:rPr>
              <w:t>Review reminders: BIA and BCP annual review or on trigger (restructure, new system, relocation, post-incident).</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BC-13</w:t>
            </w:r>
          </w:p>
        </w:tc>
        <w:tc>
          <w:tcPr>
            <w:tcW w:type="dxa" w:w="7483"/>
          </w:tcPr>
          <w:p>
            <w:pPr>
              <w:spacing w:after="20"/>
            </w:pPr>
            <w:r/>
            <w:r>
              <w:rPr>
                <w:b w:val="0"/>
                <w:sz w:val="17"/>
              </w:rPr>
              <w:t>Critical supplier continuity register with evidence of supplier BCP, contract recovery terms and test results.</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BC-14</w:t>
            </w:r>
          </w:p>
        </w:tc>
        <w:tc>
          <w:tcPr>
            <w:tcW w:type="dxa" w:w="7483"/>
            <w:shd w:val="clear" w:color="auto" w:fill="EBF5FB"/>
          </w:tcPr>
          <w:p>
            <w:pPr>
              <w:spacing w:after="20"/>
            </w:pPr>
            <w:r/>
            <w:r>
              <w:rPr>
                <w:b w:val="0"/>
                <w:sz w:val="17"/>
              </w:rPr>
              <w:t>Management review pack for ISO 22301 clause 9.3 generated from system data.</w:t>
            </w:r>
          </w:p>
        </w:tc>
        <w:tc>
          <w:tcPr>
            <w:tcW w:type="dxa" w:w="1020"/>
            <w:shd w:val="clear" w:color="auto" w:fill="EBF5FB"/>
          </w:tcPr>
          <w:p>
            <w:pPr>
              <w:spacing w:after="20"/>
            </w:pPr>
            <w:r/>
            <w:r>
              <w:rPr>
                <w:b w:val="0"/>
                <w:sz w:val="17"/>
              </w:rPr>
              <w:t>S</w:t>
            </w:r>
          </w:p>
        </w:tc>
      </w:tr>
    </w:tbl>
    <w:p>
      <w:pPr>
        <w:spacing w:after="40"/>
      </w:pPr>
    </w:p>
    <w:p>
      <w:pPr>
        <w:pStyle w:val="Heading2"/>
      </w:pPr>
      <w:r>
        <w:t>7.3 Module C: Compliance Risk Management</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CO-01</w:t>
            </w:r>
          </w:p>
        </w:tc>
        <w:tc>
          <w:tcPr>
            <w:tcW w:type="dxa" w:w="7483"/>
          </w:tcPr>
          <w:p>
            <w:pPr>
              <w:spacing w:after="20"/>
            </w:pPr>
            <w:r/>
            <w:r>
              <w:rPr>
                <w:b w:val="0"/>
                <w:sz w:val="17"/>
              </w:rPr>
              <w:t>Obligations register at clause level: source (law, regulation, circular, code, contract, internal policy), requirement text, applicability, owner, frequency, evidence required; pre-loaded by the vendor with the instruments in Section 5 for NSSF validation.</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CO-02</w:t>
            </w:r>
          </w:p>
        </w:tc>
        <w:tc>
          <w:tcPr>
            <w:tcW w:type="dxa" w:w="7483"/>
            <w:shd w:val="clear" w:color="auto" w:fill="EBF5FB"/>
          </w:tcPr>
          <w:p>
            <w:pPr>
              <w:spacing w:after="20"/>
            </w:pPr>
            <w:r/>
            <w:r>
              <w:rPr>
                <w:b w:val="0"/>
                <w:sz w:val="17"/>
              </w:rPr>
              <w:t>Compliance risk assessment per obligation (likelihood of breach × impact) using the Module A matrix, so compliance risks appear in unit and corporate registers.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CO-03</w:t>
            </w:r>
          </w:p>
        </w:tc>
        <w:tc>
          <w:tcPr>
            <w:tcW w:type="dxa" w:w="7483"/>
          </w:tcPr>
          <w:p>
            <w:pPr>
              <w:spacing w:after="20"/>
            </w:pPr>
            <w:r/>
            <w:r>
              <w:rPr>
                <w:b w:val="0"/>
                <w:sz w:val="17"/>
              </w:rPr>
              <w:t>Compliance calendar and statutory returns tracker (e.g., RBA returns, National Treasury and SCAC reports, KRA filings, ODPC registration renewal): due dates, reminders, evidence of submission and acknowledgement.</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CO-04</w:t>
            </w:r>
          </w:p>
        </w:tc>
        <w:tc>
          <w:tcPr>
            <w:tcW w:type="dxa" w:w="7483"/>
            <w:shd w:val="clear" w:color="auto" w:fill="EBF5FB"/>
          </w:tcPr>
          <w:p>
            <w:pPr>
              <w:spacing w:after="20"/>
            </w:pPr>
            <w:r/>
            <w:r>
              <w:rPr>
                <w:b w:val="0"/>
                <w:sz w:val="17"/>
              </w:rPr>
              <w:t>Attestation campaigns: periodic compliance checklists to HODs, Regional and Branch Managers with electronic sign-off; exceptions convert to issues.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CO-05</w:t>
            </w:r>
          </w:p>
        </w:tc>
        <w:tc>
          <w:tcPr>
            <w:tcW w:type="dxa" w:w="7483"/>
          </w:tcPr>
          <w:p>
            <w:pPr>
              <w:spacing w:after="20"/>
            </w:pPr>
            <w:r/>
            <w:r>
              <w:rPr>
                <w:b w:val="0"/>
                <w:sz w:val="17"/>
              </w:rPr>
              <w:t>Compliance monitoring plan: risk-based schedule, test scripts, sampling, results rated Compliant, Partially Compliant or Non-Compliant, and compliance index per unit and per instrument.</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CO-06</w:t>
            </w:r>
          </w:p>
        </w:tc>
        <w:tc>
          <w:tcPr>
            <w:tcW w:type="dxa" w:w="7483"/>
            <w:shd w:val="clear" w:color="auto" w:fill="EBF5FB"/>
          </w:tcPr>
          <w:p>
            <w:pPr>
              <w:spacing w:after="20"/>
            </w:pPr>
            <w:r/>
            <w:r>
              <w:rPr>
                <w:b w:val="0"/>
                <w:sz w:val="17"/>
              </w:rPr>
              <w:t>Breach and non-compliance register: root cause, impact, regulator notification clocks (e.g., 72 hours to the ODPC for personal data breaches under the Data Protection Act 2019, s.43), penalties, remediation actions.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CO-07</w:t>
            </w:r>
          </w:p>
        </w:tc>
        <w:tc>
          <w:tcPr>
            <w:tcW w:type="dxa" w:w="7483"/>
          </w:tcPr>
          <w:p>
            <w:pPr>
              <w:spacing w:after="20"/>
            </w:pPr>
            <w:r/>
            <w:r>
              <w:rPr>
                <w:b w:val="0"/>
                <w:sz w:val="17"/>
              </w:rPr>
              <w:t>Regulatory change management: log new or amended instruments, impact assessment, affected obligations, policies and processes, actions to implementation.</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CO-08</w:t>
            </w:r>
          </w:p>
        </w:tc>
        <w:tc>
          <w:tcPr>
            <w:tcW w:type="dxa" w:w="7483"/>
            <w:shd w:val="clear" w:color="auto" w:fill="EBF5FB"/>
          </w:tcPr>
          <w:p>
            <w:pPr>
              <w:spacing w:after="20"/>
            </w:pPr>
            <w:r/>
            <w:r>
              <w:rPr>
                <w:b w:val="0"/>
                <w:sz w:val="17"/>
              </w:rPr>
              <w:t>Policy lifecycle: policy library, owner, version, review date, approval workflow, staff read-and-acknowledge with completion tracking, mapping of policies to obligations and controls.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CO-09</w:t>
            </w:r>
          </w:p>
        </w:tc>
        <w:tc>
          <w:tcPr>
            <w:tcW w:type="dxa" w:w="7483"/>
          </w:tcPr>
          <w:p>
            <w:pPr>
              <w:spacing w:after="20"/>
            </w:pPr>
            <w:r/>
            <w:r>
              <w:rPr>
                <w:b w:val="0"/>
                <w:sz w:val="17"/>
              </w:rPr>
              <w:t>Data protection records: register of processing activities, DPIA register and data subject request log.</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CO-10</w:t>
            </w:r>
          </w:p>
        </w:tc>
        <w:tc>
          <w:tcPr>
            <w:tcW w:type="dxa" w:w="7483"/>
            <w:shd w:val="clear" w:color="auto" w:fill="EBF5FB"/>
          </w:tcPr>
          <w:p>
            <w:pPr>
              <w:spacing w:after="20"/>
            </w:pPr>
            <w:r/>
            <w:r>
              <w:rPr>
                <w:b w:val="0"/>
                <w:sz w:val="17"/>
              </w:rPr>
              <w:t>Declarations: conflict of interest and gifts register with annual attestation.</w:t>
            </w:r>
          </w:p>
        </w:tc>
        <w:tc>
          <w:tcPr>
            <w:tcW w:type="dxa" w:w="1020"/>
            <w:shd w:val="clear" w:color="auto" w:fill="EBF5FB"/>
          </w:tcPr>
          <w:p>
            <w:pPr>
              <w:spacing w:after="20"/>
            </w:pPr>
            <w:r/>
            <w:r>
              <w:rPr>
                <w:b w:val="0"/>
                <w:sz w:val="17"/>
              </w:rPr>
              <w:t>C</w:t>
            </w:r>
          </w:p>
        </w:tc>
      </w:tr>
    </w:tbl>
    <w:p>
      <w:pPr>
        <w:spacing w:after="40"/>
      </w:pPr>
    </w:p>
    <w:p>
      <w:pPr>
        <w:pStyle w:val="Heading2"/>
      </w:pPr>
      <w:r>
        <w:t>7.4 Module D: Incident and Loss Event Management</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ID-01</w:t>
            </w:r>
          </w:p>
        </w:tc>
        <w:tc>
          <w:tcPr>
            <w:tcW w:type="dxa" w:w="7483"/>
          </w:tcPr>
          <w:p>
            <w:pPr>
              <w:spacing w:after="20"/>
            </w:pPr>
            <w:r/>
            <w:r>
              <w:rPr>
                <w:b w:val="0"/>
                <w:sz w:val="17"/>
              </w:rPr>
              <w:t>Any staff member can report an incident, loss event or near miss on web or mobile in under 3 minutes; optional anonymous route linked to the whistleblowing channel.</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ID-02</w:t>
            </w:r>
          </w:p>
        </w:tc>
        <w:tc>
          <w:tcPr>
            <w:tcW w:type="dxa" w:w="7483"/>
            <w:shd w:val="clear" w:color="auto" w:fill="EBF5FB"/>
          </w:tcPr>
          <w:p>
            <w:pPr>
              <w:spacing w:after="20"/>
            </w:pPr>
            <w:r/>
            <w:r>
              <w:rPr>
                <w:b w:val="0"/>
                <w:sz w:val="17"/>
              </w:rPr>
              <w:t>Fields: dates occurred and discovered, unit, description, category, direct loss, recoveries, net loss, impact rating 1-5, root cause, linked risk(s) and failed control(s).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ID-03</w:t>
            </w:r>
          </w:p>
        </w:tc>
        <w:tc>
          <w:tcPr>
            <w:tcW w:type="dxa" w:w="7483"/>
          </w:tcPr>
          <w:p>
            <w:pPr>
              <w:spacing w:after="20"/>
            </w:pPr>
            <w:r/>
            <w:r>
              <w:rPr>
                <w:b w:val="0"/>
                <w:sz w:val="17"/>
              </w:rPr>
              <w:t>Triage and escalation rules by threshold (e.g., net loss above a set KES value, or impact rated 4 or 5, notified to the Managing Trustee within 24 hours); investigation workflow and closure.</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ID-04</w:t>
            </w:r>
          </w:p>
        </w:tc>
        <w:tc>
          <w:tcPr>
            <w:tcW w:type="dxa" w:w="7483"/>
            <w:shd w:val="clear" w:color="auto" w:fill="EBF5FB"/>
          </w:tcPr>
          <w:p>
            <w:pPr>
              <w:spacing w:after="20"/>
            </w:pPr>
            <w:r/>
            <w:r>
              <w:rPr>
                <w:b w:val="0"/>
                <w:sz w:val="17"/>
              </w:rPr>
              <w:t>Automatic intake of IS and ICT incidents from the ITSM tool; BCM incidents can trigger activation in Module B.</w:t>
            </w:r>
          </w:p>
        </w:tc>
        <w:tc>
          <w:tcPr>
            <w:tcW w:type="dxa" w:w="1020"/>
            <w:shd w:val="clear" w:color="auto" w:fill="EBF5FB"/>
          </w:tcPr>
          <w:p>
            <w:pPr>
              <w:spacing w:after="20"/>
            </w:pPr>
            <w:r/>
            <w:r>
              <w:rPr>
                <w:b w:val="0"/>
                <w:sz w:val="17"/>
              </w:rPr>
              <w:t>S</w:t>
            </w:r>
          </w:p>
        </w:tc>
      </w:tr>
      <w:tr>
        <w:tc>
          <w:tcPr>
            <w:tcW w:type="dxa" w:w="907"/>
          </w:tcPr>
          <w:p>
            <w:pPr>
              <w:spacing w:after="20"/>
            </w:pPr>
            <w:r/>
            <w:r>
              <w:rPr>
                <w:b w:val="0"/>
                <w:sz w:val="17"/>
              </w:rPr>
              <w:t>ID-05</w:t>
            </w:r>
          </w:p>
        </w:tc>
        <w:tc>
          <w:tcPr>
            <w:tcW w:type="dxa" w:w="7483"/>
          </w:tcPr>
          <w:p>
            <w:pPr>
              <w:spacing w:after="20"/>
            </w:pPr>
            <w:r/>
            <w:r>
              <w:rPr>
                <w:b w:val="0"/>
                <w:sz w:val="17"/>
              </w:rPr>
              <w:t>Loss data analytics (frequency, severity, by category and unit) feeding scenario analysis in Module A.</w:t>
            </w:r>
          </w:p>
        </w:tc>
        <w:tc>
          <w:tcPr>
            <w:tcW w:type="dxa" w:w="1020"/>
          </w:tcPr>
          <w:p>
            <w:pPr>
              <w:spacing w:after="20"/>
            </w:pPr>
            <w:r/>
            <w:r>
              <w:rPr>
                <w:b w:val="0"/>
                <w:sz w:val="17"/>
              </w:rPr>
              <w:t>S</w:t>
            </w:r>
          </w:p>
        </w:tc>
      </w:tr>
    </w:tbl>
    <w:p>
      <w:pPr>
        <w:spacing w:after="40"/>
      </w:pPr>
    </w:p>
    <w:p>
      <w:pPr>
        <w:pStyle w:val="Heading2"/>
      </w:pPr>
      <w:r>
        <w:t>7.5 Module E: Key Risk Indicators</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KR-01</w:t>
            </w:r>
          </w:p>
        </w:tc>
        <w:tc>
          <w:tcPr>
            <w:tcW w:type="dxa" w:w="7483"/>
          </w:tcPr>
          <w:p>
            <w:pPr>
              <w:spacing w:after="20"/>
            </w:pPr>
            <w:r/>
            <w:r>
              <w:rPr>
                <w:b w:val="0"/>
                <w:sz w:val="17"/>
              </w:rPr>
              <w:t>KRI library linked to risks: definition, formula, unit of measure, data source, frequency, owner, and green/amber/red thresholds tied to appetite.</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KR-02</w:t>
            </w:r>
          </w:p>
        </w:tc>
        <w:tc>
          <w:tcPr>
            <w:tcW w:type="dxa" w:w="7483"/>
            <w:shd w:val="clear" w:color="auto" w:fill="EBF5FB"/>
          </w:tcPr>
          <w:p>
            <w:pPr>
              <w:spacing w:after="20"/>
            </w:pPr>
            <w:r/>
            <w:r>
              <w:rPr>
                <w:b w:val="0"/>
                <w:sz w:val="17"/>
              </w:rPr>
              <w:t>Data capture by manual entry with evidence, file upload, or automated feed by API from SSPAS, SAP ERP, ITSM and other sources.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KR-03</w:t>
            </w:r>
          </w:p>
        </w:tc>
        <w:tc>
          <w:tcPr>
            <w:tcW w:type="dxa" w:w="7483"/>
          </w:tcPr>
          <w:p>
            <w:pPr>
              <w:spacing w:after="20"/>
            </w:pPr>
            <w:r/>
            <w:r>
              <w:rPr>
                <w:b w:val="0"/>
                <w:sz w:val="17"/>
              </w:rPr>
              <w:t>Automatic alerts and escalation on amber and red breaches; breach history and number of days in breach.</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KR-04</w:t>
            </w:r>
          </w:p>
        </w:tc>
        <w:tc>
          <w:tcPr>
            <w:tcW w:type="dxa" w:w="7483"/>
            <w:shd w:val="clear" w:color="auto" w:fill="EBF5FB"/>
          </w:tcPr>
          <w:p>
            <w:pPr>
              <w:spacing w:after="20"/>
            </w:pPr>
            <w:r/>
            <w:r>
              <w:rPr>
                <w:b w:val="0"/>
                <w:sz w:val="17"/>
              </w:rPr>
              <w:t>Trend charts and KRI dashboards by unit and category.</w:t>
            </w:r>
          </w:p>
        </w:tc>
        <w:tc>
          <w:tcPr>
            <w:tcW w:type="dxa" w:w="1020"/>
            <w:shd w:val="clear" w:color="auto" w:fill="EBF5FB"/>
          </w:tcPr>
          <w:p>
            <w:pPr>
              <w:spacing w:after="20"/>
            </w:pPr>
            <w:r/>
            <w:r>
              <w:rPr>
                <w:b w:val="0"/>
                <w:sz w:val="17"/>
              </w:rPr>
              <w:t>M</w:t>
            </w:r>
          </w:p>
        </w:tc>
      </w:tr>
    </w:tbl>
    <w:p>
      <w:pPr>
        <w:spacing w:after="40"/>
      </w:pPr>
    </w:p>
    <w:p>
      <w:pPr>
        <w:pStyle w:val="Heading2"/>
      </w:pPr>
      <w:r>
        <w:t>7.6 Module F: Action and Issue Tracking</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AT-01</w:t>
            </w:r>
          </w:p>
        </w:tc>
        <w:tc>
          <w:tcPr>
            <w:tcW w:type="dxa" w:w="7483"/>
          </w:tcPr>
          <w:p>
            <w:pPr>
              <w:spacing w:after="20"/>
            </w:pPr>
            <w:r/>
            <w:r>
              <w:rPr>
                <w:b w:val="0"/>
                <w:sz w:val="17"/>
              </w:rPr>
              <w:t>Single action register for risk treatments, BCM exercise corrective actions, compliance remediation, incident actions, Internal Audit recommendations (fed from the Audit workspace), and external auditor (OAG) and regulator findings.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AT-02</w:t>
            </w:r>
          </w:p>
        </w:tc>
        <w:tc>
          <w:tcPr>
            <w:tcW w:type="dxa" w:w="7483"/>
            <w:shd w:val="clear" w:color="auto" w:fill="EBF5FB"/>
          </w:tcPr>
          <w:p>
            <w:pPr>
              <w:spacing w:after="20"/>
            </w:pPr>
            <w:r/>
            <w:r>
              <w:rPr>
                <w:b w:val="0"/>
                <w:sz w:val="17"/>
              </w:rPr>
              <w:t>SMART action fields: description, owner, start date, due date, success measure, evidence of closure required, linked source item.</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AT-03</w:t>
            </w:r>
          </w:p>
        </w:tc>
        <w:tc>
          <w:tcPr>
            <w:tcW w:type="dxa" w:w="7483"/>
          </w:tcPr>
          <w:p>
            <w:pPr>
              <w:spacing w:after="20"/>
            </w:pPr>
            <w:r/>
            <w:r>
              <w:rPr>
                <w:b w:val="0"/>
                <w:sz w:val="17"/>
              </w:rPr>
              <w:t>Closure requires evidence upload by the owner and verification by the RM Dept (second line). Internal Audit verifies closure of its own recommendations.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AT-04</w:t>
            </w:r>
          </w:p>
        </w:tc>
        <w:tc>
          <w:tcPr>
            <w:tcW w:type="dxa" w:w="7483"/>
            <w:shd w:val="clear" w:color="auto" w:fill="EBF5FB"/>
          </w:tcPr>
          <w:p>
            <w:pPr>
              <w:spacing w:after="20"/>
            </w:pPr>
            <w:r/>
            <w:r>
              <w:rPr>
                <w:b w:val="0"/>
                <w:sz w:val="17"/>
              </w:rPr>
              <w:t>Escalation: reminders at 7 days before due date and on the due date; overdue by 30 days to HOD; overdue by 60 days to the responsible General Manager; overdue High-risk actions shown on the Board dashboard.</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AT-05</w:t>
            </w:r>
          </w:p>
        </w:tc>
        <w:tc>
          <w:tcPr>
            <w:tcW w:type="dxa" w:w="7483"/>
          </w:tcPr>
          <w:p>
            <w:pPr>
              <w:spacing w:after="20"/>
            </w:pPr>
            <w:r/>
            <w:r>
              <w:rPr>
                <w:b w:val="0"/>
                <w:sz w:val="17"/>
              </w:rPr>
              <w:t>Due-date extension requests with justification and approval; extension count visible in reports.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AT-06</w:t>
            </w:r>
          </w:p>
        </w:tc>
        <w:tc>
          <w:tcPr>
            <w:tcW w:type="dxa" w:w="7483"/>
            <w:shd w:val="clear" w:color="auto" w:fill="EBF5FB"/>
          </w:tcPr>
          <w:p>
            <w:pPr>
              <w:spacing w:after="20"/>
            </w:pPr>
            <w:r/>
            <w:r>
              <w:rPr>
                <w:b w:val="0"/>
                <w:sz w:val="17"/>
              </w:rPr>
              <w:t>Issue ageing buckets (0-30, 31-60, 61-90, over 90 days) by unit and source.</w:t>
            </w:r>
          </w:p>
        </w:tc>
        <w:tc>
          <w:tcPr>
            <w:tcW w:type="dxa" w:w="1020"/>
            <w:shd w:val="clear" w:color="auto" w:fill="EBF5FB"/>
          </w:tcPr>
          <w:p>
            <w:pPr>
              <w:spacing w:after="20"/>
            </w:pPr>
            <w:r/>
            <w:r>
              <w:rPr>
                <w:b w:val="0"/>
                <w:sz w:val="17"/>
              </w:rPr>
              <w:t>M</w:t>
            </w:r>
          </w:p>
        </w:tc>
      </w:tr>
    </w:tbl>
    <w:p>
      <w:pPr>
        <w:spacing w:after="40"/>
      </w:pPr>
    </w:p>
    <w:p>
      <w:pPr>
        <w:pStyle w:val="Heading2"/>
      </w:pPr>
      <w:r>
        <w:t>7.7 Module G: Reporting and Dashboards</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RP-01</w:t>
            </w:r>
          </w:p>
        </w:tc>
        <w:tc>
          <w:tcPr>
            <w:tcW w:type="dxa" w:w="7483"/>
          </w:tcPr>
          <w:p>
            <w:pPr>
              <w:spacing w:after="20"/>
            </w:pPr>
            <w:r/>
            <w:r>
              <w:rPr>
                <w:b w:val="0"/>
                <w:sz w:val="17"/>
              </w:rPr>
              <w:t>Standard reports listed in Section 8, produced as Word, PDF, PowerPoint and Excel in NSSF templates.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RP-02</w:t>
            </w:r>
          </w:p>
        </w:tc>
        <w:tc>
          <w:tcPr>
            <w:tcW w:type="dxa" w:w="7483"/>
            <w:shd w:val="clear" w:color="auto" w:fill="EBF5FB"/>
          </w:tcPr>
          <w:p>
            <w:pPr>
              <w:spacing w:after="20"/>
            </w:pPr>
            <w:r/>
            <w:r>
              <w:rPr>
                <w:b w:val="0"/>
                <w:sz w:val="17"/>
              </w:rPr>
              <w:t>Heat maps for inherent and residual risk with drill-down from Fund to unit to risk.</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RP-03</w:t>
            </w:r>
          </w:p>
        </w:tc>
        <w:tc>
          <w:tcPr>
            <w:tcW w:type="dxa" w:w="7483"/>
          </w:tcPr>
          <w:p>
            <w:pPr>
              <w:spacing w:after="20"/>
            </w:pPr>
            <w:r/>
            <w:r>
              <w:rPr>
                <w:b w:val="0"/>
                <w:sz w:val="17"/>
              </w:rPr>
              <w:t>Board pack generator assembling the quarterly ARC report from a frozen period snapshot.</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RP-04</w:t>
            </w:r>
          </w:p>
        </w:tc>
        <w:tc>
          <w:tcPr>
            <w:tcW w:type="dxa" w:w="7483"/>
            <w:shd w:val="clear" w:color="auto" w:fill="EBF5FB"/>
          </w:tcPr>
          <w:p>
            <w:pPr>
              <w:spacing w:after="20"/>
            </w:pPr>
            <w:r/>
            <w:r>
              <w:rPr>
                <w:b w:val="0"/>
                <w:sz w:val="17"/>
              </w:rPr>
              <w:t>Role-based dashboards for Board/ARC, Senior Management, HODs, Regional and Branch Managers, and RM Dept.</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RP-05</w:t>
            </w:r>
          </w:p>
        </w:tc>
        <w:tc>
          <w:tcPr>
            <w:tcW w:type="dxa" w:w="7483"/>
          </w:tcPr>
          <w:p>
            <w:pPr>
              <w:spacing w:after="20"/>
            </w:pPr>
            <w:r/>
            <w:r>
              <w:rPr>
                <w:b w:val="0"/>
                <w:sz w:val="17"/>
              </w:rPr>
              <w:t>Self-service report builder and secure data connector to the Fund's BI tool (e.g., Power BI).</w:t>
            </w:r>
          </w:p>
        </w:tc>
        <w:tc>
          <w:tcPr>
            <w:tcW w:type="dxa" w:w="1020"/>
          </w:tcPr>
          <w:p>
            <w:pPr>
              <w:spacing w:after="20"/>
            </w:pPr>
            <w:r/>
            <w:r>
              <w:rPr>
                <w:b w:val="0"/>
                <w:sz w:val="17"/>
              </w:rPr>
              <w:t>S</w:t>
            </w:r>
          </w:p>
        </w:tc>
      </w:tr>
    </w:tbl>
    <w:p>
      <w:pPr>
        <w:spacing w:after="40"/>
      </w:pPr>
    </w:p>
    <w:p>
      <w:pPr>
        <w:pStyle w:val="Heading2"/>
      </w:pPr>
      <w:r>
        <w:t>7.8 Module H: Governance, Workflow and Risk Culture</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GW-01</w:t>
            </w:r>
          </w:p>
        </w:tc>
        <w:tc>
          <w:tcPr>
            <w:tcW w:type="dxa" w:w="7483"/>
          </w:tcPr>
          <w:p>
            <w:pPr>
              <w:spacing w:after="20"/>
            </w:pPr>
            <w:r/>
            <w:r>
              <w:rPr>
                <w:b w:val="0"/>
                <w:sz w:val="17"/>
              </w:rPr>
              <w:t>No-code workflow designer for approvals, routing and escalation, configurable by RM Dept power users.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GW-02</w:t>
            </w:r>
          </w:p>
        </w:tc>
        <w:tc>
          <w:tcPr>
            <w:tcW w:type="dxa" w:w="7483"/>
            <w:shd w:val="clear" w:color="auto" w:fill="EBF5FB"/>
          </w:tcPr>
          <w:p>
            <w:pPr>
              <w:spacing w:after="20"/>
            </w:pPr>
            <w:r/>
            <w:r>
              <w:rPr>
                <w:b w:val="0"/>
                <w:sz w:val="17"/>
              </w:rPr>
              <w:t>Risk Champion network register: nominations, units covered, training completed, activity statistics.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GW-03</w:t>
            </w:r>
          </w:p>
        </w:tc>
        <w:tc>
          <w:tcPr>
            <w:tcW w:type="dxa" w:w="7483"/>
          </w:tcPr>
          <w:p>
            <w:pPr>
              <w:spacing w:after="20"/>
            </w:pPr>
            <w:r/>
            <w:r>
              <w:rPr>
                <w:b w:val="0"/>
                <w:sz w:val="17"/>
              </w:rPr>
              <w:t>Notifications by email, SMS and in-app, with configurable templates.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GW-04</w:t>
            </w:r>
          </w:p>
        </w:tc>
        <w:tc>
          <w:tcPr>
            <w:tcW w:type="dxa" w:w="7483"/>
            <w:shd w:val="clear" w:color="auto" w:fill="EBF5FB"/>
          </w:tcPr>
          <w:p>
            <w:pPr>
              <w:spacing w:after="20"/>
            </w:pPr>
            <w:r/>
            <w:r>
              <w:rPr>
                <w:b w:val="0"/>
                <w:sz w:val="17"/>
              </w:rPr>
              <w:t>Comments, mentions and attachments on every record, with documents stored in or linked to EDMS.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GW-05</w:t>
            </w:r>
          </w:p>
        </w:tc>
        <w:tc>
          <w:tcPr>
            <w:tcW w:type="dxa" w:w="7483"/>
          </w:tcPr>
          <w:p>
            <w:pPr>
              <w:spacing w:after="20"/>
            </w:pPr>
            <w:r/>
            <w:r>
              <w:rPr>
                <w:b w:val="0"/>
                <w:sz w:val="17"/>
              </w:rPr>
              <w:t>Awareness: short e-learning modules or quizzes and staff acknowledgements, with completion data exported to HR.</w:t>
            </w:r>
          </w:p>
        </w:tc>
        <w:tc>
          <w:tcPr>
            <w:tcW w:type="dxa" w:w="1020"/>
          </w:tcPr>
          <w:p>
            <w:pPr>
              <w:spacing w:after="20"/>
            </w:pPr>
            <w:r/>
            <w:r>
              <w:rPr>
                <w:b w:val="0"/>
                <w:sz w:val="17"/>
              </w:rPr>
              <w:t>S</w:t>
            </w:r>
          </w:p>
        </w:tc>
      </w:tr>
      <w:tr>
        <w:tc>
          <w:tcPr>
            <w:tcW w:type="dxa" w:w="907"/>
            <w:shd w:val="clear" w:color="auto" w:fill="EBF5FB"/>
          </w:tcPr>
          <w:p>
            <w:pPr>
              <w:spacing w:after="20"/>
            </w:pPr>
            <w:r/>
            <w:r>
              <w:rPr>
                <w:b w:val="0"/>
                <w:sz w:val="17"/>
              </w:rPr>
              <w:t>GW-06</w:t>
            </w:r>
          </w:p>
        </w:tc>
        <w:tc>
          <w:tcPr>
            <w:tcW w:type="dxa" w:w="7483"/>
            <w:shd w:val="clear" w:color="auto" w:fill="EBF5FB"/>
          </w:tcPr>
          <w:p>
            <w:pPr>
              <w:spacing w:after="20"/>
            </w:pPr>
            <w:r/>
            <w:r>
              <w:rPr>
                <w:b w:val="0"/>
                <w:sz w:val="17"/>
              </w:rPr>
              <w:t>Export of unit risk management indicators (e.g., register approved on time, actions closed on time) for the performance contracting system (ERM Framework 6.4.10).</w:t>
            </w:r>
          </w:p>
        </w:tc>
        <w:tc>
          <w:tcPr>
            <w:tcW w:type="dxa" w:w="1020"/>
            <w:shd w:val="clear" w:color="auto" w:fill="EBF5FB"/>
          </w:tcPr>
          <w:p>
            <w:pPr>
              <w:spacing w:after="20"/>
            </w:pPr>
            <w:r/>
            <w:r>
              <w:rPr>
                <w:b w:val="0"/>
                <w:sz w:val="17"/>
              </w:rPr>
              <w:t>S</w:t>
            </w:r>
          </w:p>
        </w:tc>
      </w:tr>
    </w:tbl>
    <w:p>
      <w:pPr>
        <w:spacing w:after="40"/>
      </w:pPr>
    </w:p>
    <w:p>
      <w:pPr>
        <w:pStyle w:val="Heading2"/>
      </w:pPr>
      <w:r>
        <w:t>7.9 Module I: Administration, Security and Audit Trail</w:t>
      </w:r>
    </w:p>
    <w:tbl>
      <w:tblPr>
        <w:tblStyle w:val="TableGrid"/>
        <w:tblW w:type="auto" w:w="0"/>
        <w:jc w:val="center"/>
        <w:tblLayout w:type="fixed"/>
        <w:tblLook w:firstColumn="1" w:firstRow="1" w:lastColumn="0" w:lastRow="0" w:noHBand="0" w:noVBand="1" w:val="04A0"/>
      </w:tblPr>
      <w:tblGrid>
        <w:gridCol w:w="907"/>
        <w:gridCol w:w="7483"/>
        <w:gridCol w:w="1020"/>
      </w:tblGrid>
      <w:tr>
        <w:trPr>
          <w:tblHeader w:val="true"/>
        </w:trPr>
        <w:tc>
          <w:tcPr>
            <w:tcW w:type="dxa" w:w="907"/>
            <w:shd w:val="clear" w:color="auto" w:fill="1A5276"/>
          </w:tcPr>
          <w:p>
            <w:r/>
            <w:r>
              <w:rPr>
                <w:b/>
                <w:color w:val="FFFFFF"/>
                <w:sz w:val="17"/>
              </w:rPr>
              <w:t>ID</w:t>
            </w:r>
          </w:p>
        </w:tc>
        <w:tc>
          <w:tcPr>
            <w:tcW w:type="dxa" w:w="748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907"/>
          </w:tcPr>
          <w:p>
            <w:pPr>
              <w:spacing w:after="20"/>
            </w:pPr>
            <w:r/>
            <w:r>
              <w:rPr>
                <w:b w:val="0"/>
                <w:sz w:val="17"/>
              </w:rPr>
              <w:t>AD-01</w:t>
            </w:r>
          </w:p>
        </w:tc>
        <w:tc>
          <w:tcPr>
            <w:tcW w:type="dxa" w:w="7483"/>
          </w:tcPr>
          <w:p>
            <w:pPr>
              <w:spacing w:after="20"/>
            </w:pPr>
            <w:r/>
            <w:r>
              <w:rPr>
                <w:b w:val="0"/>
                <w:sz w:val="17"/>
              </w:rPr>
              <w:t>Role-based access control down to unit and record level; segregation of duties so the preparer of a record cannot approve it.</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AD-02</w:t>
            </w:r>
          </w:p>
        </w:tc>
        <w:tc>
          <w:tcPr>
            <w:tcW w:type="dxa" w:w="7483"/>
            <w:shd w:val="clear" w:color="auto" w:fill="EBF5FB"/>
          </w:tcPr>
          <w:p>
            <w:pPr>
              <w:spacing w:after="20"/>
            </w:pPr>
            <w:r/>
            <w:r>
              <w:rPr>
                <w:b w:val="0"/>
                <w:sz w:val="17"/>
              </w:rPr>
              <w:t>Single sign-on with the Fund's directory (Active Directory/Entra ID) and multi-factor authentication.</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AD-03</w:t>
            </w:r>
          </w:p>
        </w:tc>
        <w:tc>
          <w:tcPr>
            <w:tcW w:type="dxa" w:w="7483"/>
          </w:tcPr>
          <w:p>
            <w:pPr>
              <w:spacing w:after="20"/>
            </w:pPr>
            <w:r/>
            <w:r>
              <w:rPr>
                <w:b w:val="0"/>
                <w:sz w:val="17"/>
              </w:rPr>
              <w:t>Tamper-evident audit trail of every create, change, approval and deletion (who, what, when, old value, new value), retained for at least 7 years.</w:t>
            </w:r>
          </w:p>
        </w:tc>
        <w:tc>
          <w:tcPr>
            <w:tcW w:type="dxa" w:w="1020"/>
          </w:tcPr>
          <w:p>
            <w:pPr>
              <w:spacing w:after="20"/>
            </w:pPr>
            <w:r/>
            <w:r>
              <w:rPr>
                <w:b w:val="0"/>
                <w:sz w:val="17"/>
              </w:rPr>
              <w:t>M</w:t>
            </w:r>
          </w:p>
        </w:tc>
      </w:tr>
      <w:tr>
        <w:tc>
          <w:tcPr>
            <w:tcW w:type="dxa" w:w="907"/>
            <w:shd w:val="clear" w:color="auto" w:fill="EBF5FB"/>
          </w:tcPr>
          <w:p>
            <w:pPr>
              <w:spacing w:after="20"/>
            </w:pPr>
            <w:r/>
            <w:r>
              <w:rPr>
                <w:b w:val="0"/>
                <w:sz w:val="17"/>
              </w:rPr>
              <w:t>AD-04</w:t>
            </w:r>
          </w:p>
        </w:tc>
        <w:tc>
          <w:tcPr>
            <w:tcW w:type="dxa" w:w="7483"/>
            <w:shd w:val="clear" w:color="auto" w:fill="EBF5FB"/>
          </w:tcPr>
          <w:p>
            <w:pPr>
              <w:spacing w:after="20"/>
            </w:pPr>
            <w:r/>
            <w:r>
              <w:rPr>
                <w:b w:val="0"/>
                <w:sz w:val="17"/>
              </w:rPr>
              <w:t>Configurable forms, fields, scales, lists and templates without vendor code changes.</w:t>
            </w:r>
          </w:p>
        </w:tc>
        <w:tc>
          <w:tcPr>
            <w:tcW w:type="dxa" w:w="1020"/>
            <w:shd w:val="clear" w:color="auto" w:fill="EBF5FB"/>
          </w:tcPr>
          <w:p>
            <w:pPr>
              <w:spacing w:after="20"/>
            </w:pPr>
            <w:r/>
            <w:r>
              <w:rPr>
                <w:b w:val="0"/>
                <w:sz w:val="17"/>
              </w:rPr>
              <w:t>M</w:t>
            </w:r>
          </w:p>
        </w:tc>
      </w:tr>
      <w:tr>
        <w:tc>
          <w:tcPr>
            <w:tcW w:type="dxa" w:w="907"/>
          </w:tcPr>
          <w:p>
            <w:pPr>
              <w:spacing w:after="20"/>
            </w:pPr>
            <w:r/>
            <w:r>
              <w:rPr>
                <w:b w:val="0"/>
                <w:sz w:val="17"/>
              </w:rPr>
              <w:t>AD-05</w:t>
            </w:r>
          </w:p>
        </w:tc>
        <w:tc>
          <w:tcPr>
            <w:tcW w:type="dxa" w:w="7483"/>
          </w:tcPr>
          <w:p>
            <w:pPr>
              <w:spacing w:after="20"/>
            </w:pPr>
            <w:r/>
            <w:r>
              <w:rPr>
                <w:b w:val="0"/>
                <w:sz w:val="17"/>
              </w:rPr>
              <w:t>Data retention and archiving rules aligned to the Fund's records management policy.</w:t>
            </w:r>
          </w:p>
        </w:tc>
        <w:tc>
          <w:tcPr>
            <w:tcW w:type="dxa" w:w="1020"/>
          </w:tcPr>
          <w:p>
            <w:pPr>
              <w:spacing w:after="20"/>
            </w:pPr>
            <w:r/>
            <w:r>
              <w:rPr>
                <w:b w:val="0"/>
                <w:sz w:val="17"/>
              </w:rPr>
              <w:t>M</w:t>
            </w:r>
          </w:p>
        </w:tc>
      </w:tr>
    </w:tbl>
    <w:p>
      <w:pPr>
        <w:spacing w:after="40"/>
      </w:pPr>
    </w:p>
    <w:p>
      <w:pPr>
        <w:pStyle w:val="Heading2"/>
      </w:pPr>
      <w:r>
        <w:t>7.10 Summary entry for the integrated system requirements matrix</w:t>
      </w:r>
    </w:p>
    <w:p>
      <w:r>
        <w:rPr>
          <w:i w:val="0"/>
        </w:rPr>
        <w:t>For insertion in the integrated system TOR, in the same format as Module 11 (GRC):</w:t>
      </w:r>
    </w:p>
    <w:tbl>
      <w:tblPr>
        <w:tblStyle w:val="TableGrid"/>
        <w:tblW w:type="auto" w:w="0"/>
        <w:jc w:val="center"/>
        <w:tblLayout w:type="fixed"/>
        <w:tblLook w:firstColumn="1" w:firstRow="1" w:lastColumn="0" w:lastRow="0" w:noHBand="0" w:noVBand="1" w:val="04A0"/>
      </w:tblPr>
      <w:tblGrid>
        <w:gridCol w:w="1701"/>
        <w:gridCol w:w="2041"/>
        <w:gridCol w:w="2721"/>
        <w:gridCol w:w="2948"/>
      </w:tblGrid>
      <w:tr>
        <w:trPr>
          <w:tblHeader w:val="true"/>
        </w:trPr>
        <w:tc>
          <w:tcPr>
            <w:tcW w:type="dxa" w:w="1701"/>
            <w:shd w:val="clear" w:color="auto" w:fill="1A5276"/>
          </w:tcPr>
          <w:p>
            <w:r/>
            <w:r>
              <w:rPr>
                <w:b/>
                <w:color w:val="FFFFFF"/>
                <w:sz w:val="17"/>
              </w:rPr>
              <w:t>Module</w:t>
            </w:r>
          </w:p>
        </w:tc>
        <w:tc>
          <w:tcPr>
            <w:tcW w:type="dxa" w:w="2041"/>
            <w:shd w:val="clear" w:color="auto" w:fill="1A5276"/>
          </w:tcPr>
          <w:p>
            <w:r/>
            <w:r>
              <w:rPr>
                <w:b/>
                <w:color w:val="FFFFFF"/>
                <w:sz w:val="17"/>
              </w:rPr>
              <w:t>Business function</w:t>
            </w:r>
          </w:p>
        </w:tc>
        <w:tc>
          <w:tcPr>
            <w:tcW w:type="dxa" w:w="2721"/>
            <w:shd w:val="clear" w:color="auto" w:fill="1A5276"/>
          </w:tcPr>
          <w:p>
            <w:r/>
            <w:r>
              <w:rPr>
                <w:b/>
                <w:color w:val="FFFFFF"/>
                <w:sz w:val="17"/>
              </w:rPr>
              <w:t>Core components</w:t>
            </w:r>
          </w:p>
        </w:tc>
        <w:tc>
          <w:tcPr>
            <w:tcW w:type="dxa" w:w="2948"/>
            <w:shd w:val="clear" w:color="auto" w:fill="1A5276"/>
          </w:tcPr>
          <w:p>
            <w:r/>
            <w:r>
              <w:rPr>
                <w:b/>
                <w:color w:val="FFFFFF"/>
                <w:sz w:val="17"/>
              </w:rPr>
              <w:t>Key features</w:t>
            </w:r>
          </w:p>
        </w:tc>
      </w:tr>
      <w:tr>
        <w:tc>
          <w:tcPr>
            <w:tcW w:type="dxa" w:w="1701"/>
          </w:tcPr>
          <w:p>
            <w:pPr>
              <w:spacing w:after="20"/>
            </w:pPr>
            <w:r/>
            <w:r>
              <w:rPr>
                <w:b/>
                <w:sz w:val="17"/>
              </w:rPr>
              <w:t>11A. Risk Management, Business Continuity &amp; Compliance (RM Module)</w:t>
            </w:r>
          </w:p>
        </w:tc>
        <w:tc>
          <w:tcPr>
            <w:tcW w:type="dxa" w:w="2041"/>
          </w:tcPr>
          <w:p>
            <w:pPr>
              <w:spacing w:after="20"/>
            </w:pPr>
            <w:r/>
            <w:r>
              <w:rPr>
                <w:b w:val="0"/>
                <w:sz w:val="17"/>
              </w:rPr>
              <w:t>Enterprise risk assessment, business continuity management, compliance risk management, incident and KRI monitoring</w:t>
            </w:r>
          </w:p>
        </w:tc>
        <w:tc>
          <w:tcPr>
            <w:tcW w:type="dxa" w:w="2721"/>
          </w:tcPr>
          <w:p>
            <w:pPr>
              <w:spacing w:after="20"/>
            </w:pPr>
            <w:r/>
            <w:r>
              <w:rPr>
                <w:b w:val="0"/>
                <w:sz w:val="17"/>
              </w:rPr>
              <w:t>• Risk register and RCSA engine (ISO 31000)</w:t>
            </w:r>
          </w:p>
          <w:p>
            <w:pPr>
              <w:spacing w:after="20"/>
            </w:pPr>
            <w:r>
              <w:rPr>
                <w:b w:val="0"/>
                <w:sz w:val="17"/>
              </w:rPr>
              <w:t>• BIA, BCP/DRP and exercise engine (ISO 22301)</w:t>
            </w:r>
          </w:p>
          <w:p>
            <w:pPr>
              <w:spacing w:after="20"/>
            </w:pPr>
            <w:r>
              <w:rPr>
                <w:b w:val="0"/>
                <w:sz w:val="17"/>
              </w:rPr>
              <w:t>• Compliance obligations engine (ISO 37301)</w:t>
            </w:r>
          </w:p>
          <w:p>
            <w:pPr>
              <w:spacing w:after="20"/>
            </w:pPr>
            <w:r>
              <w:rPr>
                <w:b w:val="0"/>
                <w:sz w:val="17"/>
              </w:rPr>
              <w:t>• KRI and incident engine</w:t>
            </w:r>
          </w:p>
          <w:p>
            <w:pPr>
              <w:spacing w:after="20"/>
            </w:pPr>
            <w:r>
              <w:rPr>
                <w:b w:val="0"/>
                <w:sz w:val="17"/>
              </w:rPr>
              <w:t>• Action tracking engine</w:t>
            </w:r>
          </w:p>
          <w:p>
            <w:pPr>
              <w:spacing w:after="20"/>
            </w:pPr>
            <w:r>
              <w:rPr>
                <w:b w:val="0"/>
                <w:sz w:val="17"/>
              </w:rPr>
              <w:t>• Board reporting engine</w:t>
            </w:r>
          </w:p>
          <w:p>
            <w:pPr>
              <w:spacing w:after="20"/>
            </w:pPr>
            <w:r>
              <w:rPr>
                <w:b w:val="0"/>
                <w:sz w:val="17"/>
              </w:rPr>
              <w:t>• Mobile/offline plan access</w:t>
            </w:r>
          </w:p>
          <w:p>
            <w:pPr>
              <w:spacing w:after="20"/>
            </w:pPr>
            <w:r>
              <w:rPr>
                <w:b w:val="0"/>
                <w:sz w:val="17"/>
              </w:rPr>
              <w:t>• Integration with all modules</w:t>
            </w:r>
          </w:p>
        </w:tc>
        <w:tc>
          <w:tcPr>
            <w:tcW w:type="dxa" w:w="2948"/>
          </w:tcPr>
          <w:p>
            <w:pPr>
              <w:spacing w:after="20"/>
            </w:pPr>
            <w:r/>
            <w:r>
              <w:rPr>
                <w:b w:val="0"/>
                <w:sz w:val="17"/>
              </w:rPr>
              <w:t>• Multi-level risk registers with roll-up</w:t>
            </w:r>
          </w:p>
          <w:p>
            <w:pPr>
              <w:spacing w:after="20"/>
            </w:pPr>
            <w:r>
              <w:rPr>
                <w:b w:val="0"/>
                <w:sz w:val="17"/>
              </w:rPr>
              <w:t>• 5×5 matrix, appetite and control effectiveness scoring</w:t>
            </w:r>
          </w:p>
          <w:p>
            <w:pPr>
              <w:spacing w:after="20"/>
            </w:pPr>
            <w:r>
              <w:rPr>
                <w:b w:val="0"/>
                <w:sz w:val="17"/>
              </w:rPr>
              <w:t>• BIA with RTO/RPO/MTPD and dependency gap analysis</w:t>
            </w:r>
          </w:p>
          <w:p>
            <w:pPr>
              <w:spacing w:after="20"/>
            </w:pPr>
            <w:r>
              <w:rPr>
                <w:b w:val="0"/>
                <w:sz w:val="17"/>
              </w:rPr>
              <w:t>• BCP builder, call trees, activation and exercises</w:t>
            </w:r>
          </w:p>
          <w:p>
            <w:pPr>
              <w:spacing w:after="20"/>
            </w:pPr>
            <w:r>
              <w:rPr>
                <w:b w:val="0"/>
                <w:sz w:val="17"/>
              </w:rPr>
              <w:t>• Obligations register, returns calendar, attestations, breach clocks</w:t>
            </w:r>
          </w:p>
          <w:p>
            <w:pPr>
              <w:spacing w:after="20"/>
            </w:pPr>
            <w:r>
              <w:rPr>
                <w:b w:val="0"/>
                <w:sz w:val="17"/>
              </w:rPr>
              <w:t>• KRI thresholds with escalation</w:t>
            </w:r>
          </w:p>
          <w:p>
            <w:pPr>
              <w:spacing w:after="20"/>
            </w:pPr>
            <w:r>
              <w:rPr>
                <w:b w:val="0"/>
                <w:sz w:val="17"/>
              </w:rPr>
              <w:t>• Single action tracker with 2nd-line verification</w:t>
            </w:r>
          </w:p>
          <w:p>
            <w:pPr>
              <w:spacing w:after="20"/>
            </w:pPr>
            <w:r>
              <w:rPr>
                <w:b w:val="0"/>
                <w:sz w:val="17"/>
              </w:rPr>
              <w:t>• Board/ARC dashboards and packs</w:t>
            </w:r>
          </w:p>
          <w:p>
            <w:pPr>
              <w:spacing w:after="20"/>
            </w:pPr>
            <w:r>
              <w:rPr>
                <w:b w:val="0"/>
                <w:sz w:val="17"/>
              </w:rPr>
              <w:t>• RBAC, SoD and full audit trail</w:t>
            </w:r>
          </w:p>
        </w:tc>
      </w:tr>
    </w:tbl>
    <w:p>
      <w:pPr>
        <w:spacing w:after="40"/>
      </w:pPr>
    </w:p>
    <w:p>
      <w:pPr>
        <w:pStyle w:val="Heading1"/>
      </w:pPr>
      <w:r>
        <w:t>8. Reporting Catalogue</w:t>
      </w:r>
    </w:p>
    <w:tbl>
      <w:tblPr>
        <w:tblStyle w:val="TableGrid"/>
        <w:tblW w:type="auto" w:w="0"/>
        <w:jc w:val="center"/>
        <w:tblLayout w:type="fixed"/>
        <w:tblLook w:firstColumn="1" w:firstRow="1" w:lastColumn="0" w:lastRow="0" w:noHBand="0" w:noVBand="1" w:val="04A0"/>
      </w:tblPr>
      <w:tblGrid>
        <w:gridCol w:w="2381"/>
        <w:gridCol w:w="1361"/>
        <w:gridCol w:w="1814"/>
        <w:gridCol w:w="3855"/>
      </w:tblGrid>
      <w:tr>
        <w:trPr>
          <w:tblHeader w:val="true"/>
        </w:trPr>
        <w:tc>
          <w:tcPr>
            <w:tcW w:type="dxa" w:w="2381"/>
            <w:shd w:val="clear" w:color="auto" w:fill="1A5276"/>
          </w:tcPr>
          <w:p>
            <w:r/>
            <w:r>
              <w:rPr>
                <w:b/>
                <w:color w:val="FFFFFF"/>
                <w:sz w:val="17"/>
              </w:rPr>
              <w:t>Report</w:t>
            </w:r>
          </w:p>
        </w:tc>
        <w:tc>
          <w:tcPr>
            <w:tcW w:type="dxa" w:w="1361"/>
            <w:shd w:val="clear" w:color="auto" w:fill="1A5276"/>
          </w:tcPr>
          <w:p>
            <w:r/>
            <w:r>
              <w:rPr>
                <w:b/>
                <w:color w:val="FFFFFF"/>
                <w:sz w:val="17"/>
              </w:rPr>
              <w:t>Frequency</w:t>
            </w:r>
          </w:p>
        </w:tc>
        <w:tc>
          <w:tcPr>
            <w:tcW w:type="dxa" w:w="1814"/>
            <w:shd w:val="clear" w:color="auto" w:fill="1A5276"/>
          </w:tcPr>
          <w:p>
            <w:r/>
            <w:r>
              <w:rPr>
                <w:b/>
                <w:color w:val="FFFFFF"/>
                <w:sz w:val="17"/>
              </w:rPr>
              <w:t>Audience</w:t>
            </w:r>
          </w:p>
        </w:tc>
        <w:tc>
          <w:tcPr>
            <w:tcW w:type="dxa" w:w="3855"/>
            <w:shd w:val="clear" w:color="auto" w:fill="1A5276"/>
          </w:tcPr>
          <w:p>
            <w:r/>
            <w:r>
              <w:rPr>
                <w:b/>
                <w:color w:val="FFFFFF"/>
                <w:sz w:val="17"/>
              </w:rPr>
              <w:t>Content</w:t>
            </w:r>
          </w:p>
        </w:tc>
      </w:tr>
      <w:tr>
        <w:tc>
          <w:tcPr>
            <w:tcW w:type="dxa" w:w="2381"/>
          </w:tcPr>
          <w:p>
            <w:pPr>
              <w:spacing w:after="20"/>
            </w:pPr>
            <w:r/>
            <w:r>
              <w:rPr>
                <w:b w:val="0"/>
                <w:sz w:val="17"/>
              </w:rPr>
              <w:t>Risk Advisory</w:t>
            </w:r>
          </w:p>
        </w:tc>
        <w:tc>
          <w:tcPr>
            <w:tcW w:type="dxa" w:w="1361"/>
          </w:tcPr>
          <w:p>
            <w:pPr>
              <w:spacing w:after="20"/>
            </w:pPr>
            <w:r/>
            <w:r>
              <w:rPr>
                <w:b w:val="0"/>
                <w:sz w:val="17"/>
              </w:rPr>
              <w:t>Ad hoc</w:t>
            </w:r>
          </w:p>
        </w:tc>
        <w:tc>
          <w:tcPr>
            <w:tcW w:type="dxa" w:w="1814"/>
          </w:tcPr>
          <w:p>
            <w:pPr>
              <w:spacing w:after="20"/>
            </w:pPr>
            <w:r/>
            <w:r>
              <w:rPr>
                <w:b w:val="0"/>
                <w:sz w:val="17"/>
              </w:rPr>
              <w:t>Risk owner, HOD</w:t>
            </w:r>
          </w:p>
        </w:tc>
        <w:tc>
          <w:tcPr>
            <w:tcW w:type="dxa" w:w="3855"/>
          </w:tcPr>
          <w:p>
            <w:pPr>
              <w:spacing w:after="20"/>
            </w:pPr>
            <w:r/>
            <w:r>
              <w:rPr>
                <w:b w:val="0"/>
                <w:sz w:val="17"/>
              </w:rPr>
              <w:t>Newly identified risk, rating, proposed response, owner comment</w:t>
            </w:r>
          </w:p>
        </w:tc>
      </w:tr>
      <w:tr>
        <w:tc>
          <w:tcPr>
            <w:tcW w:type="dxa" w:w="2381"/>
            <w:shd w:val="clear" w:color="auto" w:fill="EBF5FB"/>
          </w:tcPr>
          <w:p>
            <w:pPr>
              <w:spacing w:after="20"/>
            </w:pPr>
            <w:r/>
            <w:r>
              <w:rPr>
                <w:b w:val="0"/>
                <w:sz w:val="17"/>
              </w:rPr>
              <w:t>Unit Risk Management Report (department, region, branch)</w:t>
            </w:r>
          </w:p>
        </w:tc>
        <w:tc>
          <w:tcPr>
            <w:tcW w:type="dxa" w:w="1361"/>
            <w:shd w:val="clear" w:color="auto" w:fill="EBF5FB"/>
          </w:tcPr>
          <w:p>
            <w:pPr>
              <w:spacing w:after="20"/>
            </w:pPr>
            <w:r/>
            <w:r>
              <w:rPr>
                <w:b w:val="0"/>
                <w:sz w:val="17"/>
              </w:rPr>
              <w:t>After each assessment</w:t>
            </w:r>
          </w:p>
        </w:tc>
        <w:tc>
          <w:tcPr>
            <w:tcW w:type="dxa" w:w="1814"/>
            <w:shd w:val="clear" w:color="auto" w:fill="EBF5FB"/>
          </w:tcPr>
          <w:p>
            <w:pPr>
              <w:spacing w:after="20"/>
            </w:pPr>
            <w:r/>
            <w:r>
              <w:rPr>
                <w:b w:val="0"/>
                <w:sz w:val="17"/>
              </w:rPr>
              <w:t>HOD/RM/BM, Senior Mgmt</w:t>
            </w:r>
          </w:p>
        </w:tc>
        <w:tc>
          <w:tcPr>
            <w:tcW w:type="dxa" w:w="3855"/>
            <w:shd w:val="clear" w:color="auto" w:fill="EBF5FB"/>
          </w:tcPr>
          <w:p>
            <w:pPr>
              <w:spacing w:after="20"/>
            </w:pPr>
            <w:r/>
            <w:r>
              <w:rPr>
                <w:b w:val="0"/>
                <w:sz w:val="17"/>
              </w:rPr>
              <w:t>Risk summary, rating levels, per-section risk levels, categories, significant risks, compliance, emerging risks, BCM status, recommendations</w:t>
            </w:r>
          </w:p>
        </w:tc>
      </w:tr>
      <w:tr>
        <w:tc>
          <w:tcPr>
            <w:tcW w:type="dxa" w:w="2381"/>
          </w:tcPr>
          <w:p>
            <w:pPr>
              <w:spacing w:after="20"/>
            </w:pPr>
            <w:r/>
            <w:r>
              <w:rPr>
                <w:b w:val="0"/>
                <w:sz w:val="17"/>
              </w:rPr>
              <w:t>KRI dashboard</w:t>
            </w:r>
          </w:p>
        </w:tc>
        <w:tc>
          <w:tcPr>
            <w:tcW w:type="dxa" w:w="1361"/>
          </w:tcPr>
          <w:p>
            <w:pPr>
              <w:spacing w:after="20"/>
            </w:pPr>
            <w:r/>
            <w:r>
              <w:rPr>
                <w:b w:val="0"/>
                <w:sz w:val="17"/>
              </w:rPr>
              <w:t>Monthly</w:t>
            </w:r>
          </w:p>
        </w:tc>
        <w:tc>
          <w:tcPr>
            <w:tcW w:type="dxa" w:w="1814"/>
          </w:tcPr>
          <w:p>
            <w:pPr>
              <w:spacing w:after="20"/>
            </w:pPr>
            <w:r/>
            <w:r>
              <w:rPr>
                <w:b w:val="0"/>
                <w:sz w:val="17"/>
              </w:rPr>
              <w:t>Risk owners, Senior Mgmt</w:t>
            </w:r>
          </w:p>
        </w:tc>
        <w:tc>
          <w:tcPr>
            <w:tcW w:type="dxa" w:w="3855"/>
          </w:tcPr>
          <w:p>
            <w:pPr>
              <w:spacing w:after="20"/>
            </w:pPr>
            <w:r/>
            <w:r>
              <w:rPr>
                <w:b w:val="0"/>
                <w:sz w:val="17"/>
              </w:rPr>
              <w:t>KRI status, breaches, trends</w:t>
            </w:r>
          </w:p>
        </w:tc>
      </w:tr>
      <w:tr>
        <w:tc>
          <w:tcPr>
            <w:tcW w:type="dxa" w:w="2381"/>
            <w:shd w:val="clear" w:color="auto" w:fill="EBF5FB"/>
          </w:tcPr>
          <w:p>
            <w:pPr>
              <w:spacing w:after="20"/>
            </w:pPr>
            <w:r/>
            <w:r>
              <w:rPr>
                <w:b w:val="0"/>
                <w:sz w:val="17"/>
              </w:rPr>
              <w:t>Incident and loss report</w:t>
            </w:r>
          </w:p>
        </w:tc>
        <w:tc>
          <w:tcPr>
            <w:tcW w:type="dxa" w:w="1361"/>
            <w:shd w:val="clear" w:color="auto" w:fill="EBF5FB"/>
          </w:tcPr>
          <w:p>
            <w:pPr>
              <w:spacing w:after="20"/>
            </w:pPr>
            <w:r/>
            <w:r>
              <w:rPr>
                <w:b w:val="0"/>
                <w:sz w:val="17"/>
              </w:rPr>
              <w:t>Monthly</w:t>
            </w:r>
          </w:p>
        </w:tc>
        <w:tc>
          <w:tcPr>
            <w:tcW w:type="dxa" w:w="1814"/>
            <w:shd w:val="clear" w:color="auto" w:fill="EBF5FB"/>
          </w:tcPr>
          <w:p>
            <w:pPr>
              <w:spacing w:after="20"/>
            </w:pPr>
            <w:r/>
            <w:r>
              <w:rPr>
                <w:b w:val="0"/>
                <w:sz w:val="17"/>
              </w:rPr>
              <w:t>Senior Mgmt</w:t>
            </w:r>
          </w:p>
        </w:tc>
        <w:tc>
          <w:tcPr>
            <w:tcW w:type="dxa" w:w="3855"/>
            <w:shd w:val="clear" w:color="auto" w:fill="EBF5FB"/>
          </w:tcPr>
          <w:p>
            <w:pPr>
              <w:spacing w:after="20"/>
            </w:pPr>
            <w:r/>
            <w:r>
              <w:rPr>
                <w:b w:val="0"/>
                <w:sz w:val="17"/>
              </w:rPr>
              <w:t>Incidents, net losses, root causes, linked risks</w:t>
            </w:r>
          </w:p>
        </w:tc>
      </w:tr>
      <w:tr>
        <w:tc>
          <w:tcPr>
            <w:tcW w:type="dxa" w:w="2381"/>
          </w:tcPr>
          <w:p>
            <w:pPr>
              <w:spacing w:after="20"/>
            </w:pPr>
            <w:r/>
            <w:r>
              <w:rPr>
                <w:b w:val="0"/>
                <w:sz w:val="17"/>
              </w:rPr>
              <w:t>Action ageing report</w:t>
            </w:r>
          </w:p>
        </w:tc>
        <w:tc>
          <w:tcPr>
            <w:tcW w:type="dxa" w:w="1361"/>
          </w:tcPr>
          <w:p>
            <w:pPr>
              <w:spacing w:after="20"/>
            </w:pPr>
            <w:r/>
            <w:r>
              <w:rPr>
                <w:b w:val="0"/>
                <w:sz w:val="17"/>
              </w:rPr>
              <w:t>Weekly / monthly</w:t>
            </w:r>
          </w:p>
        </w:tc>
        <w:tc>
          <w:tcPr>
            <w:tcW w:type="dxa" w:w="1814"/>
          </w:tcPr>
          <w:p>
            <w:pPr>
              <w:spacing w:after="20"/>
            </w:pPr>
            <w:r/>
            <w:r>
              <w:rPr>
                <w:b w:val="0"/>
                <w:sz w:val="17"/>
              </w:rPr>
              <w:t>HODs, Senior Mgmt</w:t>
            </w:r>
          </w:p>
        </w:tc>
        <w:tc>
          <w:tcPr>
            <w:tcW w:type="dxa" w:w="3855"/>
          </w:tcPr>
          <w:p>
            <w:pPr>
              <w:spacing w:after="20"/>
            </w:pPr>
            <w:r/>
            <w:r>
              <w:rPr>
                <w:b w:val="0"/>
                <w:sz w:val="17"/>
              </w:rPr>
              <w:t>Open, overdue and extended actions by unit and source</w:t>
            </w:r>
          </w:p>
        </w:tc>
      </w:tr>
      <w:tr>
        <w:tc>
          <w:tcPr>
            <w:tcW w:type="dxa" w:w="2381"/>
            <w:shd w:val="clear" w:color="auto" w:fill="EBF5FB"/>
          </w:tcPr>
          <w:p>
            <w:pPr>
              <w:spacing w:after="20"/>
            </w:pPr>
            <w:r/>
            <w:r>
              <w:rPr>
                <w:b w:val="0"/>
                <w:sz w:val="17"/>
              </w:rPr>
              <w:t>Compliance status report</w:t>
            </w:r>
          </w:p>
        </w:tc>
        <w:tc>
          <w:tcPr>
            <w:tcW w:type="dxa" w:w="1361"/>
            <w:shd w:val="clear" w:color="auto" w:fill="EBF5FB"/>
          </w:tcPr>
          <w:p>
            <w:pPr>
              <w:spacing w:after="20"/>
            </w:pPr>
            <w:r/>
            <w:r>
              <w:rPr>
                <w:b w:val="0"/>
                <w:sz w:val="17"/>
              </w:rPr>
              <w:t>Monthly</w:t>
            </w:r>
          </w:p>
        </w:tc>
        <w:tc>
          <w:tcPr>
            <w:tcW w:type="dxa" w:w="1814"/>
            <w:shd w:val="clear" w:color="auto" w:fill="EBF5FB"/>
          </w:tcPr>
          <w:p>
            <w:pPr>
              <w:spacing w:after="20"/>
            </w:pPr>
            <w:r/>
            <w:r>
              <w:rPr>
                <w:b w:val="0"/>
                <w:sz w:val="17"/>
              </w:rPr>
              <w:t>Senior Mgmt</w:t>
            </w:r>
          </w:p>
        </w:tc>
        <w:tc>
          <w:tcPr>
            <w:tcW w:type="dxa" w:w="3855"/>
            <w:shd w:val="clear" w:color="auto" w:fill="EBF5FB"/>
          </w:tcPr>
          <w:p>
            <w:pPr>
              <w:spacing w:after="20"/>
            </w:pPr>
            <w:r/>
            <w:r>
              <w:rPr>
                <w:b w:val="0"/>
                <w:sz w:val="17"/>
              </w:rPr>
              <w:t>Returns due and submitted, attestations, breaches, compliance index</w:t>
            </w:r>
          </w:p>
        </w:tc>
      </w:tr>
      <w:tr>
        <w:tc>
          <w:tcPr>
            <w:tcW w:type="dxa" w:w="2381"/>
          </w:tcPr>
          <w:p>
            <w:pPr>
              <w:spacing w:after="20"/>
            </w:pPr>
            <w:r/>
            <w:r>
              <w:rPr>
                <w:b w:val="0"/>
                <w:sz w:val="17"/>
              </w:rPr>
              <w:t>Board Risk Management Report</w:t>
            </w:r>
          </w:p>
        </w:tc>
        <w:tc>
          <w:tcPr>
            <w:tcW w:type="dxa" w:w="1361"/>
          </w:tcPr>
          <w:p>
            <w:pPr>
              <w:spacing w:after="20"/>
            </w:pPr>
            <w:r/>
            <w:r>
              <w:rPr>
                <w:b w:val="0"/>
                <w:sz w:val="17"/>
              </w:rPr>
              <w:t>Quarterly</w:t>
            </w:r>
          </w:p>
        </w:tc>
        <w:tc>
          <w:tcPr>
            <w:tcW w:type="dxa" w:w="1814"/>
          </w:tcPr>
          <w:p>
            <w:pPr>
              <w:spacing w:after="20"/>
            </w:pPr>
            <w:r/>
            <w:r>
              <w:rPr>
                <w:b w:val="0"/>
                <w:sz w:val="17"/>
              </w:rPr>
              <w:t>Senior Mgmt, ARC, BOT</w:t>
            </w:r>
          </w:p>
        </w:tc>
        <w:tc>
          <w:tcPr>
            <w:tcW w:type="dxa" w:w="3855"/>
          </w:tcPr>
          <w:p>
            <w:pPr>
              <w:spacing w:after="20"/>
            </w:pPr>
            <w:r/>
            <w:r>
              <w:rPr>
                <w:b w:val="0"/>
                <w:sz w:val="17"/>
              </w:rPr>
              <w:t>Top risks and movement, heat map, appetite breaches, KRIs, compliance, emerging risks, BCM readiness, overdue actions, decisions required</w:t>
            </w:r>
          </w:p>
        </w:tc>
      </w:tr>
      <w:tr>
        <w:tc>
          <w:tcPr>
            <w:tcW w:type="dxa" w:w="2381"/>
            <w:shd w:val="clear" w:color="auto" w:fill="EBF5FB"/>
          </w:tcPr>
          <w:p>
            <w:pPr>
              <w:spacing w:after="20"/>
            </w:pPr>
            <w:r/>
            <w:r>
              <w:rPr>
                <w:b w:val="0"/>
                <w:sz w:val="17"/>
              </w:rPr>
              <w:t>BCM readiness report</w:t>
            </w:r>
          </w:p>
        </w:tc>
        <w:tc>
          <w:tcPr>
            <w:tcW w:type="dxa" w:w="1361"/>
            <w:shd w:val="clear" w:color="auto" w:fill="EBF5FB"/>
          </w:tcPr>
          <w:p>
            <w:pPr>
              <w:spacing w:after="20"/>
            </w:pPr>
            <w:r/>
            <w:r>
              <w:rPr>
                <w:b w:val="0"/>
                <w:sz w:val="17"/>
              </w:rPr>
              <w:t>Quarterly</w:t>
            </w:r>
          </w:p>
        </w:tc>
        <w:tc>
          <w:tcPr>
            <w:tcW w:type="dxa" w:w="1814"/>
            <w:shd w:val="clear" w:color="auto" w:fill="EBF5FB"/>
          </w:tcPr>
          <w:p>
            <w:pPr>
              <w:spacing w:after="20"/>
            </w:pPr>
            <w:r/>
            <w:r>
              <w:rPr>
                <w:b w:val="0"/>
                <w:sz w:val="17"/>
              </w:rPr>
              <w:t>Senior Mgmt, ARC</w:t>
            </w:r>
          </w:p>
        </w:tc>
        <w:tc>
          <w:tcPr>
            <w:tcW w:type="dxa" w:w="3855"/>
            <w:shd w:val="clear" w:color="auto" w:fill="EBF5FB"/>
          </w:tcPr>
          <w:p>
            <w:pPr>
              <w:spacing w:after="20"/>
            </w:pPr>
            <w:r/>
            <w:r>
              <w:rPr>
                <w:b w:val="0"/>
                <w:sz w:val="17"/>
              </w:rPr>
              <w:t>Readiness scores, BIA/BCP currency, exercises, RTO gaps</w:t>
            </w:r>
          </w:p>
        </w:tc>
      </w:tr>
      <w:tr>
        <w:tc>
          <w:tcPr>
            <w:tcW w:type="dxa" w:w="2381"/>
          </w:tcPr>
          <w:p>
            <w:pPr>
              <w:spacing w:after="20"/>
            </w:pPr>
            <w:r/>
            <w:r>
              <w:rPr>
                <w:b w:val="0"/>
                <w:sz w:val="17"/>
              </w:rPr>
              <w:t>Exercise report</w:t>
            </w:r>
          </w:p>
        </w:tc>
        <w:tc>
          <w:tcPr>
            <w:tcW w:type="dxa" w:w="1361"/>
          </w:tcPr>
          <w:p>
            <w:pPr>
              <w:spacing w:after="20"/>
            </w:pPr>
            <w:r/>
            <w:r>
              <w:rPr>
                <w:b w:val="0"/>
                <w:sz w:val="17"/>
              </w:rPr>
              <w:t>After each exercise</w:t>
            </w:r>
          </w:p>
        </w:tc>
        <w:tc>
          <w:tcPr>
            <w:tcW w:type="dxa" w:w="1814"/>
          </w:tcPr>
          <w:p>
            <w:pPr>
              <w:spacing w:after="20"/>
            </w:pPr>
            <w:r/>
            <w:r>
              <w:rPr>
                <w:b w:val="0"/>
                <w:sz w:val="17"/>
              </w:rPr>
              <w:t>CMT, unit heads</w:t>
            </w:r>
          </w:p>
        </w:tc>
        <w:tc>
          <w:tcPr>
            <w:tcW w:type="dxa" w:w="3855"/>
          </w:tcPr>
          <w:p>
            <w:pPr>
              <w:spacing w:after="20"/>
            </w:pPr>
            <w:r/>
            <w:r>
              <w:rPr>
                <w:b w:val="0"/>
                <w:sz w:val="17"/>
              </w:rPr>
              <w:t>Objectives, results against RTO/RPO, lessons, actions</w:t>
            </w:r>
          </w:p>
        </w:tc>
      </w:tr>
      <w:tr>
        <w:tc>
          <w:tcPr>
            <w:tcW w:type="dxa" w:w="2381"/>
            <w:shd w:val="clear" w:color="auto" w:fill="EBF5FB"/>
          </w:tcPr>
          <w:p>
            <w:pPr>
              <w:spacing w:after="20"/>
            </w:pPr>
            <w:r/>
            <w:r>
              <w:rPr>
                <w:b w:val="0"/>
                <w:sz w:val="17"/>
              </w:rPr>
              <w:t>Corporate Risk Register update</w:t>
            </w:r>
          </w:p>
        </w:tc>
        <w:tc>
          <w:tcPr>
            <w:tcW w:type="dxa" w:w="1361"/>
            <w:shd w:val="clear" w:color="auto" w:fill="EBF5FB"/>
          </w:tcPr>
          <w:p>
            <w:pPr>
              <w:spacing w:after="20"/>
            </w:pPr>
            <w:r/>
            <w:r>
              <w:rPr>
                <w:b w:val="0"/>
                <w:sz w:val="17"/>
              </w:rPr>
              <w:t>Annually</w:t>
            </w:r>
          </w:p>
        </w:tc>
        <w:tc>
          <w:tcPr>
            <w:tcW w:type="dxa" w:w="1814"/>
            <w:shd w:val="clear" w:color="auto" w:fill="EBF5FB"/>
          </w:tcPr>
          <w:p>
            <w:pPr>
              <w:spacing w:after="20"/>
            </w:pPr>
            <w:r/>
            <w:r>
              <w:rPr>
                <w:b w:val="0"/>
                <w:sz w:val="17"/>
              </w:rPr>
              <w:t>Senior Mgmt, ARC, BOT</w:t>
            </w:r>
          </w:p>
        </w:tc>
        <w:tc>
          <w:tcPr>
            <w:tcW w:type="dxa" w:w="3855"/>
            <w:shd w:val="clear" w:color="auto" w:fill="EBF5FB"/>
          </w:tcPr>
          <w:p>
            <w:pPr>
              <w:spacing w:after="20"/>
            </w:pPr>
            <w:r/>
            <w:r>
              <w:rPr>
                <w:b w:val="0"/>
                <w:sz w:val="17"/>
              </w:rPr>
              <w:t>Fund-wide risk profile and register</w:t>
            </w:r>
          </w:p>
        </w:tc>
      </w:tr>
      <w:tr>
        <w:tc>
          <w:tcPr>
            <w:tcW w:type="dxa" w:w="2381"/>
          </w:tcPr>
          <w:p>
            <w:pPr>
              <w:spacing w:after="20"/>
            </w:pPr>
            <w:r/>
            <w:r>
              <w:rPr>
                <w:b w:val="0"/>
                <w:sz w:val="17"/>
              </w:rPr>
              <w:t>BCM management review</w:t>
            </w:r>
          </w:p>
        </w:tc>
        <w:tc>
          <w:tcPr>
            <w:tcW w:type="dxa" w:w="1361"/>
          </w:tcPr>
          <w:p>
            <w:pPr>
              <w:spacing w:after="20"/>
            </w:pPr>
            <w:r/>
            <w:r>
              <w:rPr>
                <w:b w:val="0"/>
                <w:sz w:val="17"/>
              </w:rPr>
              <w:t>Annually</w:t>
            </w:r>
          </w:p>
        </w:tc>
        <w:tc>
          <w:tcPr>
            <w:tcW w:type="dxa" w:w="1814"/>
          </w:tcPr>
          <w:p>
            <w:pPr>
              <w:spacing w:after="20"/>
            </w:pPr>
            <w:r/>
            <w:r>
              <w:rPr>
                <w:b w:val="0"/>
                <w:sz w:val="17"/>
              </w:rPr>
              <w:t>Senior Mgmt</w:t>
            </w:r>
          </w:p>
        </w:tc>
        <w:tc>
          <w:tcPr>
            <w:tcW w:type="dxa" w:w="3855"/>
          </w:tcPr>
          <w:p>
            <w:pPr>
              <w:spacing w:after="20"/>
            </w:pPr>
            <w:r/>
            <w:r>
              <w:rPr>
                <w:b w:val="0"/>
                <w:sz w:val="17"/>
              </w:rPr>
              <w:t>ISO 22301 clause 9.3 inputs and outputs</w:t>
            </w:r>
          </w:p>
        </w:tc>
      </w:tr>
    </w:tbl>
    <w:p>
      <w:pPr>
        <w:spacing w:after="40"/>
      </w:pPr>
    </w:p>
    <w:p>
      <w:pPr>
        <w:pStyle w:val="Heading1"/>
      </w:pPr>
      <w:r>
        <w:t>9. Integration Requirements</w:t>
      </w:r>
    </w:p>
    <w:tbl>
      <w:tblPr>
        <w:tblStyle w:val="TableGrid"/>
        <w:tblW w:type="auto" w:w="0"/>
        <w:jc w:val="center"/>
        <w:tblLayout w:type="fixed"/>
        <w:tblLook w:firstColumn="1" w:firstRow="1" w:lastColumn="0" w:lastRow="0" w:noHBand="0" w:noVBand="1" w:val="04A0"/>
      </w:tblPr>
      <w:tblGrid>
        <w:gridCol w:w="2154"/>
        <w:gridCol w:w="3628"/>
        <w:gridCol w:w="1020"/>
        <w:gridCol w:w="2608"/>
      </w:tblGrid>
      <w:tr>
        <w:trPr>
          <w:tblHeader w:val="true"/>
        </w:trPr>
        <w:tc>
          <w:tcPr>
            <w:tcW w:type="dxa" w:w="2154"/>
            <w:shd w:val="clear" w:color="auto" w:fill="1A5276"/>
          </w:tcPr>
          <w:p>
            <w:r/>
            <w:r>
              <w:rPr>
                <w:b/>
                <w:color w:val="FFFFFF"/>
                <w:sz w:val="17"/>
              </w:rPr>
              <w:t>System</w:t>
            </w:r>
          </w:p>
        </w:tc>
        <w:tc>
          <w:tcPr>
            <w:tcW w:type="dxa" w:w="3628"/>
            <w:shd w:val="clear" w:color="auto" w:fill="1A5276"/>
          </w:tcPr>
          <w:p>
            <w:r/>
            <w:r>
              <w:rPr>
                <w:b/>
                <w:color w:val="FFFFFF"/>
                <w:sz w:val="17"/>
              </w:rPr>
              <w:t>Data exchanged</w:t>
            </w:r>
          </w:p>
        </w:tc>
        <w:tc>
          <w:tcPr>
            <w:tcW w:type="dxa" w:w="1020"/>
            <w:shd w:val="clear" w:color="auto" w:fill="1A5276"/>
          </w:tcPr>
          <w:p>
            <w:r/>
            <w:r>
              <w:rPr>
                <w:b/>
                <w:color w:val="FFFFFF"/>
                <w:sz w:val="17"/>
              </w:rPr>
              <w:t>Direction</w:t>
            </w:r>
          </w:p>
        </w:tc>
        <w:tc>
          <w:tcPr>
            <w:tcW w:type="dxa" w:w="2608"/>
            <w:shd w:val="clear" w:color="auto" w:fill="1A5276"/>
          </w:tcPr>
          <w:p>
            <w:r/>
            <w:r>
              <w:rPr>
                <w:b/>
                <w:color w:val="FFFFFF"/>
                <w:sz w:val="17"/>
              </w:rPr>
              <w:t>Method / frequency</w:t>
            </w:r>
          </w:p>
        </w:tc>
      </w:tr>
      <w:tr>
        <w:tc>
          <w:tcPr>
            <w:tcW w:type="dxa" w:w="2154"/>
          </w:tcPr>
          <w:p>
            <w:pPr>
              <w:spacing w:after="20"/>
            </w:pPr>
            <w:r/>
            <w:r>
              <w:rPr>
                <w:b w:val="0"/>
                <w:sz w:val="17"/>
              </w:rPr>
              <w:t>HRMIS / SAP HCM</w:t>
            </w:r>
          </w:p>
        </w:tc>
        <w:tc>
          <w:tcPr>
            <w:tcW w:type="dxa" w:w="3628"/>
          </w:tcPr>
          <w:p>
            <w:pPr>
              <w:spacing w:after="20"/>
            </w:pPr>
            <w:r/>
            <w:r>
              <w:rPr>
                <w:b w:val="0"/>
                <w:sz w:val="17"/>
              </w:rPr>
              <w:t>Organisation structure, staff, positions, contacts for call trees</w:t>
            </w:r>
          </w:p>
        </w:tc>
        <w:tc>
          <w:tcPr>
            <w:tcW w:type="dxa" w:w="1020"/>
          </w:tcPr>
          <w:p>
            <w:pPr>
              <w:spacing w:after="20"/>
            </w:pPr>
            <w:r/>
            <w:r>
              <w:rPr>
                <w:b w:val="0"/>
                <w:sz w:val="17"/>
              </w:rPr>
              <w:t>In</w:t>
            </w:r>
          </w:p>
        </w:tc>
        <w:tc>
          <w:tcPr>
            <w:tcW w:type="dxa" w:w="2608"/>
          </w:tcPr>
          <w:p>
            <w:pPr>
              <w:spacing w:after="20"/>
            </w:pPr>
            <w:r/>
            <w:r>
              <w:rPr>
                <w:b w:val="0"/>
                <w:sz w:val="17"/>
              </w:rPr>
              <w:t>API, daily</w:t>
            </w:r>
          </w:p>
        </w:tc>
      </w:tr>
      <w:tr>
        <w:tc>
          <w:tcPr>
            <w:tcW w:type="dxa" w:w="2154"/>
            <w:shd w:val="clear" w:color="auto" w:fill="EBF5FB"/>
          </w:tcPr>
          <w:p>
            <w:pPr>
              <w:spacing w:after="20"/>
            </w:pPr>
            <w:r/>
            <w:r>
              <w:rPr>
                <w:b w:val="0"/>
                <w:sz w:val="17"/>
              </w:rPr>
              <w:t>Active Directory / Entra ID</w:t>
            </w:r>
          </w:p>
        </w:tc>
        <w:tc>
          <w:tcPr>
            <w:tcW w:type="dxa" w:w="3628"/>
            <w:shd w:val="clear" w:color="auto" w:fill="EBF5FB"/>
          </w:tcPr>
          <w:p>
            <w:pPr>
              <w:spacing w:after="20"/>
            </w:pPr>
            <w:r/>
            <w:r>
              <w:rPr>
                <w:b w:val="0"/>
                <w:sz w:val="17"/>
              </w:rPr>
              <w:t>Identity, authentication, groups</w:t>
            </w:r>
          </w:p>
        </w:tc>
        <w:tc>
          <w:tcPr>
            <w:tcW w:type="dxa" w:w="1020"/>
            <w:shd w:val="clear" w:color="auto" w:fill="EBF5FB"/>
          </w:tcPr>
          <w:p>
            <w:pPr>
              <w:spacing w:after="20"/>
            </w:pPr>
            <w:r/>
            <w:r>
              <w:rPr>
                <w:b w:val="0"/>
                <w:sz w:val="17"/>
              </w:rPr>
              <w:t>In</w:t>
            </w:r>
          </w:p>
        </w:tc>
        <w:tc>
          <w:tcPr>
            <w:tcW w:type="dxa" w:w="2608"/>
            <w:shd w:val="clear" w:color="auto" w:fill="EBF5FB"/>
          </w:tcPr>
          <w:p>
            <w:pPr>
              <w:spacing w:after="20"/>
            </w:pPr>
            <w:r/>
            <w:r>
              <w:rPr>
                <w:b w:val="0"/>
                <w:sz w:val="17"/>
              </w:rPr>
              <w:t>SSO (SAML/OIDC), real time</w:t>
            </w:r>
          </w:p>
        </w:tc>
      </w:tr>
      <w:tr>
        <w:tc>
          <w:tcPr>
            <w:tcW w:type="dxa" w:w="2154"/>
          </w:tcPr>
          <w:p>
            <w:pPr>
              <w:spacing w:after="20"/>
            </w:pPr>
            <w:r/>
            <w:r>
              <w:rPr>
                <w:b w:val="0"/>
                <w:sz w:val="17"/>
              </w:rPr>
              <w:t>SSPAS (contributions and benefits)</w:t>
            </w:r>
          </w:p>
        </w:tc>
        <w:tc>
          <w:tcPr>
            <w:tcW w:type="dxa" w:w="3628"/>
          </w:tcPr>
          <w:p>
            <w:pPr>
              <w:spacing w:after="20"/>
            </w:pPr>
            <w:r/>
            <w:r>
              <w:rPr>
                <w:b w:val="0"/>
                <w:sz w:val="17"/>
              </w:rPr>
              <w:t>Operational KRIs (e.g., collection performance, benefit processing time, data exceptions)</w:t>
            </w:r>
          </w:p>
        </w:tc>
        <w:tc>
          <w:tcPr>
            <w:tcW w:type="dxa" w:w="1020"/>
          </w:tcPr>
          <w:p>
            <w:pPr>
              <w:spacing w:after="20"/>
            </w:pPr>
            <w:r/>
            <w:r>
              <w:rPr>
                <w:b w:val="0"/>
                <w:sz w:val="17"/>
              </w:rPr>
              <w:t>In</w:t>
            </w:r>
          </w:p>
        </w:tc>
        <w:tc>
          <w:tcPr>
            <w:tcW w:type="dxa" w:w="2608"/>
          </w:tcPr>
          <w:p>
            <w:pPr>
              <w:spacing w:after="20"/>
            </w:pPr>
            <w:r/>
            <w:r>
              <w:rPr>
                <w:b w:val="0"/>
                <w:sz w:val="17"/>
              </w:rPr>
              <w:t>API or scheduled extract, daily/monthly</w:t>
            </w:r>
          </w:p>
        </w:tc>
      </w:tr>
      <w:tr>
        <w:tc>
          <w:tcPr>
            <w:tcW w:type="dxa" w:w="2154"/>
            <w:shd w:val="clear" w:color="auto" w:fill="EBF5FB"/>
          </w:tcPr>
          <w:p>
            <w:pPr>
              <w:spacing w:after="20"/>
            </w:pPr>
            <w:r/>
            <w:r>
              <w:rPr>
                <w:b w:val="0"/>
                <w:sz w:val="17"/>
              </w:rPr>
              <w:t>SAP ERP (Finance, Procurement, PS)</w:t>
            </w:r>
          </w:p>
        </w:tc>
        <w:tc>
          <w:tcPr>
            <w:tcW w:type="dxa" w:w="3628"/>
            <w:shd w:val="clear" w:color="auto" w:fill="EBF5FB"/>
          </w:tcPr>
          <w:p>
            <w:pPr>
              <w:spacing w:after="20"/>
            </w:pPr>
            <w:r/>
            <w:r>
              <w:rPr>
                <w:b w:val="0"/>
                <w:sz w:val="17"/>
              </w:rPr>
              <w:t>Loss postings, budget, supplier and contract master, project register</w:t>
            </w:r>
          </w:p>
        </w:tc>
        <w:tc>
          <w:tcPr>
            <w:tcW w:type="dxa" w:w="1020"/>
            <w:shd w:val="clear" w:color="auto" w:fill="EBF5FB"/>
          </w:tcPr>
          <w:p>
            <w:pPr>
              <w:spacing w:after="20"/>
            </w:pPr>
            <w:r/>
            <w:r>
              <w:rPr>
                <w:b w:val="0"/>
                <w:sz w:val="17"/>
              </w:rPr>
              <w:t>In</w:t>
            </w:r>
          </w:p>
        </w:tc>
        <w:tc>
          <w:tcPr>
            <w:tcW w:type="dxa" w:w="2608"/>
            <w:shd w:val="clear" w:color="auto" w:fill="EBF5FB"/>
          </w:tcPr>
          <w:p>
            <w:pPr>
              <w:spacing w:after="20"/>
            </w:pPr>
            <w:r/>
            <w:r>
              <w:rPr>
                <w:b w:val="0"/>
                <w:sz w:val="17"/>
              </w:rPr>
              <w:t>API, daily</w:t>
            </w:r>
          </w:p>
        </w:tc>
      </w:tr>
      <w:tr>
        <w:tc>
          <w:tcPr>
            <w:tcW w:type="dxa" w:w="2154"/>
          </w:tcPr>
          <w:p>
            <w:pPr>
              <w:spacing w:after="20"/>
            </w:pPr>
            <w:r/>
            <w:r>
              <w:rPr>
                <w:b w:val="0"/>
                <w:sz w:val="17"/>
              </w:rPr>
              <w:t>EDMS</w:t>
            </w:r>
          </w:p>
        </w:tc>
        <w:tc>
          <w:tcPr>
            <w:tcW w:type="dxa" w:w="3628"/>
          </w:tcPr>
          <w:p>
            <w:pPr>
              <w:spacing w:after="20"/>
            </w:pPr>
            <w:r/>
            <w:r>
              <w:rPr>
                <w:b w:val="0"/>
                <w:sz w:val="17"/>
              </w:rPr>
              <w:t>Policies, plans, evidence documents</w:t>
            </w:r>
          </w:p>
        </w:tc>
        <w:tc>
          <w:tcPr>
            <w:tcW w:type="dxa" w:w="1020"/>
          </w:tcPr>
          <w:p>
            <w:pPr>
              <w:spacing w:after="20"/>
            </w:pPr>
            <w:r/>
            <w:r>
              <w:rPr>
                <w:b w:val="0"/>
                <w:sz w:val="17"/>
              </w:rPr>
              <w:t>Both</w:t>
            </w:r>
          </w:p>
        </w:tc>
        <w:tc>
          <w:tcPr>
            <w:tcW w:type="dxa" w:w="2608"/>
          </w:tcPr>
          <w:p>
            <w:pPr>
              <w:spacing w:after="20"/>
            </w:pPr>
            <w:r/>
            <w:r>
              <w:rPr>
                <w:b w:val="0"/>
                <w:sz w:val="17"/>
              </w:rPr>
              <w:t>API / link, real time</w:t>
            </w:r>
          </w:p>
        </w:tc>
      </w:tr>
      <w:tr>
        <w:tc>
          <w:tcPr>
            <w:tcW w:type="dxa" w:w="2154"/>
            <w:shd w:val="clear" w:color="auto" w:fill="EBF5FB"/>
          </w:tcPr>
          <w:p>
            <w:pPr>
              <w:spacing w:after="20"/>
            </w:pPr>
            <w:r/>
            <w:r>
              <w:rPr>
                <w:b w:val="0"/>
                <w:sz w:val="17"/>
              </w:rPr>
              <w:t>ITSM / SOC</w:t>
            </w:r>
          </w:p>
        </w:tc>
        <w:tc>
          <w:tcPr>
            <w:tcW w:type="dxa" w:w="3628"/>
            <w:shd w:val="clear" w:color="auto" w:fill="EBF5FB"/>
          </w:tcPr>
          <w:p>
            <w:pPr>
              <w:spacing w:after="20"/>
            </w:pPr>
            <w:r/>
            <w:r>
              <w:rPr>
                <w:b w:val="0"/>
                <w:sz w:val="17"/>
              </w:rPr>
              <w:t>ICT and security incidents, application inventory, DR test results</w:t>
            </w:r>
          </w:p>
        </w:tc>
        <w:tc>
          <w:tcPr>
            <w:tcW w:type="dxa" w:w="1020"/>
            <w:shd w:val="clear" w:color="auto" w:fill="EBF5FB"/>
          </w:tcPr>
          <w:p>
            <w:pPr>
              <w:spacing w:after="20"/>
            </w:pPr>
            <w:r/>
            <w:r>
              <w:rPr>
                <w:b w:val="0"/>
                <w:sz w:val="17"/>
              </w:rPr>
              <w:t>In</w:t>
            </w:r>
          </w:p>
        </w:tc>
        <w:tc>
          <w:tcPr>
            <w:tcW w:type="dxa" w:w="2608"/>
            <w:shd w:val="clear" w:color="auto" w:fill="EBF5FB"/>
          </w:tcPr>
          <w:p>
            <w:pPr>
              <w:spacing w:after="20"/>
            </w:pPr>
            <w:r/>
            <w:r>
              <w:rPr>
                <w:b w:val="0"/>
                <w:sz w:val="17"/>
              </w:rPr>
              <w:t>API, real time/daily</w:t>
            </w:r>
          </w:p>
        </w:tc>
      </w:tr>
      <w:tr>
        <w:tc>
          <w:tcPr>
            <w:tcW w:type="dxa" w:w="2154"/>
          </w:tcPr>
          <w:p>
            <w:pPr>
              <w:spacing w:after="20"/>
            </w:pPr>
            <w:r/>
            <w:r>
              <w:rPr>
                <w:b w:val="0"/>
                <w:sz w:val="17"/>
              </w:rPr>
              <w:t>GRC Module: Internal Audit workspace</w:t>
            </w:r>
          </w:p>
        </w:tc>
        <w:tc>
          <w:tcPr>
            <w:tcW w:type="dxa" w:w="3628"/>
          </w:tcPr>
          <w:p>
            <w:pPr>
              <w:spacing w:after="20"/>
            </w:pPr>
            <w:r/>
            <w:r>
              <w:rPr>
                <w:b w:val="0"/>
                <w:sz w:val="17"/>
              </w:rPr>
              <w:t>Audit findings and recommendations into the action tracker; risk and control library shared for audit planning</w:t>
            </w:r>
          </w:p>
        </w:tc>
        <w:tc>
          <w:tcPr>
            <w:tcW w:type="dxa" w:w="1020"/>
          </w:tcPr>
          <w:p>
            <w:pPr>
              <w:spacing w:after="20"/>
            </w:pPr>
            <w:r/>
            <w:r>
              <w:rPr>
                <w:b w:val="0"/>
                <w:sz w:val="17"/>
              </w:rPr>
              <w:t>Both</w:t>
            </w:r>
          </w:p>
        </w:tc>
        <w:tc>
          <w:tcPr>
            <w:tcW w:type="dxa" w:w="2608"/>
          </w:tcPr>
          <w:p>
            <w:pPr>
              <w:spacing w:after="20"/>
            </w:pPr>
            <w:r/>
            <w:r>
              <w:rPr>
                <w:b w:val="0"/>
                <w:sz w:val="17"/>
              </w:rPr>
              <w:t>Native or API, real time</w:t>
            </w:r>
          </w:p>
        </w:tc>
      </w:tr>
      <w:tr>
        <w:tc>
          <w:tcPr>
            <w:tcW w:type="dxa" w:w="2154"/>
            <w:shd w:val="clear" w:color="auto" w:fill="EBF5FB"/>
          </w:tcPr>
          <w:p>
            <w:pPr>
              <w:spacing w:after="20"/>
            </w:pPr>
            <w:r/>
            <w:r>
              <w:rPr>
                <w:b w:val="0"/>
                <w:sz w:val="17"/>
              </w:rPr>
              <w:t>Email and SMS gateway</w:t>
            </w:r>
          </w:p>
        </w:tc>
        <w:tc>
          <w:tcPr>
            <w:tcW w:type="dxa" w:w="3628"/>
            <w:shd w:val="clear" w:color="auto" w:fill="EBF5FB"/>
          </w:tcPr>
          <w:p>
            <w:pPr>
              <w:spacing w:after="20"/>
            </w:pPr>
            <w:r/>
            <w:r>
              <w:rPr>
                <w:b w:val="0"/>
                <w:sz w:val="17"/>
              </w:rPr>
              <w:t>Notifications, call-tree activation</w:t>
            </w:r>
          </w:p>
        </w:tc>
        <w:tc>
          <w:tcPr>
            <w:tcW w:type="dxa" w:w="1020"/>
            <w:shd w:val="clear" w:color="auto" w:fill="EBF5FB"/>
          </w:tcPr>
          <w:p>
            <w:pPr>
              <w:spacing w:after="20"/>
            </w:pPr>
            <w:r/>
            <w:r>
              <w:rPr>
                <w:b w:val="0"/>
                <w:sz w:val="17"/>
              </w:rPr>
              <w:t>Out</w:t>
            </w:r>
          </w:p>
        </w:tc>
        <w:tc>
          <w:tcPr>
            <w:tcW w:type="dxa" w:w="2608"/>
            <w:shd w:val="clear" w:color="auto" w:fill="EBF5FB"/>
          </w:tcPr>
          <w:p>
            <w:pPr>
              <w:spacing w:after="20"/>
            </w:pPr>
            <w:r/>
            <w:r>
              <w:rPr>
                <w:b w:val="0"/>
                <w:sz w:val="17"/>
              </w:rPr>
              <w:t>SMTP / SMS API, real time</w:t>
            </w:r>
          </w:p>
        </w:tc>
      </w:tr>
      <w:tr>
        <w:tc>
          <w:tcPr>
            <w:tcW w:type="dxa" w:w="2154"/>
          </w:tcPr>
          <w:p>
            <w:pPr>
              <w:spacing w:after="20"/>
            </w:pPr>
            <w:r/>
            <w:r>
              <w:rPr>
                <w:b w:val="0"/>
                <w:sz w:val="17"/>
              </w:rPr>
              <w:t>BI platform (e.g., Power BI)</w:t>
            </w:r>
          </w:p>
        </w:tc>
        <w:tc>
          <w:tcPr>
            <w:tcW w:type="dxa" w:w="3628"/>
          </w:tcPr>
          <w:p>
            <w:pPr>
              <w:spacing w:after="20"/>
            </w:pPr>
            <w:r/>
            <w:r>
              <w:rPr>
                <w:b w:val="0"/>
                <w:sz w:val="17"/>
              </w:rPr>
              <w:t>Risk, BCM, compliance data sets</w:t>
            </w:r>
          </w:p>
        </w:tc>
        <w:tc>
          <w:tcPr>
            <w:tcW w:type="dxa" w:w="1020"/>
          </w:tcPr>
          <w:p>
            <w:pPr>
              <w:spacing w:after="20"/>
            </w:pPr>
            <w:r/>
            <w:r>
              <w:rPr>
                <w:b w:val="0"/>
                <w:sz w:val="17"/>
              </w:rPr>
              <w:t>Out</w:t>
            </w:r>
          </w:p>
        </w:tc>
        <w:tc>
          <w:tcPr>
            <w:tcW w:type="dxa" w:w="2608"/>
          </w:tcPr>
          <w:p>
            <w:pPr>
              <w:spacing w:after="20"/>
            </w:pPr>
            <w:r/>
            <w:r>
              <w:rPr>
                <w:b w:val="0"/>
                <w:sz w:val="17"/>
              </w:rPr>
              <w:t>Read-only connector, daily</w:t>
            </w:r>
          </w:p>
        </w:tc>
      </w:tr>
    </w:tbl>
    <w:p>
      <w:pPr>
        <w:spacing w:after="40"/>
      </w:pPr>
    </w:p>
    <w:p>
      <w:r>
        <w:rPr>
          <w:i w:val="0"/>
        </w:rPr>
        <w:t>All integrations must use documented, versioned APIs (REST/JSON preferred), with error logging and reconciliation reports.</w:t>
      </w:r>
    </w:p>
    <w:p>
      <w:pPr>
        <w:pStyle w:val="Heading1"/>
      </w:pPr>
      <w:r>
        <w:t>10. Non-Functional Requirements</w:t>
      </w:r>
    </w:p>
    <w:tbl>
      <w:tblPr>
        <w:tblStyle w:val="TableGrid"/>
        <w:tblW w:type="auto" w:w="0"/>
        <w:jc w:val="center"/>
        <w:tblLayout w:type="fixed"/>
        <w:tblLook w:firstColumn="1" w:firstRow="1" w:lastColumn="0" w:lastRow="0" w:noHBand="0" w:noVBand="1" w:val="04A0"/>
      </w:tblPr>
      <w:tblGrid>
        <w:gridCol w:w="1928"/>
        <w:gridCol w:w="6463"/>
        <w:gridCol w:w="1020"/>
      </w:tblGrid>
      <w:tr>
        <w:trPr>
          <w:tblHeader w:val="true"/>
        </w:trPr>
        <w:tc>
          <w:tcPr>
            <w:tcW w:type="dxa" w:w="1928"/>
            <w:shd w:val="clear" w:color="auto" w:fill="1A5276"/>
          </w:tcPr>
          <w:p>
            <w:r/>
            <w:r>
              <w:rPr>
                <w:b/>
                <w:color w:val="FFFFFF"/>
                <w:sz w:val="17"/>
              </w:rPr>
              <w:t>Area</w:t>
            </w:r>
          </w:p>
        </w:tc>
        <w:tc>
          <w:tcPr>
            <w:tcW w:type="dxa" w:w="6463"/>
            <w:shd w:val="clear" w:color="auto" w:fill="1A5276"/>
          </w:tcPr>
          <w:p>
            <w:r/>
            <w:r>
              <w:rPr>
                <w:b/>
                <w:color w:val="FFFFFF"/>
                <w:sz w:val="17"/>
              </w:rPr>
              <w:t>Requirement</w:t>
            </w:r>
          </w:p>
        </w:tc>
        <w:tc>
          <w:tcPr>
            <w:tcW w:type="dxa" w:w="1020"/>
            <w:shd w:val="clear" w:color="auto" w:fill="1A5276"/>
          </w:tcPr>
          <w:p>
            <w:r/>
            <w:r>
              <w:rPr>
                <w:b/>
                <w:color w:val="FFFFFF"/>
                <w:sz w:val="17"/>
              </w:rPr>
              <w:t>Priority</w:t>
            </w:r>
          </w:p>
        </w:tc>
      </w:tr>
      <w:tr>
        <w:tc>
          <w:tcPr>
            <w:tcW w:type="dxa" w:w="1928"/>
          </w:tcPr>
          <w:p>
            <w:pPr>
              <w:spacing w:after="20"/>
            </w:pPr>
            <w:r/>
            <w:r>
              <w:rPr>
                <w:b w:val="0"/>
                <w:sz w:val="17"/>
              </w:rPr>
              <w:t>Availability</w:t>
            </w:r>
          </w:p>
        </w:tc>
        <w:tc>
          <w:tcPr>
            <w:tcW w:type="dxa" w:w="6463"/>
          </w:tcPr>
          <w:p>
            <w:pPr>
              <w:spacing w:after="20"/>
            </w:pPr>
            <w:r/>
            <w:r>
              <w:rPr>
                <w:b w:val="0"/>
                <w:sz w:val="17"/>
              </w:rPr>
              <w:t>99.5% monthly availability for production. The BCM plan-access component must stay available when the Fund's primary data centre is unavailable (separate hosting or cloud region, plus offline mobile cache).</w:t>
            </w:r>
          </w:p>
        </w:tc>
        <w:tc>
          <w:tcPr>
            <w:tcW w:type="dxa" w:w="1020"/>
          </w:tcPr>
          <w:p>
            <w:pPr>
              <w:spacing w:after="20"/>
            </w:pPr>
            <w:r/>
            <w:r>
              <w:rPr>
                <w:b w:val="0"/>
                <w:sz w:val="17"/>
              </w:rPr>
              <w:t>M</w:t>
            </w:r>
          </w:p>
        </w:tc>
      </w:tr>
      <w:tr>
        <w:tc>
          <w:tcPr>
            <w:tcW w:type="dxa" w:w="1928"/>
            <w:shd w:val="clear" w:color="auto" w:fill="EBF5FB"/>
          </w:tcPr>
          <w:p>
            <w:pPr>
              <w:spacing w:after="20"/>
            </w:pPr>
            <w:r/>
            <w:r>
              <w:rPr>
                <w:b w:val="0"/>
                <w:sz w:val="17"/>
              </w:rPr>
              <w:t>Recoverability of the RMS itself</w:t>
            </w:r>
          </w:p>
        </w:tc>
        <w:tc>
          <w:tcPr>
            <w:tcW w:type="dxa" w:w="6463"/>
            <w:shd w:val="clear" w:color="auto" w:fill="EBF5FB"/>
          </w:tcPr>
          <w:p>
            <w:pPr>
              <w:spacing w:after="20"/>
            </w:pPr>
            <w:r/>
            <w:r>
              <w:rPr>
                <w:b w:val="0"/>
                <w:sz w:val="17"/>
              </w:rPr>
              <w:t>RTO 8 hours, RPO 1 hour; vendor to demonstrate a restore test before go-live and annually.</w:t>
            </w:r>
          </w:p>
        </w:tc>
        <w:tc>
          <w:tcPr>
            <w:tcW w:type="dxa" w:w="1020"/>
            <w:shd w:val="clear" w:color="auto" w:fill="EBF5FB"/>
          </w:tcPr>
          <w:p>
            <w:pPr>
              <w:spacing w:after="20"/>
            </w:pPr>
            <w:r/>
            <w:r>
              <w:rPr>
                <w:b w:val="0"/>
                <w:sz w:val="17"/>
              </w:rPr>
              <w:t>M</w:t>
            </w:r>
          </w:p>
        </w:tc>
      </w:tr>
      <w:tr>
        <w:tc>
          <w:tcPr>
            <w:tcW w:type="dxa" w:w="1928"/>
          </w:tcPr>
          <w:p>
            <w:pPr>
              <w:spacing w:after="20"/>
            </w:pPr>
            <w:r/>
            <w:r>
              <w:rPr>
                <w:b w:val="0"/>
                <w:sz w:val="17"/>
              </w:rPr>
              <w:t>Security</w:t>
            </w:r>
          </w:p>
        </w:tc>
        <w:tc>
          <w:tcPr>
            <w:tcW w:type="dxa" w:w="6463"/>
          </w:tcPr>
          <w:p>
            <w:pPr>
              <w:spacing w:after="20"/>
            </w:pPr>
            <w:r/>
            <w:r>
              <w:rPr>
                <w:b w:val="0"/>
                <w:sz w:val="17"/>
              </w:rPr>
              <w:t>Hosting and controls aligned to ISO/IEC 27001:2022; vendor to hold current ISO 27001 certification or SOC 2 Type II / ISAE 3402 report for the hosting service; encryption in transit (TLS 1.2+) and at rest (AES-256); annual independent penetration test with results shared.</w:t>
            </w:r>
          </w:p>
        </w:tc>
        <w:tc>
          <w:tcPr>
            <w:tcW w:type="dxa" w:w="1020"/>
          </w:tcPr>
          <w:p>
            <w:pPr>
              <w:spacing w:after="20"/>
            </w:pPr>
            <w:r/>
            <w:r>
              <w:rPr>
                <w:b w:val="0"/>
                <w:sz w:val="17"/>
              </w:rPr>
              <w:t>M</w:t>
            </w:r>
          </w:p>
        </w:tc>
      </w:tr>
      <w:tr>
        <w:tc>
          <w:tcPr>
            <w:tcW w:type="dxa" w:w="1928"/>
            <w:shd w:val="clear" w:color="auto" w:fill="EBF5FB"/>
          </w:tcPr>
          <w:p>
            <w:pPr>
              <w:spacing w:after="20"/>
            </w:pPr>
            <w:r/>
            <w:r>
              <w:rPr>
                <w:b w:val="0"/>
                <w:sz w:val="17"/>
              </w:rPr>
              <w:t>Data protection and residency</w:t>
            </w:r>
          </w:p>
        </w:tc>
        <w:tc>
          <w:tcPr>
            <w:tcW w:type="dxa" w:w="6463"/>
            <w:shd w:val="clear" w:color="auto" w:fill="EBF5FB"/>
          </w:tcPr>
          <w:p>
            <w:pPr>
              <w:spacing w:after="20"/>
            </w:pPr>
            <w:r/>
            <w:r>
              <w:rPr>
                <w:b w:val="0"/>
                <w:sz w:val="17"/>
              </w:rPr>
              <w:t>Compliance with the Data Protection Act 2019 and the Data Protection (General) Regulations 2021, including any requirement to process or store data in Kenya; Data Processing Agreement; vendor to state hosting location.</w:t>
            </w:r>
          </w:p>
        </w:tc>
        <w:tc>
          <w:tcPr>
            <w:tcW w:type="dxa" w:w="1020"/>
            <w:shd w:val="clear" w:color="auto" w:fill="EBF5FB"/>
          </w:tcPr>
          <w:p>
            <w:pPr>
              <w:spacing w:after="20"/>
            </w:pPr>
            <w:r/>
            <w:r>
              <w:rPr>
                <w:b w:val="0"/>
                <w:sz w:val="17"/>
              </w:rPr>
              <w:t>M</w:t>
            </w:r>
          </w:p>
        </w:tc>
      </w:tr>
      <w:tr>
        <w:tc>
          <w:tcPr>
            <w:tcW w:type="dxa" w:w="1928"/>
          </w:tcPr>
          <w:p>
            <w:pPr>
              <w:spacing w:after="20"/>
            </w:pPr>
            <w:r/>
            <w:r>
              <w:rPr>
                <w:b w:val="0"/>
                <w:sz w:val="17"/>
              </w:rPr>
              <w:t>Performance</w:t>
            </w:r>
          </w:p>
        </w:tc>
        <w:tc>
          <w:tcPr>
            <w:tcW w:type="dxa" w:w="6463"/>
          </w:tcPr>
          <w:p>
            <w:pPr>
              <w:spacing w:after="20"/>
            </w:pPr>
            <w:r/>
            <w:r>
              <w:rPr>
                <w:b w:val="0"/>
                <w:sz w:val="17"/>
              </w:rPr>
              <w:t>Pages load in under 3 seconds for 95% of requests at 150 concurrent users; Board pack generation in under 5 minutes.</w:t>
            </w:r>
          </w:p>
        </w:tc>
        <w:tc>
          <w:tcPr>
            <w:tcW w:type="dxa" w:w="1020"/>
          </w:tcPr>
          <w:p>
            <w:pPr>
              <w:spacing w:after="20"/>
            </w:pPr>
            <w:r/>
            <w:r>
              <w:rPr>
                <w:b w:val="0"/>
                <w:sz w:val="17"/>
              </w:rPr>
              <w:t>M</w:t>
            </w:r>
          </w:p>
        </w:tc>
      </w:tr>
      <w:tr>
        <w:tc>
          <w:tcPr>
            <w:tcW w:type="dxa" w:w="1928"/>
            <w:shd w:val="clear" w:color="auto" w:fill="EBF5FB"/>
          </w:tcPr>
          <w:p>
            <w:pPr>
              <w:spacing w:after="20"/>
            </w:pPr>
            <w:r/>
            <w:r>
              <w:rPr>
                <w:b w:val="0"/>
                <w:sz w:val="17"/>
              </w:rPr>
              <w:t>Usability</w:t>
            </w:r>
          </w:p>
        </w:tc>
        <w:tc>
          <w:tcPr>
            <w:tcW w:type="dxa" w:w="6463"/>
            <w:shd w:val="clear" w:color="auto" w:fill="EBF5FB"/>
          </w:tcPr>
          <w:p>
            <w:pPr>
              <w:spacing w:after="20"/>
            </w:pPr>
            <w:r/>
            <w:r>
              <w:rPr>
                <w:b w:val="0"/>
                <w:sz w:val="17"/>
              </w:rPr>
              <w:t>Browser-based, responsive; mobile app for incident reporting, actions and plan access; accessible to WCAG 2.1 AA.</w:t>
            </w:r>
          </w:p>
        </w:tc>
        <w:tc>
          <w:tcPr>
            <w:tcW w:type="dxa" w:w="1020"/>
            <w:shd w:val="clear" w:color="auto" w:fill="EBF5FB"/>
          </w:tcPr>
          <w:p>
            <w:pPr>
              <w:spacing w:after="20"/>
            </w:pPr>
            <w:r/>
            <w:r>
              <w:rPr>
                <w:b w:val="0"/>
                <w:sz w:val="17"/>
              </w:rPr>
              <w:t>M</w:t>
            </w:r>
          </w:p>
        </w:tc>
      </w:tr>
      <w:tr>
        <w:tc>
          <w:tcPr>
            <w:tcW w:type="dxa" w:w="1928"/>
          </w:tcPr>
          <w:p>
            <w:pPr>
              <w:spacing w:after="20"/>
            </w:pPr>
            <w:r/>
            <w:r>
              <w:rPr>
                <w:b w:val="0"/>
                <w:sz w:val="17"/>
              </w:rPr>
              <w:t>Scalability</w:t>
            </w:r>
          </w:p>
        </w:tc>
        <w:tc>
          <w:tcPr>
            <w:tcW w:type="dxa" w:w="6463"/>
          </w:tcPr>
          <w:p>
            <w:pPr>
              <w:spacing w:after="20"/>
            </w:pPr>
            <w:r/>
            <w:r>
              <w:rPr>
                <w:b w:val="0"/>
                <w:sz w:val="17"/>
              </w:rPr>
              <w:t>Supports growth to 1,000 named users and 10 years of data without redesign.</w:t>
            </w:r>
          </w:p>
        </w:tc>
        <w:tc>
          <w:tcPr>
            <w:tcW w:type="dxa" w:w="1020"/>
          </w:tcPr>
          <w:p>
            <w:pPr>
              <w:spacing w:after="20"/>
            </w:pPr>
            <w:r/>
            <w:r>
              <w:rPr>
                <w:b w:val="0"/>
                <w:sz w:val="17"/>
              </w:rPr>
              <w:t>S</w:t>
            </w:r>
          </w:p>
        </w:tc>
      </w:tr>
      <w:tr>
        <w:tc>
          <w:tcPr>
            <w:tcW w:type="dxa" w:w="1928"/>
            <w:shd w:val="clear" w:color="auto" w:fill="EBF5FB"/>
          </w:tcPr>
          <w:p>
            <w:pPr>
              <w:spacing w:after="20"/>
            </w:pPr>
            <w:r/>
            <w:r>
              <w:rPr>
                <w:b w:val="0"/>
                <w:sz w:val="17"/>
              </w:rPr>
              <w:t>Configurability</w:t>
            </w:r>
          </w:p>
        </w:tc>
        <w:tc>
          <w:tcPr>
            <w:tcW w:type="dxa" w:w="6463"/>
            <w:shd w:val="clear" w:color="auto" w:fill="EBF5FB"/>
          </w:tcPr>
          <w:p>
            <w:pPr>
              <w:spacing w:after="20"/>
            </w:pPr>
            <w:r/>
            <w:r>
              <w:rPr>
                <w:b w:val="0"/>
                <w:sz w:val="17"/>
              </w:rPr>
              <w:t>Changes to matrix, categories, workflows and templates by NSSF power users, without vendor code changes.</w:t>
            </w:r>
          </w:p>
        </w:tc>
        <w:tc>
          <w:tcPr>
            <w:tcW w:type="dxa" w:w="1020"/>
            <w:shd w:val="clear" w:color="auto" w:fill="EBF5FB"/>
          </w:tcPr>
          <w:p>
            <w:pPr>
              <w:spacing w:after="20"/>
            </w:pPr>
            <w:r/>
            <w:r>
              <w:rPr>
                <w:b w:val="0"/>
                <w:sz w:val="17"/>
              </w:rPr>
              <w:t>M</w:t>
            </w:r>
          </w:p>
        </w:tc>
      </w:tr>
      <w:tr>
        <w:tc>
          <w:tcPr>
            <w:tcW w:type="dxa" w:w="1928"/>
          </w:tcPr>
          <w:p>
            <w:pPr>
              <w:spacing w:after="20"/>
            </w:pPr>
            <w:r/>
            <w:r>
              <w:rPr>
                <w:b w:val="0"/>
                <w:sz w:val="17"/>
              </w:rPr>
              <w:t>Exit and portability</w:t>
            </w:r>
          </w:p>
        </w:tc>
        <w:tc>
          <w:tcPr>
            <w:tcW w:type="dxa" w:w="6463"/>
          </w:tcPr>
          <w:p>
            <w:pPr>
              <w:spacing w:after="20"/>
            </w:pPr>
            <w:r/>
            <w:r>
              <w:rPr>
                <w:b w:val="0"/>
                <w:sz w:val="17"/>
              </w:rPr>
              <w:t>Full data export in open formats (CSV/JSON/XLSX plus documents) within 30 days of request at no extra cost.</w:t>
            </w:r>
          </w:p>
        </w:tc>
        <w:tc>
          <w:tcPr>
            <w:tcW w:type="dxa" w:w="1020"/>
          </w:tcPr>
          <w:p>
            <w:pPr>
              <w:spacing w:after="20"/>
            </w:pPr>
            <w:r/>
            <w:r>
              <w:rPr>
                <w:b w:val="0"/>
                <w:sz w:val="17"/>
              </w:rPr>
              <w:t>M</w:t>
            </w:r>
          </w:p>
        </w:tc>
      </w:tr>
    </w:tbl>
    <w:p>
      <w:pPr>
        <w:spacing w:after="40"/>
      </w:pPr>
    </w:p>
    <w:p>
      <w:pPr>
        <w:pStyle w:val="Heading1"/>
      </w:pPr>
      <w:r>
        <w:t>11. Data Migration</w:t>
      </w:r>
    </w:p>
    <w:p>
      <w:pPr>
        <w:pStyle w:val="ListBullet"/>
        <w:spacing w:after="60"/>
      </w:pPr>
      <w:r>
        <w:t>Sources: unit and corporate risk registers (Excel) for at least the last 2 assessment cycles; BIAs; BCPs and DRP; compliance obligation lists and returns schedules; open actions from risk, BCM, compliance and audit trackers; incident logs; KRI history where available.</w:t>
      </w:r>
    </w:p>
    <w:p>
      <w:pPr>
        <w:pStyle w:val="ListBullet"/>
        <w:spacing w:after="60"/>
      </w:pPr>
      <w:r>
        <w:t>The vendor provides migration templates, cleansing rules, mapping to the new taxonomy and matrix, trial loads and reconciliation reports.</w:t>
      </w:r>
    </w:p>
    <w:p>
      <w:pPr>
        <w:pStyle w:val="ListBullet"/>
        <w:spacing w:after="60"/>
      </w:pPr>
      <w:r>
        <w:t>The RM Dept owns data quality sign-off for each data set; Internal Audit may sample-check reconciliation (advisory).</w:t>
      </w:r>
    </w:p>
    <w:p>
      <w:pPr>
        <w:pStyle w:val="ListBullet"/>
        <w:spacing w:after="60"/>
      </w:pPr>
      <w:r>
        <w:t>Acceptance: 100% record count reconciliation, zero unexplained rating differences, owner sign-off per unit.</w:t>
      </w:r>
    </w:p>
    <w:p>
      <w:pPr>
        <w:pStyle w:val="Heading1"/>
      </w:pPr>
      <w:r>
        <w:t>12. Implementation Approach, Deliverables and Timeline</w:t>
      </w:r>
    </w:p>
    <w:tbl>
      <w:tblPr>
        <w:tblStyle w:val="TableGrid"/>
        <w:tblW w:type="auto" w:w="0"/>
        <w:jc w:val="center"/>
        <w:tblLayout w:type="fixed"/>
        <w:tblLook w:firstColumn="1" w:firstRow="1" w:lastColumn="0" w:lastRow="0" w:noHBand="0" w:noVBand="1" w:val="04A0"/>
      </w:tblPr>
      <w:tblGrid>
        <w:gridCol w:w="1701"/>
        <w:gridCol w:w="1474"/>
        <w:gridCol w:w="4309"/>
        <w:gridCol w:w="1928"/>
      </w:tblGrid>
      <w:tr>
        <w:trPr>
          <w:tblHeader w:val="true"/>
        </w:trPr>
        <w:tc>
          <w:tcPr>
            <w:tcW w:type="dxa" w:w="1701"/>
            <w:shd w:val="clear" w:color="auto" w:fill="1A5276"/>
          </w:tcPr>
          <w:p>
            <w:r/>
            <w:r>
              <w:rPr>
                <w:b/>
                <w:color w:val="FFFFFF"/>
                <w:sz w:val="17"/>
              </w:rPr>
              <w:t>Phase</w:t>
            </w:r>
          </w:p>
        </w:tc>
        <w:tc>
          <w:tcPr>
            <w:tcW w:type="dxa" w:w="1474"/>
            <w:shd w:val="clear" w:color="auto" w:fill="1A5276"/>
          </w:tcPr>
          <w:p>
            <w:r/>
            <w:r>
              <w:rPr>
                <w:b/>
                <w:color w:val="FFFFFF"/>
                <w:sz w:val="17"/>
              </w:rPr>
              <w:t>Indicative timing</w:t>
            </w:r>
          </w:p>
        </w:tc>
        <w:tc>
          <w:tcPr>
            <w:tcW w:type="dxa" w:w="4309"/>
            <w:shd w:val="clear" w:color="auto" w:fill="1A5276"/>
          </w:tcPr>
          <w:p>
            <w:r/>
            <w:r>
              <w:rPr>
                <w:b/>
                <w:color w:val="FFFFFF"/>
                <w:sz w:val="17"/>
              </w:rPr>
              <w:t>Key deliverables</w:t>
            </w:r>
          </w:p>
        </w:tc>
        <w:tc>
          <w:tcPr>
            <w:tcW w:type="dxa" w:w="1928"/>
            <w:shd w:val="clear" w:color="auto" w:fill="1A5276"/>
          </w:tcPr>
          <w:p>
            <w:r/>
            <w:r>
              <w:rPr>
                <w:b/>
                <w:color w:val="FFFFFF"/>
                <w:sz w:val="17"/>
              </w:rPr>
              <w:t>Acceptance by</w:t>
            </w:r>
          </w:p>
        </w:tc>
      </w:tr>
      <w:tr>
        <w:tc>
          <w:tcPr>
            <w:tcW w:type="dxa" w:w="1701"/>
          </w:tcPr>
          <w:p>
            <w:pPr>
              <w:spacing w:after="20"/>
            </w:pPr>
            <w:r/>
            <w:r>
              <w:rPr>
                <w:b w:val="0"/>
                <w:sz w:val="17"/>
              </w:rPr>
              <w:t>0. Mobilisation</w:t>
            </w:r>
          </w:p>
        </w:tc>
        <w:tc>
          <w:tcPr>
            <w:tcW w:type="dxa" w:w="1474"/>
          </w:tcPr>
          <w:p>
            <w:pPr>
              <w:spacing w:after="20"/>
            </w:pPr>
            <w:r/>
            <w:r>
              <w:rPr>
                <w:b w:val="0"/>
                <w:sz w:val="17"/>
              </w:rPr>
              <w:t>Month 1</w:t>
            </w:r>
          </w:p>
        </w:tc>
        <w:tc>
          <w:tcPr>
            <w:tcW w:type="dxa" w:w="4309"/>
          </w:tcPr>
          <w:p>
            <w:pPr>
              <w:spacing w:after="20"/>
            </w:pPr>
            <w:r/>
            <w:r>
              <w:rPr>
                <w:b w:val="0"/>
                <w:sz w:val="17"/>
              </w:rPr>
              <w:t>• Project charter and plan</w:t>
            </w:r>
          </w:p>
          <w:p>
            <w:pPr>
              <w:spacing w:after="20"/>
            </w:pPr>
            <w:r>
              <w:rPr>
                <w:b w:val="0"/>
                <w:sz w:val="17"/>
              </w:rPr>
              <w:t>• Governance structure</w:t>
            </w:r>
          </w:p>
          <w:p>
            <w:pPr>
              <w:spacing w:after="20"/>
            </w:pPr>
            <w:r>
              <w:rPr>
                <w:b w:val="0"/>
                <w:sz w:val="17"/>
              </w:rPr>
              <w:t>• Risk and issue log</w:t>
            </w:r>
          </w:p>
        </w:tc>
        <w:tc>
          <w:tcPr>
            <w:tcW w:type="dxa" w:w="1928"/>
          </w:tcPr>
          <w:p>
            <w:pPr>
              <w:spacing w:after="20"/>
            </w:pPr>
            <w:r/>
            <w:r>
              <w:rPr>
                <w:b w:val="0"/>
                <w:sz w:val="17"/>
              </w:rPr>
              <w:t>Steering Committee</w:t>
            </w:r>
          </w:p>
        </w:tc>
      </w:tr>
      <w:tr>
        <w:tc>
          <w:tcPr>
            <w:tcW w:type="dxa" w:w="1701"/>
            <w:shd w:val="clear" w:color="auto" w:fill="EBF5FB"/>
          </w:tcPr>
          <w:p>
            <w:pPr>
              <w:spacing w:after="20"/>
            </w:pPr>
            <w:r/>
            <w:r>
              <w:rPr>
                <w:b w:val="0"/>
                <w:sz w:val="17"/>
              </w:rPr>
              <w:t>1. Design</w:t>
            </w:r>
          </w:p>
        </w:tc>
        <w:tc>
          <w:tcPr>
            <w:tcW w:type="dxa" w:w="1474"/>
            <w:shd w:val="clear" w:color="auto" w:fill="EBF5FB"/>
          </w:tcPr>
          <w:p>
            <w:pPr>
              <w:spacing w:after="20"/>
            </w:pPr>
            <w:r/>
            <w:r>
              <w:rPr>
                <w:b w:val="0"/>
                <w:sz w:val="17"/>
              </w:rPr>
              <w:t>Months 1-2</w:t>
            </w:r>
          </w:p>
        </w:tc>
        <w:tc>
          <w:tcPr>
            <w:tcW w:type="dxa" w:w="4309"/>
            <w:shd w:val="clear" w:color="auto" w:fill="EBF5FB"/>
          </w:tcPr>
          <w:p>
            <w:pPr>
              <w:spacing w:after="20"/>
            </w:pPr>
            <w:r/>
            <w:r>
              <w:rPr>
                <w:b w:val="0"/>
                <w:sz w:val="17"/>
              </w:rPr>
              <w:t>• Current-state and fit-gap report</w:t>
            </w:r>
          </w:p>
          <w:p>
            <w:pPr>
              <w:spacing w:after="20"/>
            </w:pPr>
            <w:r>
              <w:rPr>
                <w:b w:val="0"/>
                <w:sz w:val="17"/>
              </w:rPr>
              <w:t>• Solution design (data model, taxonomy, matrix, workflows, roles)</w:t>
            </w:r>
          </w:p>
          <w:p>
            <w:pPr>
              <w:spacing w:after="20"/>
            </w:pPr>
            <w:r>
              <w:rPr>
                <w:b w:val="0"/>
                <w:sz w:val="17"/>
              </w:rPr>
              <w:t>• Integration and migration design</w:t>
            </w:r>
          </w:p>
        </w:tc>
        <w:tc>
          <w:tcPr>
            <w:tcW w:type="dxa" w:w="1928"/>
            <w:shd w:val="clear" w:color="auto" w:fill="EBF5FB"/>
          </w:tcPr>
          <w:p>
            <w:pPr>
              <w:spacing w:after="20"/>
            </w:pPr>
            <w:r/>
            <w:r>
              <w:rPr>
                <w:b w:val="0"/>
                <w:sz w:val="17"/>
              </w:rPr>
              <w:t>Manager Risk Mgmt, ICT</w:t>
            </w:r>
          </w:p>
        </w:tc>
      </w:tr>
      <w:tr>
        <w:tc>
          <w:tcPr>
            <w:tcW w:type="dxa" w:w="1701"/>
          </w:tcPr>
          <w:p>
            <w:pPr>
              <w:spacing w:after="20"/>
            </w:pPr>
            <w:r/>
            <w:r>
              <w:rPr>
                <w:b w:val="0"/>
                <w:sz w:val="17"/>
              </w:rPr>
              <w:t>2. Build release 1</w:t>
            </w:r>
          </w:p>
        </w:tc>
        <w:tc>
          <w:tcPr>
            <w:tcW w:type="dxa" w:w="1474"/>
          </w:tcPr>
          <w:p>
            <w:pPr>
              <w:spacing w:after="20"/>
            </w:pPr>
            <w:r/>
            <w:r>
              <w:rPr>
                <w:b w:val="0"/>
                <w:sz w:val="17"/>
              </w:rPr>
              <w:t>Months 3-5</w:t>
            </w:r>
          </w:p>
        </w:tc>
        <w:tc>
          <w:tcPr>
            <w:tcW w:type="dxa" w:w="4309"/>
          </w:tcPr>
          <w:p>
            <w:pPr>
              <w:spacing w:after="20"/>
            </w:pPr>
            <w:r/>
            <w:r>
              <w:rPr>
                <w:b w:val="0"/>
                <w:sz w:val="17"/>
              </w:rPr>
              <w:t>• Modules A, F, G, H, I configured</w:t>
            </w:r>
          </w:p>
          <w:p>
            <w:pPr>
              <w:spacing w:after="20"/>
            </w:pPr>
            <w:r>
              <w:rPr>
                <w:b w:val="0"/>
                <w:sz w:val="17"/>
              </w:rPr>
              <w:t>• HRMIS and SSO integration</w:t>
            </w:r>
          </w:p>
          <w:p>
            <w:pPr>
              <w:spacing w:after="20"/>
            </w:pPr>
            <w:r>
              <w:rPr>
                <w:b w:val="0"/>
                <w:sz w:val="17"/>
              </w:rPr>
              <w:t>• Risk register migration</w:t>
            </w:r>
          </w:p>
        </w:tc>
        <w:tc>
          <w:tcPr>
            <w:tcW w:type="dxa" w:w="1928"/>
          </w:tcPr>
          <w:p>
            <w:pPr>
              <w:spacing w:after="20"/>
            </w:pPr>
            <w:r/>
            <w:r>
              <w:rPr>
                <w:b w:val="0"/>
                <w:sz w:val="17"/>
              </w:rPr>
              <w:t>UAT sign-off</w:t>
            </w:r>
          </w:p>
        </w:tc>
      </w:tr>
      <w:tr>
        <w:tc>
          <w:tcPr>
            <w:tcW w:type="dxa" w:w="1701"/>
            <w:shd w:val="clear" w:color="auto" w:fill="EBF5FB"/>
          </w:tcPr>
          <w:p>
            <w:pPr>
              <w:spacing w:after="20"/>
            </w:pPr>
            <w:r/>
            <w:r>
              <w:rPr>
                <w:b w:val="0"/>
                <w:sz w:val="17"/>
              </w:rPr>
              <w:t>3. Build release 2</w:t>
            </w:r>
          </w:p>
        </w:tc>
        <w:tc>
          <w:tcPr>
            <w:tcW w:type="dxa" w:w="1474"/>
            <w:shd w:val="clear" w:color="auto" w:fill="EBF5FB"/>
          </w:tcPr>
          <w:p>
            <w:pPr>
              <w:spacing w:after="20"/>
            </w:pPr>
            <w:r/>
            <w:r>
              <w:rPr>
                <w:b w:val="0"/>
                <w:sz w:val="17"/>
              </w:rPr>
              <w:t>Months 5-7</w:t>
            </w:r>
          </w:p>
        </w:tc>
        <w:tc>
          <w:tcPr>
            <w:tcW w:type="dxa" w:w="4309"/>
            <w:shd w:val="clear" w:color="auto" w:fill="EBF5FB"/>
          </w:tcPr>
          <w:p>
            <w:pPr>
              <w:spacing w:after="20"/>
            </w:pPr>
            <w:r/>
            <w:r>
              <w:rPr>
                <w:b w:val="0"/>
                <w:sz w:val="17"/>
              </w:rPr>
              <w:t>• Modules B and C configured</w:t>
            </w:r>
          </w:p>
          <w:p>
            <w:pPr>
              <w:spacing w:after="20"/>
            </w:pPr>
            <w:r>
              <w:rPr>
                <w:b w:val="0"/>
                <w:sz w:val="17"/>
              </w:rPr>
              <w:t>• Mobile/offline plan access</w:t>
            </w:r>
          </w:p>
          <w:p>
            <w:pPr>
              <w:spacing w:after="20"/>
            </w:pPr>
            <w:r>
              <w:rPr>
                <w:b w:val="0"/>
                <w:sz w:val="17"/>
              </w:rPr>
              <w:t>• BIA, BCP and obligations migration</w:t>
            </w:r>
          </w:p>
        </w:tc>
        <w:tc>
          <w:tcPr>
            <w:tcW w:type="dxa" w:w="1928"/>
            <w:shd w:val="clear" w:color="auto" w:fill="EBF5FB"/>
          </w:tcPr>
          <w:p>
            <w:pPr>
              <w:spacing w:after="20"/>
            </w:pPr>
            <w:r/>
            <w:r>
              <w:rPr>
                <w:b w:val="0"/>
                <w:sz w:val="17"/>
              </w:rPr>
              <w:t>UAT sign-off</w:t>
            </w:r>
          </w:p>
        </w:tc>
      </w:tr>
      <w:tr>
        <w:tc>
          <w:tcPr>
            <w:tcW w:type="dxa" w:w="1701"/>
          </w:tcPr>
          <w:p>
            <w:pPr>
              <w:spacing w:after="20"/>
            </w:pPr>
            <w:r/>
            <w:r>
              <w:rPr>
                <w:b w:val="0"/>
                <w:sz w:val="17"/>
              </w:rPr>
              <w:t>4. Build release 3</w:t>
            </w:r>
          </w:p>
        </w:tc>
        <w:tc>
          <w:tcPr>
            <w:tcW w:type="dxa" w:w="1474"/>
          </w:tcPr>
          <w:p>
            <w:pPr>
              <w:spacing w:after="20"/>
            </w:pPr>
            <w:r/>
            <w:r>
              <w:rPr>
                <w:b w:val="0"/>
                <w:sz w:val="17"/>
              </w:rPr>
              <w:t>Months 7-8</w:t>
            </w:r>
          </w:p>
        </w:tc>
        <w:tc>
          <w:tcPr>
            <w:tcW w:type="dxa" w:w="4309"/>
          </w:tcPr>
          <w:p>
            <w:pPr>
              <w:spacing w:after="20"/>
            </w:pPr>
            <w:r/>
            <w:r>
              <w:rPr>
                <w:b w:val="0"/>
                <w:sz w:val="17"/>
              </w:rPr>
              <w:t>• Modules D and E</w:t>
            </w:r>
          </w:p>
          <w:p>
            <w:pPr>
              <w:spacing w:after="20"/>
            </w:pPr>
            <w:r>
              <w:rPr>
                <w:b w:val="0"/>
                <w:sz w:val="17"/>
              </w:rPr>
              <w:t>• SSPAS, SAP, ITSM, EDMS and Audit workspace integrations</w:t>
            </w:r>
          </w:p>
          <w:p>
            <w:pPr>
              <w:spacing w:after="20"/>
            </w:pPr>
            <w:r>
              <w:rPr>
                <w:b w:val="0"/>
                <w:sz w:val="17"/>
              </w:rPr>
              <w:t>• Security test and restore test</w:t>
            </w:r>
          </w:p>
        </w:tc>
        <w:tc>
          <w:tcPr>
            <w:tcW w:type="dxa" w:w="1928"/>
          </w:tcPr>
          <w:p>
            <w:pPr>
              <w:spacing w:after="20"/>
            </w:pPr>
            <w:r/>
            <w:r>
              <w:rPr>
                <w:b w:val="0"/>
                <w:sz w:val="17"/>
              </w:rPr>
              <w:t>UAT and security sign-off</w:t>
            </w:r>
          </w:p>
        </w:tc>
      </w:tr>
      <w:tr>
        <w:tc>
          <w:tcPr>
            <w:tcW w:type="dxa" w:w="1701"/>
            <w:shd w:val="clear" w:color="auto" w:fill="EBF5FB"/>
          </w:tcPr>
          <w:p>
            <w:pPr>
              <w:spacing w:after="20"/>
            </w:pPr>
            <w:r/>
            <w:r>
              <w:rPr>
                <w:b w:val="0"/>
                <w:sz w:val="17"/>
              </w:rPr>
              <w:t>5. Training and go-live</w:t>
            </w:r>
          </w:p>
        </w:tc>
        <w:tc>
          <w:tcPr>
            <w:tcW w:type="dxa" w:w="1474"/>
            <w:shd w:val="clear" w:color="auto" w:fill="EBF5FB"/>
          </w:tcPr>
          <w:p>
            <w:pPr>
              <w:spacing w:after="20"/>
            </w:pPr>
            <w:r/>
            <w:r>
              <w:rPr>
                <w:b w:val="0"/>
                <w:sz w:val="17"/>
              </w:rPr>
              <w:t>Months 8-9</w:t>
            </w:r>
          </w:p>
        </w:tc>
        <w:tc>
          <w:tcPr>
            <w:tcW w:type="dxa" w:w="4309"/>
            <w:shd w:val="clear" w:color="auto" w:fill="EBF5FB"/>
          </w:tcPr>
          <w:p>
            <w:pPr>
              <w:spacing w:after="20"/>
            </w:pPr>
            <w:r/>
            <w:r>
              <w:rPr>
                <w:b w:val="0"/>
                <w:sz w:val="17"/>
              </w:rPr>
              <w:t>• Train-the-trainer for RM Dept</w:t>
            </w:r>
          </w:p>
          <w:p>
            <w:pPr>
              <w:spacing w:after="20"/>
            </w:pPr>
            <w:r>
              <w:rPr>
                <w:b w:val="0"/>
                <w:sz w:val="17"/>
              </w:rPr>
              <w:t>• Role-based training for champions, owners, HODs</w:t>
            </w:r>
          </w:p>
          <w:p>
            <w:pPr>
              <w:spacing w:after="20"/>
            </w:pPr>
            <w:r>
              <w:rPr>
                <w:b w:val="0"/>
                <w:sz w:val="17"/>
              </w:rPr>
              <w:t>• Board/ARC briefing</w:t>
            </w:r>
          </w:p>
          <w:p>
            <w:pPr>
              <w:spacing w:after="20"/>
            </w:pPr>
            <w:r>
              <w:rPr>
                <w:b w:val="0"/>
                <w:sz w:val="17"/>
              </w:rPr>
              <w:t>• User manuals and admin guide</w:t>
            </w:r>
          </w:p>
          <w:p>
            <w:pPr>
              <w:spacing w:after="20"/>
            </w:pPr>
            <w:r>
              <w:rPr>
                <w:b w:val="0"/>
                <w:sz w:val="17"/>
              </w:rPr>
              <w:t>• Go-live with parallel run of one quarterly cycle</w:t>
            </w:r>
          </w:p>
        </w:tc>
        <w:tc>
          <w:tcPr>
            <w:tcW w:type="dxa" w:w="1928"/>
            <w:shd w:val="clear" w:color="auto" w:fill="EBF5FB"/>
          </w:tcPr>
          <w:p>
            <w:pPr>
              <w:spacing w:after="20"/>
            </w:pPr>
            <w:r/>
            <w:r>
              <w:rPr>
                <w:b w:val="0"/>
                <w:sz w:val="17"/>
              </w:rPr>
              <w:t>Steering Committee</w:t>
            </w:r>
          </w:p>
        </w:tc>
      </w:tr>
      <w:tr>
        <w:tc>
          <w:tcPr>
            <w:tcW w:type="dxa" w:w="1701"/>
          </w:tcPr>
          <w:p>
            <w:pPr>
              <w:spacing w:after="20"/>
            </w:pPr>
            <w:r/>
            <w:r>
              <w:rPr>
                <w:b w:val="0"/>
                <w:sz w:val="17"/>
              </w:rPr>
              <w:t>6. Hypercare and support</w:t>
            </w:r>
          </w:p>
        </w:tc>
        <w:tc>
          <w:tcPr>
            <w:tcW w:type="dxa" w:w="1474"/>
          </w:tcPr>
          <w:p>
            <w:pPr>
              <w:spacing w:after="20"/>
            </w:pPr>
            <w:r/>
            <w:r>
              <w:rPr>
                <w:b w:val="0"/>
                <w:sz w:val="17"/>
              </w:rPr>
              <w:t>Months 10-12, then 3-year support</w:t>
            </w:r>
          </w:p>
        </w:tc>
        <w:tc>
          <w:tcPr>
            <w:tcW w:type="dxa" w:w="4309"/>
          </w:tcPr>
          <w:p>
            <w:pPr>
              <w:spacing w:after="20"/>
            </w:pPr>
            <w:r/>
            <w:r>
              <w:rPr>
                <w:b w:val="0"/>
                <w:sz w:val="17"/>
              </w:rPr>
              <w:t>• Hypercare with on-site support</w:t>
            </w:r>
          </w:p>
          <w:p>
            <w:pPr>
              <w:spacing w:after="20"/>
            </w:pPr>
            <w:r>
              <w:rPr>
                <w:b w:val="0"/>
                <w:sz w:val="17"/>
              </w:rPr>
              <w:t>• SLA-based support (Section 13)</w:t>
            </w:r>
          </w:p>
          <w:p>
            <w:pPr>
              <w:spacing w:after="20"/>
            </w:pPr>
            <w:r>
              <w:rPr>
                <w:b w:val="0"/>
                <w:sz w:val="17"/>
              </w:rPr>
              <w:t>• Knowledge transfer and handover</w:t>
            </w:r>
          </w:p>
        </w:tc>
        <w:tc>
          <w:tcPr>
            <w:tcW w:type="dxa" w:w="1928"/>
          </w:tcPr>
          <w:p>
            <w:pPr>
              <w:spacing w:after="20"/>
            </w:pPr>
            <w:r/>
            <w:r>
              <w:rPr>
                <w:b w:val="0"/>
                <w:sz w:val="17"/>
              </w:rPr>
              <w:t>Manager Risk Mgmt, ICT</w:t>
            </w:r>
          </w:p>
        </w:tc>
      </w:tr>
    </w:tbl>
    <w:p>
      <w:pPr>
        <w:spacing w:after="40"/>
      </w:pPr>
    </w:p>
    <w:p>
      <w:r>
        <w:rPr>
          <w:i w:val="0"/>
        </w:rPr>
        <w:t>Payment is linked to accepted milestones, not to elapsed time.</w:t>
      </w:r>
    </w:p>
    <w:p>
      <w:pPr>
        <w:pStyle w:val="Heading1"/>
      </w:pPr>
      <w:r>
        <w:t>13. Support, Maintenance and Service Levels</w:t>
      </w:r>
    </w:p>
    <w:tbl>
      <w:tblPr>
        <w:tblStyle w:val="TableGrid"/>
        <w:tblW w:type="auto" w:w="0"/>
        <w:jc w:val="center"/>
        <w:tblLayout w:type="fixed"/>
        <w:tblLook w:firstColumn="1" w:firstRow="1" w:lastColumn="0" w:lastRow="0" w:noHBand="0" w:noVBand="1" w:val="04A0"/>
      </w:tblPr>
      <w:tblGrid>
        <w:gridCol w:w="1361"/>
        <w:gridCol w:w="4195"/>
        <w:gridCol w:w="1814"/>
        <w:gridCol w:w="2041"/>
      </w:tblGrid>
      <w:tr>
        <w:trPr>
          <w:tblHeader w:val="true"/>
        </w:trPr>
        <w:tc>
          <w:tcPr>
            <w:tcW w:type="dxa" w:w="1361"/>
            <w:shd w:val="clear" w:color="auto" w:fill="1A5276"/>
          </w:tcPr>
          <w:p>
            <w:r/>
            <w:r>
              <w:rPr>
                <w:b/>
                <w:color w:val="FFFFFF"/>
                <w:sz w:val="17"/>
              </w:rPr>
              <w:t>Severity</w:t>
            </w:r>
          </w:p>
        </w:tc>
        <w:tc>
          <w:tcPr>
            <w:tcW w:type="dxa" w:w="4195"/>
            <w:shd w:val="clear" w:color="auto" w:fill="1A5276"/>
          </w:tcPr>
          <w:p>
            <w:r/>
            <w:r>
              <w:rPr>
                <w:b/>
                <w:color w:val="FFFFFF"/>
                <w:sz w:val="17"/>
              </w:rPr>
              <w:t>Definition</w:t>
            </w:r>
          </w:p>
        </w:tc>
        <w:tc>
          <w:tcPr>
            <w:tcW w:type="dxa" w:w="1814"/>
            <w:shd w:val="clear" w:color="auto" w:fill="1A5276"/>
          </w:tcPr>
          <w:p>
            <w:r/>
            <w:r>
              <w:rPr>
                <w:b/>
                <w:color w:val="FFFFFF"/>
                <w:sz w:val="17"/>
              </w:rPr>
              <w:t>Response</w:t>
            </w:r>
          </w:p>
        </w:tc>
        <w:tc>
          <w:tcPr>
            <w:tcW w:type="dxa" w:w="2041"/>
            <w:shd w:val="clear" w:color="auto" w:fill="1A5276"/>
          </w:tcPr>
          <w:p>
            <w:r/>
            <w:r>
              <w:rPr>
                <w:b/>
                <w:color w:val="FFFFFF"/>
                <w:sz w:val="17"/>
              </w:rPr>
              <w:t>Resolution / workaround</w:t>
            </w:r>
          </w:p>
        </w:tc>
      </w:tr>
      <w:tr>
        <w:tc>
          <w:tcPr>
            <w:tcW w:type="dxa" w:w="1361"/>
          </w:tcPr>
          <w:p>
            <w:pPr>
              <w:spacing w:after="20"/>
            </w:pPr>
            <w:r/>
            <w:r>
              <w:rPr>
                <w:b w:val="0"/>
                <w:sz w:val="17"/>
              </w:rPr>
              <w:t>1 Critical</w:t>
            </w:r>
          </w:p>
        </w:tc>
        <w:tc>
          <w:tcPr>
            <w:tcW w:type="dxa" w:w="4195"/>
          </w:tcPr>
          <w:p>
            <w:pPr>
              <w:spacing w:after="20"/>
            </w:pPr>
            <w:r/>
            <w:r>
              <w:rPr>
                <w:b w:val="0"/>
                <w:sz w:val="17"/>
              </w:rPr>
              <w:t>System or plan-access unavailable; data loss; security breach</w:t>
            </w:r>
          </w:p>
        </w:tc>
        <w:tc>
          <w:tcPr>
            <w:tcW w:type="dxa" w:w="1814"/>
          </w:tcPr>
          <w:p>
            <w:pPr>
              <w:spacing w:after="20"/>
            </w:pPr>
            <w:r/>
            <w:r>
              <w:rPr>
                <w:b w:val="0"/>
                <w:sz w:val="17"/>
              </w:rPr>
              <w:t>30 minutes, 24/7</w:t>
            </w:r>
          </w:p>
        </w:tc>
        <w:tc>
          <w:tcPr>
            <w:tcW w:type="dxa" w:w="2041"/>
          </w:tcPr>
          <w:p>
            <w:pPr>
              <w:spacing w:after="20"/>
            </w:pPr>
            <w:r/>
            <w:r>
              <w:rPr>
                <w:b w:val="0"/>
                <w:sz w:val="17"/>
              </w:rPr>
              <w:t>4 hours</w:t>
            </w:r>
          </w:p>
        </w:tc>
      </w:tr>
      <w:tr>
        <w:tc>
          <w:tcPr>
            <w:tcW w:type="dxa" w:w="1361"/>
            <w:shd w:val="clear" w:color="auto" w:fill="EBF5FB"/>
          </w:tcPr>
          <w:p>
            <w:pPr>
              <w:spacing w:after="20"/>
            </w:pPr>
            <w:r/>
            <w:r>
              <w:rPr>
                <w:b w:val="0"/>
                <w:sz w:val="17"/>
              </w:rPr>
              <w:t>2 High</w:t>
            </w:r>
          </w:p>
        </w:tc>
        <w:tc>
          <w:tcPr>
            <w:tcW w:type="dxa" w:w="4195"/>
            <w:shd w:val="clear" w:color="auto" w:fill="EBF5FB"/>
          </w:tcPr>
          <w:p>
            <w:pPr>
              <w:spacing w:after="20"/>
            </w:pPr>
            <w:r/>
            <w:r>
              <w:rPr>
                <w:b w:val="0"/>
                <w:sz w:val="17"/>
              </w:rPr>
              <w:t>Key function unavailable (e.g., campaign, Board pack, notifications)</w:t>
            </w:r>
          </w:p>
        </w:tc>
        <w:tc>
          <w:tcPr>
            <w:tcW w:type="dxa" w:w="1814"/>
            <w:shd w:val="clear" w:color="auto" w:fill="EBF5FB"/>
          </w:tcPr>
          <w:p>
            <w:pPr>
              <w:spacing w:after="20"/>
            </w:pPr>
            <w:r/>
            <w:r>
              <w:rPr>
                <w:b w:val="0"/>
                <w:sz w:val="17"/>
              </w:rPr>
              <w:t>2 business hours</w:t>
            </w:r>
          </w:p>
        </w:tc>
        <w:tc>
          <w:tcPr>
            <w:tcW w:type="dxa" w:w="2041"/>
            <w:shd w:val="clear" w:color="auto" w:fill="EBF5FB"/>
          </w:tcPr>
          <w:p>
            <w:pPr>
              <w:spacing w:after="20"/>
            </w:pPr>
            <w:r/>
            <w:r>
              <w:rPr>
                <w:b w:val="0"/>
                <w:sz w:val="17"/>
              </w:rPr>
              <w:t>1 business day</w:t>
            </w:r>
          </w:p>
        </w:tc>
      </w:tr>
      <w:tr>
        <w:tc>
          <w:tcPr>
            <w:tcW w:type="dxa" w:w="1361"/>
          </w:tcPr>
          <w:p>
            <w:pPr>
              <w:spacing w:after="20"/>
            </w:pPr>
            <w:r/>
            <w:r>
              <w:rPr>
                <w:b w:val="0"/>
                <w:sz w:val="17"/>
              </w:rPr>
              <w:t>3 Medium</w:t>
            </w:r>
          </w:p>
        </w:tc>
        <w:tc>
          <w:tcPr>
            <w:tcW w:type="dxa" w:w="4195"/>
          </w:tcPr>
          <w:p>
            <w:pPr>
              <w:spacing w:after="20"/>
            </w:pPr>
            <w:r/>
            <w:r>
              <w:rPr>
                <w:b w:val="0"/>
                <w:sz w:val="17"/>
              </w:rPr>
              <w:t>Function degraded with workaround</w:t>
            </w:r>
          </w:p>
        </w:tc>
        <w:tc>
          <w:tcPr>
            <w:tcW w:type="dxa" w:w="1814"/>
          </w:tcPr>
          <w:p>
            <w:pPr>
              <w:spacing w:after="20"/>
            </w:pPr>
            <w:r/>
            <w:r>
              <w:rPr>
                <w:b w:val="0"/>
                <w:sz w:val="17"/>
              </w:rPr>
              <w:t>1 business day</w:t>
            </w:r>
          </w:p>
        </w:tc>
        <w:tc>
          <w:tcPr>
            <w:tcW w:type="dxa" w:w="2041"/>
          </w:tcPr>
          <w:p>
            <w:pPr>
              <w:spacing w:after="20"/>
            </w:pPr>
            <w:r/>
            <w:r>
              <w:rPr>
                <w:b w:val="0"/>
                <w:sz w:val="17"/>
              </w:rPr>
              <w:t>5 business days</w:t>
            </w:r>
          </w:p>
        </w:tc>
      </w:tr>
      <w:tr>
        <w:tc>
          <w:tcPr>
            <w:tcW w:type="dxa" w:w="1361"/>
            <w:shd w:val="clear" w:color="auto" w:fill="EBF5FB"/>
          </w:tcPr>
          <w:p>
            <w:pPr>
              <w:spacing w:after="20"/>
            </w:pPr>
            <w:r/>
            <w:r>
              <w:rPr>
                <w:b w:val="0"/>
                <w:sz w:val="17"/>
              </w:rPr>
              <w:t>4 Low</w:t>
            </w:r>
          </w:p>
        </w:tc>
        <w:tc>
          <w:tcPr>
            <w:tcW w:type="dxa" w:w="4195"/>
            <w:shd w:val="clear" w:color="auto" w:fill="EBF5FB"/>
          </w:tcPr>
          <w:p>
            <w:pPr>
              <w:spacing w:after="20"/>
            </w:pPr>
            <w:r/>
            <w:r>
              <w:rPr>
                <w:b w:val="0"/>
                <w:sz w:val="17"/>
              </w:rPr>
              <w:t>Cosmetic issue or enquiry</w:t>
            </w:r>
          </w:p>
        </w:tc>
        <w:tc>
          <w:tcPr>
            <w:tcW w:type="dxa" w:w="1814"/>
            <w:shd w:val="clear" w:color="auto" w:fill="EBF5FB"/>
          </w:tcPr>
          <w:p>
            <w:pPr>
              <w:spacing w:after="20"/>
            </w:pPr>
            <w:r/>
            <w:r>
              <w:rPr>
                <w:b w:val="0"/>
                <w:sz w:val="17"/>
              </w:rPr>
              <w:t>2 business days</w:t>
            </w:r>
          </w:p>
        </w:tc>
        <w:tc>
          <w:tcPr>
            <w:tcW w:type="dxa" w:w="2041"/>
            <w:shd w:val="clear" w:color="auto" w:fill="EBF5FB"/>
          </w:tcPr>
          <w:p>
            <w:pPr>
              <w:spacing w:after="20"/>
            </w:pPr>
            <w:r/>
            <w:r>
              <w:rPr>
                <w:b w:val="0"/>
                <w:sz w:val="17"/>
              </w:rPr>
              <w:t>Next release</w:t>
            </w:r>
          </w:p>
        </w:tc>
      </w:tr>
    </w:tbl>
    <w:p>
      <w:pPr>
        <w:spacing w:after="40"/>
      </w:pPr>
    </w:p>
    <w:p>
      <w:r>
        <w:rPr>
          <w:i w:val="0"/>
        </w:rPr>
        <w:t>Service credits apply to missed availability and resolution targets. The vendor must deliver at least two upgrades per year and a monthly service report.</w:t>
      </w:r>
    </w:p>
    <w:p>
      <w:pPr>
        <w:pStyle w:val="Heading1"/>
      </w:pPr>
      <w:r>
        <w:t>14. Roles and Responsibilities for the Project (RACI)</w:t>
      </w:r>
    </w:p>
    <w:p>
      <w:r>
        <w:rPr>
          <w:i/>
          <w:sz w:val="18"/>
        </w:rPr>
        <w:t>R = Responsible, A = Accountable, C = Consulted, I = Informed.</w:t>
      </w:r>
    </w:p>
    <w:tbl>
      <w:tblPr>
        <w:tblStyle w:val="TableGrid"/>
        <w:tblW w:type="auto" w:w="0"/>
        <w:jc w:val="center"/>
        <w:tblLayout w:type="fixed"/>
        <w:tblLook w:firstColumn="1" w:firstRow="1" w:lastColumn="0" w:lastRow="0" w:noHBand="0" w:noVBand="1" w:val="04A0"/>
      </w:tblPr>
      <w:tblGrid>
        <w:gridCol w:w="3061"/>
        <w:gridCol w:w="850"/>
        <w:gridCol w:w="737"/>
        <w:gridCol w:w="907"/>
        <w:gridCol w:w="1020"/>
        <w:gridCol w:w="794"/>
        <w:gridCol w:w="1020"/>
        <w:gridCol w:w="567"/>
      </w:tblGrid>
      <w:tr>
        <w:trPr>
          <w:tblHeader w:val="true"/>
        </w:trPr>
        <w:tc>
          <w:tcPr>
            <w:tcW w:type="dxa" w:w="3061"/>
            <w:shd w:val="clear" w:color="auto" w:fill="1A5276"/>
          </w:tcPr>
          <w:p>
            <w:r/>
            <w:r>
              <w:rPr>
                <w:b/>
                <w:color w:val="FFFFFF"/>
                <w:sz w:val="16"/>
              </w:rPr>
              <w:t>Activity</w:t>
            </w:r>
          </w:p>
        </w:tc>
        <w:tc>
          <w:tcPr>
            <w:tcW w:type="dxa" w:w="850"/>
            <w:shd w:val="clear" w:color="auto" w:fill="1A5276"/>
          </w:tcPr>
          <w:p>
            <w:r/>
            <w:r>
              <w:rPr>
                <w:b/>
                <w:color w:val="FFFFFF"/>
                <w:sz w:val="16"/>
              </w:rPr>
              <w:t>RM Dept</w:t>
            </w:r>
          </w:p>
        </w:tc>
        <w:tc>
          <w:tcPr>
            <w:tcW w:type="dxa" w:w="737"/>
            <w:shd w:val="clear" w:color="auto" w:fill="1A5276"/>
          </w:tcPr>
          <w:p>
            <w:r/>
            <w:r>
              <w:rPr>
                <w:b/>
                <w:color w:val="FFFFFF"/>
                <w:sz w:val="16"/>
              </w:rPr>
              <w:t>ICT</w:t>
            </w:r>
          </w:p>
        </w:tc>
        <w:tc>
          <w:tcPr>
            <w:tcW w:type="dxa" w:w="907"/>
            <w:shd w:val="clear" w:color="auto" w:fill="1A5276"/>
          </w:tcPr>
          <w:p>
            <w:r/>
            <w:r>
              <w:rPr>
                <w:b/>
                <w:color w:val="FFFFFF"/>
                <w:sz w:val="16"/>
              </w:rPr>
              <w:t>Internal Audit</w:t>
            </w:r>
          </w:p>
        </w:tc>
        <w:tc>
          <w:tcPr>
            <w:tcW w:type="dxa" w:w="1020"/>
            <w:shd w:val="clear" w:color="auto" w:fill="1A5276"/>
          </w:tcPr>
          <w:p>
            <w:r/>
            <w:r>
              <w:rPr>
                <w:b/>
                <w:color w:val="FFFFFF"/>
                <w:sz w:val="16"/>
              </w:rPr>
              <w:t>Units / Champions</w:t>
            </w:r>
          </w:p>
        </w:tc>
        <w:tc>
          <w:tcPr>
            <w:tcW w:type="dxa" w:w="794"/>
            <w:shd w:val="clear" w:color="auto" w:fill="1A5276"/>
          </w:tcPr>
          <w:p>
            <w:r/>
            <w:r>
              <w:rPr>
                <w:b/>
                <w:color w:val="FFFFFF"/>
                <w:sz w:val="16"/>
              </w:rPr>
              <w:t>Vendor</w:t>
            </w:r>
          </w:p>
        </w:tc>
        <w:tc>
          <w:tcPr>
            <w:tcW w:type="dxa" w:w="1020"/>
            <w:shd w:val="clear" w:color="auto" w:fill="1A5276"/>
          </w:tcPr>
          <w:p>
            <w:r/>
            <w:r>
              <w:rPr>
                <w:b/>
                <w:color w:val="FFFFFF"/>
                <w:sz w:val="16"/>
              </w:rPr>
              <w:t>Steering Cttee</w:t>
            </w:r>
          </w:p>
        </w:tc>
        <w:tc>
          <w:tcPr>
            <w:tcW w:type="dxa" w:w="567"/>
            <w:shd w:val="clear" w:color="auto" w:fill="1A5276"/>
          </w:tcPr>
          <w:p>
            <w:r/>
            <w:r>
              <w:rPr>
                <w:b/>
                <w:color w:val="FFFFFF"/>
                <w:sz w:val="16"/>
              </w:rPr>
              <w:t>ARC</w:t>
            </w:r>
          </w:p>
        </w:tc>
      </w:tr>
      <w:tr>
        <w:tc>
          <w:tcPr>
            <w:tcW w:type="dxa" w:w="3061"/>
          </w:tcPr>
          <w:p>
            <w:pPr>
              <w:spacing w:after="20"/>
            </w:pPr>
            <w:r/>
            <w:r>
              <w:rPr>
                <w:b w:val="0"/>
                <w:sz w:val="16"/>
              </w:rPr>
              <w:t>Approve TOR and budget</w:t>
            </w:r>
          </w:p>
        </w:tc>
        <w:tc>
          <w:tcPr>
            <w:tcW w:type="dxa" w:w="850"/>
          </w:tcPr>
          <w:p>
            <w:pPr>
              <w:spacing w:after="20"/>
            </w:pPr>
            <w:r/>
            <w:r>
              <w:rPr>
                <w:b w:val="0"/>
                <w:sz w:val="16"/>
              </w:rPr>
              <w:t>R</w:t>
            </w:r>
          </w:p>
        </w:tc>
        <w:tc>
          <w:tcPr>
            <w:tcW w:type="dxa" w:w="737"/>
          </w:tcPr>
          <w:p>
            <w:pPr>
              <w:spacing w:after="20"/>
            </w:pPr>
            <w:r/>
            <w:r>
              <w:rPr>
                <w:b w:val="0"/>
                <w:sz w:val="16"/>
              </w:rPr>
              <w:t>C</w:t>
            </w:r>
          </w:p>
        </w:tc>
        <w:tc>
          <w:tcPr>
            <w:tcW w:type="dxa" w:w="907"/>
          </w:tcPr>
          <w:p>
            <w:pPr>
              <w:spacing w:after="20"/>
            </w:pPr>
            <w:r/>
            <w:r>
              <w:rPr>
                <w:b w:val="0"/>
                <w:sz w:val="16"/>
              </w:rPr>
              <w:t>I</w:t>
            </w:r>
          </w:p>
        </w:tc>
        <w:tc>
          <w:tcPr>
            <w:tcW w:type="dxa" w:w="1020"/>
          </w:tcPr>
          <w:p>
            <w:pPr>
              <w:spacing w:after="20"/>
            </w:pPr>
            <w:r/>
            <w:r>
              <w:rPr>
                <w:b w:val="0"/>
                <w:sz w:val="16"/>
              </w:rPr>
              <w:t>I</w:t>
            </w:r>
          </w:p>
        </w:tc>
        <w:tc>
          <w:tcPr>
            <w:tcW w:type="dxa" w:w="794"/>
          </w:tcPr>
          <w:p>
            <w:pPr>
              <w:spacing w:after="20"/>
            </w:pPr>
            <w:r/>
            <w:r>
              <w:rPr>
                <w:b w:val="0"/>
                <w:sz w:val="16"/>
              </w:rPr>
              <w:t>-</w:t>
            </w:r>
          </w:p>
        </w:tc>
        <w:tc>
          <w:tcPr>
            <w:tcW w:type="dxa" w:w="1020"/>
          </w:tcPr>
          <w:p>
            <w:pPr>
              <w:spacing w:after="20"/>
            </w:pPr>
            <w:r/>
            <w:r>
              <w:rPr>
                <w:b w:val="0"/>
                <w:sz w:val="16"/>
              </w:rPr>
              <w:t>A</w:t>
            </w:r>
          </w:p>
        </w:tc>
        <w:tc>
          <w:tcPr>
            <w:tcW w:type="dxa" w:w="567"/>
          </w:tcPr>
          <w:p>
            <w:pPr>
              <w:spacing w:after="20"/>
            </w:pPr>
            <w:r/>
            <w:r>
              <w:rPr>
                <w:b w:val="0"/>
                <w:sz w:val="16"/>
              </w:rPr>
              <w:t>I</w:t>
            </w:r>
          </w:p>
        </w:tc>
      </w:tr>
      <w:tr>
        <w:tc>
          <w:tcPr>
            <w:tcW w:type="dxa" w:w="3061"/>
            <w:shd w:val="clear" w:color="auto" w:fill="EBF5FB"/>
          </w:tcPr>
          <w:p>
            <w:pPr>
              <w:spacing w:after="20"/>
            </w:pPr>
            <w:r/>
            <w:r>
              <w:rPr>
                <w:b w:val="0"/>
                <w:sz w:val="16"/>
              </w:rPr>
              <w:t>Methodology configuration (taxonomy, matrix, workflows)</w:t>
            </w:r>
          </w:p>
        </w:tc>
        <w:tc>
          <w:tcPr>
            <w:tcW w:type="dxa" w:w="850"/>
            <w:shd w:val="clear" w:color="auto" w:fill="EBF5FB"/>
          </w:tcPr>
          <w:p>
            <w:pPr>
              <w:spacing w:after="20"/>
            </w:pPr>
            <w:r/>
            <w:r>
              <w:rPr>
                <w:b w:val="0"/>
                <w:sz w:val="16"/>
              </w:rPr>
              <w:t>A</w:t>
            </w:r>
          </w:p>
        </w:tc>
        <w:tc>
          <w:tcPr>
            <w:tcW w:type="dxa" w:w="737"/>
            <w:shd w:val="clear" w:color="auto" w:fill="EBF5FB"/>
          </w:tcPr>
          <w:p>
            <w:pPr>
              <w:spacing w:after="20"/>
            </w:pPr>
            <w:r/>
            <w:r>
              <w:rPr>
                <w:b w:val="0"/>
                <w:sz w:val="16"/>
              </w:rPr>
              <w:t>C</w:t>
            </w:r>
          </w:p>
        </w:tc>
        <w:tc>
          <w:tcPr>
            <w:tcW w:type="dxa" w:w="907"/>
            <w:shd w:val="clear" w:color="auto" w:fill="EBF5FB"/>
          </w:tcPr>
          <w:p>
            <w:pPr>
              <w:spacing w:after="20"/>
            </w:pPr>
            <w:r/>
            <w:r>
              <w:rPr>
                <w:b w:val="0"/>
                <w:sz w:val="16"/>
              </w:rPr>
              <w:t>C</w:t>
            </w:r>
          </w:p>
        </w:tc>
        <w:tc>
          <w:tcPr>
            <w:tcW w:type="dxa" w:w="1020"/>
            <w:shd w:val="clear" w:color="auto" w:fill="EBF5FB"/>
          </w:tcPr>
          <w:p>
            <w:pPr>
              <w:spacing w:after="20"/>
            </w:pPr>
            <w:r/>
            <w:r>
              <w:rPr>
                <w:b w:val="0"/>
                <w:sz w:val="16"/>
              </w:rPr>
              <w:t>C</w:t>
            </w:r>
          </w:p>
        </w:tc>
        <w:tc>
          <w:tcPr>
            <w:tcW w:type="dxa" w:w="794"/>
            <w:shd w:val="clear" w:color="auto" w:fill="EBF5FB"/>
          </w:tcPr>
          <w:p>
            <w:pPr>
              <w:spacing w:after="20"/>
            </w:pPr>
            <w:r/>
            <w:r>
              <w:rPr>
                <w:b w:val="0"/>
                <w:sz w:val="16"/>
              </w:rPr>
              <w:t>R</w:t>
            </w:r>
          </w:p>
        </w:tc>
        <w:tc>
          <w:tcPr>
            <w:tcW w:type="dxa" w:w="1020"/>
            <w:shd w:val="clear" w:color="auto" w:fill="EBF5FB"/>
          </w:tcPr>
          <w:p>
            <w:pPr>
              <w:spacing w:after="20"/>
            </w:pPr>
            <w:r/>
            <w:r>
              <w:rPr>
                <w:b w:val="0"/>
                <w:sz w:val="16"/>
              </w:rPr>
              <w:t>I</w:t>
            </w:r>
          </w:p>
        </w:tc>
        <w:tc>
          <w:tcPr>
            <w:tcW w:type="dxa" w:w="567"/>
            <w:shd w:val="clear" w:color="auto" w:fill="EBF5FB"/>
          </w:tcPr>
          <w:p>
            <w:pPr>
              <w:spacing w:after="20"/>
            </w:pPr>
            <w:r/>
            <w:r>
              <w:rPr>
                <w:b w:val="0"/>
                <w:sz w:val="16"/>
              </w:rPr>
              <w:t>-</w:t>
            </w:r>
          </w:p>
        </w:tc>
      </w:tr>
      <w:tr>
        <w:tc>
          <w:tcPr>
            <w:tcW w:type="dxa" w:w="3061"/>
          </w:tcPr>
          <w:p>
            <w:pPr>
              <w:spacing w:after="20"/>
            </w:pPr>
            <w:r/>
            <w:r>
              <w:rPr>
                <w:b w:val="0"/>
                <w:sz w:val="16"/>
              </w:rPr>
              <w:t>Integration build</w:t>
            </w:r>
          </w:p>
        </w:tc>
        <w:tc>
          <w:tcPr>
            <w:tcW w:type="dxa" w:w="850"/>
          </w:tcPr>
          <w:p>
            <w:pPr>
              <w:spacing w:after="20"/>
            </w:pPr>
            <w:r/>
            <w:r>
              <w:rPr>
                <w:b w:val="0"/>
                <w:sz w:val="16"/>
              </w:rPr>
              <w:t>C</w:t>
            </w:r>
          </w:p>
        </w:tc>
        <w:tc>
          <w:tcPr>
            <w:tcW w:type="dxa" w:w="737"/>
          </w:tcPr>
          <w:p>
            <w:pPr>
              <w:spacing w:after="20"/>
            </w:pPr>
            <w:r/>
            <w:r>
              <w:rPr>
                <w:b w:val="0"/>
                <w:sz w:val="16"/>
              </w:rPr>
              <w:t>A</w:t>
            </w:r>
          </w:p>
        </w:tc>
        <w:tc>
          <w:tcPr>
            <w:tcW w:type="dxa" w:w="907"/>
          </w:tcPr>
          <w:p>
            <w:pPr>
              <w:spacing w:after="20"/>
            </w:pPr>
            <w:r/>
            <w:r>
              <w:rPr>
                <w:b w:val="0"/>
                <w:sz w:val="16"/>
              </w:rPr>
              <w:t>-</w:t>
            </w:r>
          </w:p>
        </w:tc>
        <w:tc>
          <w:tcPr>
            <w:tcW w:type="dxa" w:w="1020"/>
          </w:tcPr>
          <w:p>
            <w:pPr>
              <w:spacing w:after="20"/>
            </w:pPr>
            <w:r/>
            <w:r>
              <w:rPr>
                <w:b w:val="0"/>
                <w:sz w:val="16"/>
              </w:rPr>
              <w:t>-</w:t>
            </w:r>
          </w:p>
        </w:tc>
        <w:tc>
          <w:tcPr>
            <w:tcW w:type="dxa" w:w="794"/>
          </w:tcPr>
          <w:p>
            <w:pPr>
              <w:spacing w:after="20"/>
            </w:pPr>
            <w:r/>
            <w:r>
              <w:rPr>
                <w:b w:val="0"/>
                <w:sz w:val="16"/>
              </w:rPr>
              <w:t>R</w:t>
            </w:r>
          </w:p>
        </w:tc>
        <w:tc>
          <w:tcPr>
            <w:tcW w:type="dxa" w:w="1020"/>
          </w:tcPr>
          <w:p>
            <w:pPr>
              <w:spacing w:after="20"/>
            </w:pPr>
            <w:r/>
            <w:r>
              <w:rPr>
                <w:b w:val="0"/>
                <w:sz w:val="16"/>
              </w:rPr>
              <w:t>I</w:t>
            </w:r>
          </w:p>
        </w:tc>
        <w:tc>
          <w:tcPr>
            <w:tcW w:type="dxa" w:w="567"/>
          </w:tcPr>
          <w:p>
            <w:pPr>
              <w:spacing w:after="20"/>
            </w:pPr>
            <w:r/>
            <w:r>
              <w:rPr>
                <w:b w:val="0"/>
                <w:sz w:val="16"/>
              </w:rPr>
              <w:t>-</w:t>
            </w:r>
          </w:p>
        </w:tc>
      </w:tr>
      <w:tr>
        <w:tc>
          <w:tcPr>
            <w:tcW w:type="dxa" w:w="3061"/>
            <w:shd w:val="clear" w:color="auto" w:fill="EBF5FB"/>
          </w:tcPr>
          <w:p>
            <w:pPr>
              <w:spacing w:after="20"/>
            </w:pPr>
            <w:r/>
            <w:r>
              <w:rPr>
                <w:b w:val="0"/>
                <w:sz w:val="16"/>
              </w:rPr>
              <w:t>Data migration and quality sign-off</w:t>
            </w:r>
          </w:p>
        </w:tc>
        <w:tc>
          <w:tcPr>
            <w:tcW w:type="dxa" w:w="850"/>
            <w:shd w:val="clear" w:color="auto" w:fill="EBF5FB"/>
          </w:tcPr>
          <w:p>
            <w:pPr>
              <w:spacing w:after="20"/>
            </w:pPr>
            <w:r/>
            <w:r>
              <w:rPr>
                <w:b w:val="0"/>
                <w:sz w:val="16"/>
              </w:rPr>
              <w:t>A</w:t>
            </w:r>
          </w:p>
        </w:tc>
        <w:tc>
          <w:tcPr>
            <w:tcW w:type="dxa" w:w="737"/>
            <w:shd w:val="clear" w:color="auto" w:fill="EBF5FB"/>
          </w:tcPr>
          <w:p>
            <w:pPr>
              <w:spacing w:after="20"/>
            </w:pPr>
            <w:r/>
            <w:r>
              <w:rPr>
                <w:b w:val="0"/>
                <w:sz w:val="16"/>
              </w:rPr>
              <w:t>C</w:t>
            </w:r>
          </w:p>
        </w:tc>
        <w:tc>
          <w:tcPr>
            <w:tcW w:type="dxa" w:w="907"/>
            <w:shd w:val="clear" w:color="auto" w:fill="EBF5FB"/>
          </w:tcPr>
          <w:p>
            <w:pPr>
              <w:spacing w:after="20"/>
            </w:pPr>
            <w:r/>
            <w:r>
              <w:rPr>
                <w:b w:val="0"/>
                <w:sz w:val="16"/>
              </w:rPr>
              <w:t>C</w:t>
            </w:r>
          </w:p>
        </w:tc>
        <w:tc>
          <w:tcPr>
            <w:tcW w:type="dxa" w:w="1020"/>
            <w:shd w:val="clear" w:color="auto" w:fill="EBF5FB"/>
          </w:tcPr>
          <w:p>
            <w:pPr>
              <w:spacing w:after="20"/>
            </w:pPr>
            <w:r/>
            <w:r>
              <w:rPr>
                <w:b w:val="0"/>
                <w:sz w:val="16"/>
              </w:rPr>
              <w:t>R</w:t>
            </w:r>
          </w:p>
        </w:tc>
        <w:tc>
          <w:tcPr>
            <w:tcW w:type="dxa" w:w="794"/>
            <w:shd w:val="clear" w:color="auto" w:fill="EBF5FB"/>
          </w:tcPr>
          <w:p>
            <w:pPr>
              <w:spacing w:after="20"/>
            </w:pPr>
            <w:r/>
            <w:r>
              <w:rPr>
                <w:b w:val="0"/>
                <w:sz w:val="16"/>
              </w:rPr>
              <w:t>R</w:t>
            </w:r>
          </w:p>
        </w:tc>
        <w:tc>
          <w:tcPr>
            <w:tcW w:type="dxa" w:w="1020"/>
            <w:shd w:val="clear" w:color="auto" w:fill="EBF5FB"/>
          </w:tcPr>
          <w:p>
            <w:pPr>
              <w:spacing w:after="20"/>
            </w:pPr>
            <w:r/>
            <w:r>
              <w:rPr>
                <w:b w:val="0"/>
                <w:sz w:val="16"/>
              </w:rPr>
              <w:t>I</w:t>
            </w:r>
          </w:p>
        </w:tc>
        <w:tc>
          <w:tcPr>
            <w:tcW w:type="dxa" w:w="567"/>
            <w:shd w:val="clear" w:color="auto" w:fill="EBF5FB"/>
          </w:tcPr>
          <w:p>
            <w:pPr>
              <w:spacing w:after="20"/>
            </w:pPr>
            <w:r/>
            <w:r>
              <w:rPr>
                <w:b w:val="0"/>
                <w:sz w:val="16"/>
              </w:rPr>
              <w:t>-</w:t>
            </w:r>
          </w:p>
        </w:tc>
      </w:tr>
      <w:tr>
        <w:tc>
          <w:tcPr>
            <w:tcW w:type="dxa" w:w="3061"/>
          </w:tcPr>
          <w:p>
            <w:pPr>
              <w:spacing w:after="20"/>
            </w:pPr>
            <w:r/>
            <w:r>
              <w:rPr>
                <w:b w:val="0"/>
                <w:sz w:val="16"/>
              </w:rPr>
              <w:t>Security and DPA compliance</w:t>
            </w:r>
          </w:p>
        </w:tc>
        <w:tc>
          <w:tcPr>
            <w:tcW w:type="dxa" w:w="850"/>
          </w:tcPr>
          <w:p>
            <w:pPr>
              <w:spacing w:after="20"/>
            </w:pPr>
            <w:r/>
            <w:r>
              <w:rPr>
                <w:b w:val="0"/>
                <w:sz w:val="16"/>
              </w:rPr>
              <w:t>C</w:t>
            </w:r>
          </w:p>
        </w:tc>
        <w:tc>
          <w:tcPr>
            <w:tcW w:type="dxa" w:w="737"/>
          </w:tcPr>
          <w:p>
            <w:pPr>
              <w:spacing w:after="20"/>
            </w:pPr>
            <w:r/>
            <w:r>
              <w:rPr>
                <w:b w:val="0"/>
                <w:sz w:val="16"/>
              </w:rPr>
              <w:t>A</w:t>
            </w:r>
          </w:p>
        </w:tc>
        <w:tc>
          <w:tcPr>
            <w:tcW w:type="dxa" w:w="907"/>
          </w:tcPr>
          <w:p>
            <w:pPr>
              <w:spacing w:after="20"/>
            </w:pPr>
            <w:r/>
            <w:r>
              <w:rPr>
                <w:b w:val="0"/>
                <w:sz w:val="16"/>
              </w:rPr>
              <w:t>C</w:t>
            </w:r>
          </w:p>
        </w:tc>
        <w:tc>
          <w:tcPr>
            <w:tcW w:type="dxa" w:w="1020"/>
          </w:tcPr>
          <w:p>
            <w:pPr>
              <w:spacing w:after="20"/>
            </w:pPr>
            <w:r/>
            <w:r>
              <w:rPr>
                <w:b w:val="0"/>
                <w:sz w:val="16"/>
              </w:rPr>
              <w:t>-</w:t>
            </w:r>
          </w:p>
        </w:tc>
        <w:tc>
          <w:tcPr>
            <w:tcW w:type="dxa" w:w="794"/>
          </w:tcPr>
          <w:p>
            <w:pPr>
              <w:spacing w:after="20"/>
            </w:pPr>
            <w:r/>
            <w:r>
              <w:rPr>
                <w:b w:val="0"/>
                <w:sz w:val="16"/>
              </w:rPr>
              <w:t>R</w:t>
            </w:r>
          </w:p>
        </w:tc>
        <w:tc>
          <w:tcPr>
            <w:tcW w:type="dxa" w:w="1020"/>
          </w:tcPr>
          <w:p>
            <w:pPr>
              <w:spacing w:after="20"/>
            </w:pPr>
            <w:r/>
            <w:r>
              <w:rPr>
                <w:b w:val="0"/>
                <w:sz w:val="16"/>
              </w:rPr>
              <w:t>I</w:t>
            </w:r>
          </w:p>
        </w:tc>
        <w:tc>
          <w:tcPr>
            <w:tcW w:type="dxa" w:w="567"/>
          </w:tcPr>
          <w:p>
            <w:pPr>
              <w:spacing w:after="20"/>
            </w:pPr>
            <w:r/>
            <w:r>
              <w:rPr>
                <w:b w:val="0"/>
                <w:sz w:val="16"/>
              </w:rPr>
              <w:t>-</w:t>
            </w:r>
          </w:p>
        </w:tc>
      </w:tr>
      <w:tr>
        <w:tc>
          <w:tcPr>
            <w:tcW w:type="dxa" w:w="3061"/>
            <w:shd w:val="clear" w:color="auto" w:fill="EBF5FB"/>
          </w:tcPr>
          <w:p>
            <w:pPr>
              <w:spacing w:after="20"/>
            </w:pPr>
            <w:r/>
            <w:r>
              <w:rPr>
                <w:b w:val="0"/>
                <w:sz w:val="16"/>
              </w:rPr>
              <w:t>UAT</w:t>
            </w:r>
          </w:p>
        </w:tc>
        <w:tc>
          <w:tcPr>
            <w:tcW w:type="dxa" w:w="850"/>
            <w:shd w:val="clear" w:color="auto" w:fill="EBF5FB"/>
          </w:tcPr>
          <w:p>
            <w:pPr>
              <w:spacing w:after="20"/>
            </w:pPr>
            <w:r/>
            <w:r>
              <w:rPr>
                <w:b w:val="0"/>
                <w:sz w:val="16"/>
              </w:rPr>
              <w:t>A</w:t>
            </w:r>
          </w:p>
        </w:tc>
        <w:tc>
          <w:tcPr>
            <w:tcW w:type="dxa" w:w="737"/>
            <w:shd w:val="clear" w:color="auto" w:fill="EBF5FB"/>
          </w:tcPr>
          <w:p>
            <w:pPr>
              <w:spacing w:after="20"/>
            </w:pPr>
            <w:r/>
            <w:r>
              <w:rPr>
                <w:b w:val="0"/>
                <w:sz w:val="16"/>
              </w:rPr>
              <w:t>R</w:t>
            </w:r>
          </w:p>
        </w:tc>
        <w:tc>
          <w:tcPr>
            <w:tcW w:type="dxa" w:w="907"/>
            <w:shd w:val="clear" w:color="auto" w:fill="EBF5FB"/>
          </w:tcPr>
          <w:p>
            <w:pPr>
              <w:spacing w:after="20"/>
            </w:pPr>
            <w:r/>
            <w:r>
              <w:rPr>
                <w:b w:val="0"/>
                <w:sz w:val="16"/>
              </w:rPr>
              <w:t>C</w:t>
            </w:r>
          </w:p>
        </w:tc>
        <w:tc>
          <w:tcPr>
            <w:tcW w:type="dxa" w:w="1020"/>
            <w:shd w:val="clear" w:color="auto" w:fill="EBF5FB"/>
          </w:tcPr>
          <w:p>
            <w:pPr>
              <w:spacing w:after="20"/>
            </w:pPr>
            <w:r/>
            <w:r>
              <w:rPr>
                <w:b w:val="0"/>
                <w:sz w:val="16"/>
              </w:rPr>
              <w:t>R</w:t>
            </w:r>
          </w:p>
        </w:tc>
        <w:tc>
          <w:tcPr>
            <w:tcW w:type="dxa" w:w="794"/>
            <w:shd w:val="clear" w:color="auto" w:fill="EBF5FB"/>
          </w:tcPr>
          <w:p>
            <w:pPr>
              <w:spacing w:after="20"/>
            </w:pPr>
            <w:r/>
            <w:r>
              <w:rPr>
                <w:b w:val="0"/>
                <w:sz w:val="16"/>
              </w:rPr>
              <w:t>C</w:t>
            </w:r>
          </w:p>
        </w:tc>
        <w:tc>
          <w:tcPr>
            <w:tcW w:type="dxa" w:w="1020"/>
            <w:shd w:val="clear" w:color="auto" w:fill="EBF5FB"/>
          </w:tcPr>
          <w:p>
            <w:pPr>
              <w:spacing w:after="20"/>
            </w:pPr>
            <w:r/>
            <w:r>
              <w:rPr>
                <w:b w:val="0"/>
                <w:sz w:val="16"/>
              </w:rPr>
              <w:t>I</w:t>
            </w:r>
          </w:p>
        </w:tc>
        <w:tc>
          <w:tcPr>
            <w:tcW w:type="dxa" w:w="567"/>
            <w:shd w:val="clear" w:color="auto" w:fill="EBF5FB"/>
          </w:tcPr>
          <w:p>
            <w:pPr>
              <w:spacing w:after="20"/>
            </w:pPr>
            <w:r/>
            <w:r>
              <w:rPr>
                <w:b w:val="0"/>
                <w:sz w:val="16"/>
              </w:rPr>
              <w:t>-</w:t>
            </w:r>
          </w:p>
        </w:tc>
      </w:tr>
      <w:tr>
        <w:tc>
          <w:tcPr>
            <w:tcW w:type="dxa" w:w="3061"/>
          </w:tcPr>
          <w:p>
            <w:pPr>
              <w:spacing w:after="20"/>
            </w:pPr>
            <w:r/>
            <w:r>
              <w:rPr>
                <w:b w:val="0"/>
                <w:sz w:val="16"/>
              </w:rPr>
              <w:t>Training</w:t>
            </w:r>
          </w:p>
        </w:tc>
        <w:tc>
          <w:tcPr>
            <w:tcW w:type="dxa" w:w="850"/>
          </w:tcPr>
          <w:p>
            <w:pPr>
              <w:spacing w:after="20"/>
            </w:pPr>
            <w:r/>
            <w:r>
              <w:rPr>
                <w:b w:val="0"/>
                <w:sz w:val="16"/>
              </w:rPr>
              <w:t>A</w:t>
            </w:r>
          </w:p>
        </w:tc>
        <w:tc>
          <w:tcPr>
            <w:tcW w:type="dxa" w:w="737"/>
          </w:tcPr>
          <w:p>
            <w:pPr>
              <w:spacing w:after="20"/>
            </w:pPr>
            <w:r/>
            <w:r>
              <w:rPr>
                <w:b w:val="0"/>
                <w:sz w:val="16"/>
              </w:rPr>
              <w:t>C</w:t>
            </w:r>
          </w:p>
        </w:tc>
        <w:tc>
          <w:tcPr>
            <w:tcW w:type="dxa" w:w="907"/>
          </w:tcPr>
          <w:p>
            <w:pPr>
              <w:spacing w:after="20"/>
            </w:pPr>
            <w:r/>
            <w:r>
              <w:rPr>
                <w:b w:val="0"/>
                <w:sz w:val="16"/>
              </w:rPr>
              <w:t>-</w:t>
            </w:r>
          </w:p>
        </w:tc>
        <w:tc>
          <w:tcPr>
            <w:tcW w:type="dxa" w:w="1020"/>
          </w:tcPr>
          <w:p>
            <w:pPr>
              <w:spacing w:after="20"/>
            </w:pPr>
            <w:r/>
            <w:r>
              <w:rPr>
                <w:b w:val="0"/>
                <w:sz w:val="16"/>
              </w:rPr>
              <w:t>R</w:t>
            </w:r>
          </w:p>
        </w:tc>
        <w:tc>
          <w:tcPr>
            <w:tcW w:type="dxa" w:w="794"/>
          </w:tcPr>
          <w:p>
            <w:pPr>
              <w:spacing w:after="20"/>
            </w:pPr>
            <w:r/>
            <w:r>
              <w:rPr>
                <w:b w:val="0"/>
                <w:sz w:val="16"/>
              </w:rPr>
              <w:t>R</w:t>
            </w:r>
          </w:p>
        </w:tc>
        <w:tc>
          <w:tcPr>
            <w:tcW w:type="dxa" w:w="1020"/>
          </w:tcPr>
          <w:p>
            <w:pPr>
              <w:spacing w:after="20"/>
            </w:pPr>
            <w:r/>
            <w:r>
              <w:rPr>
                <w:b w:val="0"/>
                <w:sz w:val="16"/>
              </w:rPr>
              <w:t>I</w:t>
            </w:r>
          </w:p>
        </w:tc>
        <w:tc>
          <w:tcPr>
            <w:tcW w:type="dxa" w:w="567"/>
          </w:tcPr>
          <w:p>
            <w:pPr>
              <w:spacing w:after="20"/>
            </w:pPr>
            <w:r/>
            <w:r>
              <w:rPr>
                <w:b w:val="0"/>
                <w:sz w:val="16"/>
              </w:rPr>
              <w:t>I</w:t>
            </w:r>
          </w:p>
        </w:tc>
      </w:tr>
      <w:tr>
        <w:tc>
          <w:tcPr>
            <w:tcW w:type="dxa" w:w="3061"/>
            <w:shd w:val="clear" w:color="auto" w:fill="EBF5FB"/>
          </w:tcPr>
          <w:p>
            <w:pPr>
              <w:spacing w:after="20"/>
            </w:pPr>
            <w:r/>
            <w:r>
              <w:rPr>
                <w:b w:val="0"/>
                <w:sz w:val="16"/>
              </w:rPr>
              <w:t>Go-live decision</w:t>
            </w:r>
          </w:p>
        </w:tc>
        <w:tc>
          <w:tcPr>
            <w:tcW w:type="dxa" w:w="850"/>
            <w:shd w:val="clear" w:color="auto" w:fill="EBF5FB"/>
          </w:tcPr>
          <w:p>
            <w:pPr>
              <w:spacing w:after="20"/>
            </w:pPr>
            <w:r/>
            <w:r>
              <w:rPr>
                <w:b w:val="0"/>
                <w:sz w:val="16"/>
              </w:rPr>
              <w:t>R</w:t>
            </w:r>
          </w:p>
        </w:tc>
        <w:tc>
          <w:tcPr>
            <w:tcW w:type="dxa" w:w="737"/>
            <w:shd w:val="clear" w:color="auto" w:fill="EBF5FB"/>
          </w:tcPr>
          <w:p>
            <w:pPr>
              <w:spacing w:after="20"/>
            </w:pPr>
            <w:r/>
            <w:r>
              <w:rPr>
                <w:b w:val="0"/>
                <w:sz w:val="16"/>
              </w:rPr>
              <w:t>R</w:t>
            </w:r>
          </w:p>
        </w:tc>
        <w:tc>
          <w:tcPr>
            <w:tcW w:type="dxa" w:w="907"/>
            <w:shd w:val="clear" w:color="auto" w:fill="EBF5FB"/>
          </w:tcPr>
          <w:p>
            <w:pPr>
              <w:spacing w:after="20"/>
            </w:pPr>
            <w:r/>
            <w:r>
              <w:rPr>
                <w:b w:val="0"/>
                <w:sz w:val="16"/>
              </w:rPr>
              <w:t>C</w:t>
            </w:r>
          </w:p>
        </w:tc>
        <w:tc>
          <w:tcPr>
            <w:tcW w:type="dxa" w:w="1020"/>
            <w:shd w:val="clear" w:color="auto" w:fill="EBF5FB"/>
          </w:tcPr>
          <w:p>
            <w:pPr>
              <w:spacing w:after="20"/>
            </w:pPr>
            <w:r/>
            <w:r>
              <w:rPr>
                <w:b w:val="0"/>
                <w:sz w:val="16"/>
              </w:rPr>
              <w:t>C</w:t>
            </w:r>
          </w:p>
        </w:tc>
        <w:tc>
          <w:tcPr>
            <w:tcW w:type="dxa" w:w="794"/>
            <w:shd w:val="clear" w:color="auto" w:fill="EBF5FB"/>
          </w:tcPr>
          <w:p>
            <w:pPr>
              <w:spacing w:after="20"/>
            </w:pPr>
            <w:r/>
            <w:r>
              <w:rPr>
                <w:b w:val="0"/>
                <w:sz w:val="16"/>
              </w:rPr>
              <w:t>C</w:t>
            </w:r>
          </w:p>
        </w:tc>
        <w:tc>
          <w:tcPr>
            <w:tcW w:type="dxa" w:w="1020"/>
            <w:shd w:val="clear" w:color="auto" w:fill="EBF5FB"/>
          </w:tcPr>
          <w:p>
            <w:pPr>
              <w:spacing w:after="20"/>
            </w:pPr>
            <w:r/>
            <w:r>
              <w:rPr>
                <w:b w:val="0"/>
                <w:sz w:val="16"/>
              </w:rPr>
              <w:t>A</w:t>
            </w:r>
          </w:p>
        </w:tc>
        <w:tc>
          <w:tcPr>
            <w:tcW w:type="dxa" w:w="567"/>
            <w:shd w:val="clear" w:color="auto" w:fill="EBF5FB"/>
          </w:tcPr>
          <w:p>
            <w:pPr>
              <w:spacing w:after="20"/>
            </w:pPr>
            <w:r/>
            <w:r>
              <w:rPr>
                <w:b w:val="0"/>
                <w:sz w:val="16"/>
              </w:rPr>
              <w:t>I</w:t>
            </w:r>
          </w:p>
        </w:tc>
      </w:tr>
      <w:tr>
        <w:tc>
          <w:tcPr>
            <w:tcW w:type="dxa" w:w="3061"/>
          </w:tcPr>
          <w:p>
            <w:pPr>
              <w:spacing w:after="20"/>
            </w:pPr>
            <w:r/>
            <w:r>
              <w:rPr>
                <w:b w:val="0"/>
                <w:sz w:val="16"/>
              </w:rPr>
              <w:t>Post-implementation review</w:t>
            </w:r>
          </w:p>
        </w:tc>
        <w:tc>
          <w:tcPr>
            <w:tcW w:type="dxa" w:w="850"/>
          </w:tcPr>
          <w:p>
            <w:pPr>
              <w:spacing w:after="20"/>
            </w:pPr>
            <w:r/>
            <w:r>
              <w:rPr>
                <w:b w:val="0"/>
                <w:sz w:val="16"/>
              </w:rPr>
              <w:t>R</w:t>
            </w:r>
          </w:p>
        </w:tc>
        <w:tc>
          <w:tcPr>
            <w:tcW w:type="dxa" w:w="737"/>
          </w:tcPr>
          <w:p>
            <w:pPr>
              <w:spacing w:after="20"/>
            </w:pPr>
            <w:r/>
            <w:r>
              <w:rPr>
                <w:b w:val="0"/>
                <w:sz w:val="16"/>
              </w:rPr>
              <w:t>C</w:t>
            </w:r>
          </w:p>
        </w:tc>
        <w:tc>
          <w:tcPr>
            <w:tcW w:type="dxa" w:w="907"/>
          </w:tcPr>
          <w:p>
            <w:pPr>
              <w:spacing w:after="20"/>
            </w:pPr>
            <w:r/>
            <w:r>
              <w:rPr>
                <w:b w:val="0"/>
                <w:sz w:val="16"/>
              </w:rPr>
              <w:t>R</w:t>
            </w:r>
          </w:p>
        </w:tc>
        <w:tc>
          <w:tcPr>
            <w:tcW w:type="dxa" w:w="1020"/>
          </w:tcPr>
          <w:p>
            <w:pPr>
              <w:spacing w:after="20"/>
            </w:pPr>
            <w:r/>
            <w:r>
              <w:rPr>
                <w:b w:val="0"/>
                <w:sz w:val="16"/>
              </w:rPr>
              <w:t>C</w:t>
            </w:r>
          </w:p>
        </w:tc>
        <w:tc>
          <w:tcPr>
            <w:tcW w:type="dxa" w:w="794"/>
          </w:tcPr>
          <w:p>
            <w:pPr>
              <w:spacing w:after="20"/>
            </w:pPr>
            <w:r/>
            <w:r>
              <w:rPr>
                <w:b w:val="0"/>
                <w:sz w:val="16"/>
              </w:rPr>
              <w:t>C</w:t>
            </w:r>
          </w:p>
        </w:tc>
        <w:tc>
          <w:tcPr>
            <w:tcW w:type="dxa" w:w="1020"/>
          </w:tcPr>
          <w:p>
            <w:pPr>
              <w:spacing w:after="20"/>
            </w:pPr>
            <w:r/>
            <w:r>
              <w:rPr>
                <w:b w:val="0"/>
                <w:sz w:val="16"/>
              </w:rPr>
              <w:t>A</w:t>
            </w:r>
          </w:p>
        </w:tc>
        <w:tc>
          <w:tcPr>
            <w:tcW w:type="dxa" w:w="567"/>
          </w:tcPr>
          <w:p>
            <w:pPr>
              <w:spacing w:after="20"/>
            </w:pPr>
            <w:r/>
            <w:r>
              <w:rPr>
                <w:b w:val="0"/>
                <w:sz w:val="16"/>
              </w:rPr>
              <w:t>I</w:t>
            </w:r>
          </w:p>
        </w:tc>
      </w:tr>
    </w:tbl>
    <w:p>
      <w:pPr>
        <w:spacing w:after="40"/>
      </w:pPr>
    </w:p>
    <w:p>
      <w:r>
        <w:rPr>
          <w:i/>
          <w:sz w:val="18"/>
        </w:rPr>
        <w:t>Internal Audit is consulted and may review controls, but does not design or approve system content, to preserve its independence (IIA Standards).</w:t>
      </w:r>
    </w:p>
    <w:p>
      <w:pPr>
        <w:pStyle w:val="Heading1"/>
      </w:pPr>
      <w:r>
        <w:t>15. Bidder Qualification and Evaluation</w:t>
      </w:r>
    </w:p>
    <w:p>
      <w:pPr>
        <w:pStyle w:val="Heading2"/>
      </w:pPr>
      <w:r>
        <w:t>15.1 Mandatory requirements</w:t>
      </w:r>
    </w:p>
    <w:p>
      <w:pPr>
        <w:pStyle w:val="ListBullet"/>
        <w:spacing w:after="60"/>
      </w:pPr>
      <w:r>
        <w:t>Statutory and tax compliance documents as required by the Public Procurement and Asset Disposal Act 2015 and the tender document.</w:t>
      </w:r>
    </w:p>
    <w:p>
      <w:pPr>
        <w:pStyle w:val="ListBullet"/>
        <w:spacing w:after="60"/>
      </w:pPr>
      <w:r>
        <w:t>At least 3 implementations of the proposed product in the last 5 years, including at least 1 in a pension fund, social security institution, bank, insurer or public body, with contactable references.</w:t>
      </w:r>
    </w:p>
    <w:p>
      <w:pPr>
        <w:pStyle w:val="ListBullet"/>
        <w:spacing w:after="60"/>
      </w:pPr>
      <w:r>
        <w:t>Full compliance with every requirement marked M, or a credible configuration plan at no extra cost.</w:t>
      </w:r>
    </w:p>
    <w:p>
      <w:pPr>
        <w:pStyle w:val="ListBullet"/>
        <w:spacing w:after="60"/>
      </w:pPr>
      <w:r>
        <w:t>Registration as a data processor with the Office of the Data Protection Commissioner, where applicable.</w:t>
      </w:r>
    </w:p>
    <w:p>
      <w:pPr>
        <w:pStyle w:val="Heading2"/>
      </w:pPr>
      <w:r>
        <w:t>15.2 Technical scoring</w:t>
      </w:r>
    </w:p>
    <w:tbl>
      <w:tblPr>
        <w:tblStyle w:val="TableGrid"/>
        <w:tblW w:type="auto" w:w="0"/>
        <w:jc w:val="center"/>
        <w:tblLayout w:type="fixed"/>
        <w:tblLook w:firstColumn="1" w:firstRow="1" w:lastColumn="0" w:lastRow="0" w:noHBand="0" w:noVBand="1" w:val="04A0"/>
      </w:tblPr>
      <w:tblGrid>
        <w:gridCol w:w="5896"/>
        <w:gridCol w:w="1020"/>
        <w:gridCol w:w="2494"/>
      </w:tblGrid>
      <w:tr>
        <w:trPr>
          <w:tblHeader w:val="true"/>
        </w:trPr>
        <w:tc>
          <w:tcPr>
            <w:tcW w:type="dxa" w:w="5896"/>
            <w:shd w:val="clear" w:color="auto" w:fill="1A5276"/>
          </w:tcPr>
          <w:p>
            <w:r/>
            <w:r>
              <w:rPr>
                <w:b/>
                <w:color w:val="FFFFFF"/>
                <w:sz w:val="17"/>
              </w:rPr>
              <w:t>Criterion</w:t>
            </w:r>
          </w:p>
        </w:tc>
        <w:tc>
          <w:tcPr>
            <w:tcW w:type="dxa" w:w="1020"/>
            <w:shd w:val="clear" w:color="auto" w:fill="1A5276"/>
          </w:tcPr>
          <w:p>
            <w:r/>
            <w:r>
              <w:rPr>
                <w:b/>
                <w:color w:val="FFFFFF"/>
                <w:sz w:val="17"/>
              </w:rPr>
              <w:t>Weight</w:t>
            </w:r>
          </w:p>
        </w:tc>
        <w:tc>
          <w:tcPr>
            <w:tcW w:type="dxa" w:w="2494"/>
            <w:shd w:val="clear" w:color="auto" w:fill="1A5276"/>
          </w:tcPr>
          <w:p>
            <w:r/>
            <w:r>
              <w:rPr>
                <w:b/>
                <w:color w:val="FFFFFF"/>
                <w:sz w:val="17"/>
              </w:rPr>
              <w:t>Evidence</w:t>
            </w:r>
          </w:p>
        </w:tc>
      </w:tr>
      <w:tr>
        <w:tc>
          <w:tcPr>
            <w:tcW w:type="dxa" w:w="5896"/>
          </w:tcPr>
          <w:p>
            <w:pPr>
              <w:spacing w:after="20"/>
            </w:pPr>
            <w:r/>
            <w:r>
              <w:rPr>
                <w:b w:val="0"/>
                <w:sz w:val="17"/>
              </w:rPr>
              <w:t>Functional fit (Section 7) via scripted demonstration of NSSF scenarios: branch RCSA cycle, BIA to RTO gap, BCP activation with call tree, statutory return and breach clock, quarterly Board pack</w:t>
            </w:r>
          </w:p>
        </w:tc>
        <w:tc>
          <w:tcPr>
            <w:tcW w:type="dxa" w:w="1020"/>
          </w:tcPr>
          <w:p>
            <w:pPr>
              <w:spacing w:after="20"/>
            </w:pPr>
            <w:r/>
            <w:r>
              <w:rPr>
                <w:b w:val="0"/>
                <w:sz w:val="17"/>
              </w:rPr>
              <w:t>35%</w:t>
            </w:r>
          </w:p>
        </w:tc>
        <w:tc>
          <w:tcPr>
            <w:tcW w:type="dxa" w:w="2494"/>
          </w:tcPr>
          <w:p>
            <w:pPr>
              <w:spacing w:after="20"/>
            </w:pPr>
            <w:r/>
            <w:r>
              <w:rPr>
                <w:b w:val="0"/>
                <w:sz w:val="17"/>
              </w:rPr>
              <w:t>Response matrix and live demo</w:t>
            </w:r>
          </w:p>
        </w:tc>
      </w:tr>
      <w:tr>
        <w:tc>
          <w:tcPr>
            <w:tcW w:type="dxa" w:w="5896"/>
            <w:shd w:val="clear" w:color="auto" w:fill="EBF5FB"/>
          </w:tcPr>
          <w:p>
            <w:pPr>
              <w:spacing w:after="20"/>
            </w:pPr>
            <w:r/>
            <w:r>
              <w:rPr>
                <w:b w:val="0"/>
                <w:sz w:val="17"/>
              </w:rPr>
              <w:t>Implementation methodology, plan and migration approach</w:t>
            </w:r>
          </w:p>
        </w:tc>
        <w:tc>
          <w:tcPr>
            <w:tcW w:type="dxa" w:w="1020"/>
            <w:shd w:val="clear" w:color="auto" w:fill="EBF5FB"/>
          </w:tcPr>
          <w:p>
            <w:pPr>
              <w:spacing w:after="20"/>
            </w:pPr>
            <w:r/>
            <w:r>
              <w:rPr>
                <w:b w:val="0"/>
                <w:sz w:val="17"/>
              </w:rPr>
              <w:t>15%</w:t>
            </w:r>
          </w:p>
        </w:tc>
        <w:tc>
          <w:tcPr>
            <w:tcW w:type="dxa" w:w="2494"/>
            <w:shd w:val="clear" w:color="auto" w:fill="EBF5FB"/>
          </w:tcPr>
          <w:p>
            <w:pPr>
              <w:spacing w:after="20"/>
            </w:pPr>
            <w:r/>
            <w:r>
              <w:rPr>
                <w:b w:val="0"/>
                <w:sz w:val="17"/>
              </w:rPr>
              <w:t>Plan, sample deliverables</w:t>
            </w:r>
          </w:p>
        </w:tc>
      </w:tr>
      <w:tr>
        <w:tc>
          <w:tcPr>
            <w:tcW w:type="dxa" w:w="5896"/>
          </w:tcPr>
          <w:p>
            <w:pPr>
              <w:spacing w:after="20"/>
            </w:pPr>
            <w:r/>
            <w:r>
              <w:rPr>
                <w:b w:val="0"/>
                <w:sz w:val="17"/>
              </w:rPr>
              <w:t>Relevant experience and references</w:t>
            </w:r>
          </w:p>
        </w:tc>
        <w:tc>
          <w:tcPr>
            <w:tcW w:type="dxa" w:w="1020"/>
          </w:tcPr>
          <w:p>
            <w:pPr>
              <w:spacing w:after="20"/>
            </w:pPr>
            <w:r/>
            <w:r>
              <w:rPr>
                <w:b w:val="0"/>
                <w:sz w:val="17"/>
              </w:rPr>
              <w:t>15%</w:t>
            </w:r>
          </w:p>
        </w:tc>
        <w:tc>
          <w:tcPr>
            <w:tcW w:type="dxa" w:w="2494"/>
          </w:tcPr>
          <w:p>
            <w:pPr>
              <w:spacing w:after="20"/>
            </w:pPr>
            <w:r/>
            <w:r>
              <w:rPr>
                <w:b w:val="0"/>
                <w:sz w:val="17"/>
              </w:rPr>
              <w:t>Reference letters, site visit</w:t>
            </w:r>
          </w:p>
        </w:tc>
      </w:tr>
      <w:tr>
        <w:tc>
          <w:tcPr>
            <w:tcW w:type="dxa" w:w="5896"/>
            <w:shd w:val="clear" w:color="auto" w:fill="EBF5FB"/>
          </w:tcPr>
          <w:p>
            <w:pPr>
              <w:spacing w:after="20"/>
            </w:pPr>
            <w:r/>
            <w:r>
              <w:rPr>
                <w:b w:val="0"/>
                <w:sz w:val="17"/>
              </w:rPr>
              <w:t>Team qualifications (e.g., ISO 31000 / ISO 22301 Lead Implementer, CBCI, CRISC, CISA, PMP) and local presence</w:t>
            </w:r>
          </w:p>
        </w:tc>
        <w:tc>
          <w:tcPr>
            <w:tcW w:type="dxa" w:w="1020"/>
            <w:shd w:val="clear" w:color="auto" w:fill="EBF5FB"/>
          </w:tcPr>
          <w:p>
            <w:pPr>
              <w:spacing w:after="20"/>
            </w:pPr>
            <w:r/>
            <w:r>
              <w:rPr>
                <w:b w:val="0"/>
                <w:sz w:val="17"/>
              </w:rPr>
              <w:t>15%</w:t>
            </w:r>
          </w:p>
        </w:tc>
        <w:tc>
          <w:tcPr>
            <w:tcW w:type="dxa" w:w="2494"/>
            <w:shd w:val="clear" w:color="auto" w:fill="EBF5FB"/>
          </w:tcPr>
          <w:p>
            <w:pPr>
              <w:spacing w:after="20"/>
            </w:pPr>
            <w:r/>
            <w:r>
              <w:rPr>
                <w:b w:val="0"/>
                <w:sz w:val="17"/>
              </w:rPr>
              <w:t>CVs, certificates</w:t>
            </w:r>
          </w:p>
        </w:tc>
      </w:tr>
      <w:tr>
        <w:tc>
          <w:tcPr>
            <w:tcW w:type="dxa" w:w="5896"/>
          </w:tcPr>
          <w:p>
            <w:pPr>
              <w:spacing w:after="20"/>
            </w:pPr>
            <w:r/>
            <w:r>
              <w:rPr>
                <w:b w:val="0"/>
                <w:sz w:val="17"/>
              </w:rPr>
              <w:t>Security, hosting and data protection</w:t>
            </w:r>
          </w:p>
        </w:tc>
        <w:tc>
          <w:tcPr>
            <w:tcW w:type="dxa" w:w="1020"/>
          </w:tcPr>
          <w:p>
            <w:pPr>
              <w:spacing w:after="20"/>
            </w:pPr>
            <w:r/>
            <w:r>
              <w:rPr>
                <w:b w:val="0"/>
                <w:sz w:val="17"/>
              </w:rPr>
              <w:t>10%</w:t>
            </w:r>
          </w:p>
        </w:tc>
        <w:tc>
          <w:tcPr>
            <w:tcW w:type="dxa" w:w="2494"/>
          </w:tcPr>
          <w:p>
            <w:pPr>
              <w:spacing w:after="20"/>
            </w:pPr>
            <w:r/>
            <w:r>
              <w:rPr>
                <w:b w:val="0"/>
                <w:sz w:val="17"/>
              </w:rPr>
              <w:t>Certifications, architecture</w:t>
            </w:r>
          </w:p>
        </w:tc>
      </w:tr>
      <w:tr>
        <w:tc>
          <w:tcPr>
            <w:tcW w:type="dxa" w:w="5896"/>
            <w:shd w:val="clear" w:color="auto" w:fill="EBF5FB"/>
          </w:tcPr>
          <w:p>
            <w:pPr>
              <w:spacing w:after="20"/>
            </w:pPr>
            <w:r/>
            <w:r>
              <w:rPr>
                <w:b w:val="0"/>
                <w:sz w:val="17"/>
              </w:rPr>
              <w:t>Support model and SLA</w:t>
            </w:r>
          </w:p>
        </w:tc>
        <w:tc>
          <w:tcPr>
            <w:tcW w:type="dxa" w:w="1020"/>
            <w:shd w:val="clear" w:color="auto" w:fill="EBF5FB"/>
          </w:tcPr>
          <w:p>
            <w:pPr>
              <w:spacing w:after="20"/>
            </w:pPr>
            <w:r/>
            <w:r>
              <w:rPr>
                <w:b w:val="0"/>
                <w:sz w:val="17"/>
              </w:rPr>
              <w:t>10%</w:t>
            </w:r>
          </w:p>
        </w:tc>
        <w:tc>
          <w:tcPr>
            <w:tcW w:type="dxa" w:w="2494"/>
            <w:shd w:val="clear" w:color="auto" w:fill="EBF5FB"/>
          </w:tcPr>
          <w:p>
            <w:pPr>
              <w:spacing w:after="20"/>
            </w:pPr>
            <w:r/>
            <w:r>
              <w:rPr>
                <w:b w:val="0"/>
                <w:sz w:val="17"/>
              </w:rPr>
              <w:t>SLA, support structure</w:t>
            </w:r>
          </w:p>
        </w:tc>
      </w:tr>
    </w:tbl>
    <w:p>
      <w:pPr>
        <w:spacing w:after="40"/>
      </w:pPr>
    </w:p>
    <w:p>
      <w:r>
        <w:rPr>
          <w:i w:val="0"/>
        </w:rPr>
        <w:t>Technical pass mark: 70%. Financial evaluation on 5-year total cost of ownership (licences, implementation, hosting, support, training and upgrades).</w:t>
      </w:r>
    </w:p>
    <w:p>
      <w:pPr>
        <w:pStyle w:val="Heading1"/>
      </w:pPr>
      <w:r>
        <w:t>16. Success Measures (12 Months After Go-Live)</w:t>
      </w:r>
    </w:p>
    <w:tbl>
      <w:tblPr>
        <w:tblStyle w:val="TableGrid"/>
        <w:tblW w:type="auto" w:w="0"/>
        <w:jc w:val="center"/>
        <w:tblLayout w:type="fixed"/>
        <w:tblLook w:firstColumn="1" w:firstRow="1" w:lastColumn="0" w:lastRow="0" w:noHBand="0" w:noVBand="1" w:val="04A0"/>
      </w:tblPr>
      <w:tblGrid>
        <w:gridCol w:w="1020"/>
        <w:gridCol w:w="3628"/>
        <w:gridCol w:w="1020"/>
        <w:gridCol w:w="3742"/>
      </w:tblGrid>
      <w:tr>
        <w:trPr>
          <w:tblHeader w:val="true"/>
        </w:trPr>
        <w:tc>
          <w:tcPr>
            <w:tcW w:type="dxa" w:w="1020"/>
            <w:shd w:val="clear" w:color="auto" w:fill="1A5276"/>
          </w:tcPr>
          <w:p>
            <w:r/>
            <w:r>
              <w:rPr>
                <w:b/>
                <w:color w:val="FFFFFF"/>
                <w:sz w:val="17"/>
              </w:rPr>
              <w:t>Objective</w:t>
            </w:r>
          </w:p>
        </w:tc>
        <w:tc>
          <w:tcPr>
            <w:tcW w:type="dxa" w:w="3628"/>
            <w:shd w:val="clear" w:color="auto" w:fill="1A5276"/>
          </w:tcPr>
          <w:p>
            <w:r/>
            <w:r>
              <w:rPr>
                <w:b/>
                <w:color w:val="FFFFFF"/>
                <w:sz w:val="17"/>
              </w:rPr>
              <w:t>Measure</w:t>
            </w:r>
          </w:p>
        </w:tc>
        <w:tc>
          <w:tcPr>
            <w:tcW w:type="dxa" w:w="1020"/>
            <w:shd w:val="clear" w:color="auto" w:fill="1A5276"/>
          </w:tcPr>
          <w:p>
            <w:r/>
            <w:r>
              <w:rPr>
                <w:b/>
                <w:color w:val="FFFFFF"/>
                <w:sz w:val="17"/>
              </w:rPr>
              <w:t>Target</w:t>
            </w:r>
          </w:p>
        </w:tc>
        <w:tc>
          <w:tcPr>
            <w:tcW w:type="dxa" w:w="3742"/>
            <w:shd w:val="clear" w:color="auto" w:fill="1A5276"/>
          </w:tcPr>
          <w:p>
            <w:r/>
            <w:r>
              <w:rPr>
                <w:b/>
                <w:color w:val="FFFFFF"/>
                <w:sz w:val="17"/>
              </w:rPr>
              <w:t>Assumption / baseline</w:t>
            </w:r>
          </w:p>
        </w:tc>
      </w:tr>
      <w:tr>
        <w:tc>
          <w:tcPr>
            <w:tcW w:type="dxa" w:w="1020"/>
          </w:tcPr>
          <w:p>
            <w:pPr>
              <w:spacing w:after="20"/>
            </w:pPr>
            <w:r/>
            <w:r>
              <w:rPr>
                <w:b w:val="0"/>
                <w:sz w:val="17"/>
              </w:rPr>
              <w:t>O1</w:t>
            </w:r>
          </w:p>
        </w:tc>
        <w:tc>
          <w:tcPr>
            <w:tcW w:type="dxa" w:w="3628"/>
          </w:tcPr>
          <w:p>
            <w:pPr>
              <w:spacing w:after="20"/>
            </w:pPr>
            <w:r/>
            <w:r>
              <w:rPr>
                <w:b w:val="0"/>
                <w:sz w:val="17"/>
              </w:rPr>
              <w:t>Units with an approved register in the system</w:t>
            </w:r>
          </w:p>
        </w:tc>
        <w:tc>
          <w:tcPr>
            <w:tcW w:type="dxa" w:w="1020"/>
          </w:tcPr>
          <w:p>
            <w:pPr>
              <w:spacing w:after="20"/>
            </w:pPr>
            <w:r/>
            <w:r>
              <w:rPr>
                <w:b w:val="0"/>
                <w:sz w:val="17"/>
              </w:rPr>
              <w:t>100%</w:t>
            </w:r>
          </w:p>
        </w:tc>
        <w:tc>
          <w:tcPr>
            <w:tcW w:type="dxa" w:w="3742"/>
          </w:tcPr>
          <w:p>
            <w:pPr>
              <w:spacing w:after="20"/>
            </w:pPr>
            <w:r/>
            <w:r>
              <w:rPr>
                <w:b w:val="0"/>
                <w:sz w:val="17"/>
              </w:rPr>
              <w:t>All HQ departments, regions and branches</w:t>
            </w:r>
          </w:p>
        </w:tc>
      </w:tr>
      <w:tr>
        <w:tc>
          <w:tcPr>
            <w:tcW w:type="dxa" w:w="1020"/>
            <w:shd w:val="clear" w:color="auto" w:fill="EBF5FB"/>
          </w:tcPr>
          <w:p>
            <w:pPr>
              <w:spacing w:after="20"/>
            </w:pPr>
            <w:r/>
            <w:r>
              <w:rPr>
                <w:b w:val="0"/>
                <w:sz w:val="17"/>
              </w:rPr>
              <w:t>O2</w:t>
            </w:r>
          </w:p>
        </w:tc>
        <w:tc>
          <w:tcPr>
            <w:tcW w:type="dxa" w:w="3628"/>
            <w:shd w:val="clear" w:color="auto" w:fill="EBF5FB"/>
          </w:tcPr>
          <w:p>
            <w:pPr>
              <w:spacing w:after="20"/>
            </w:pPr>
            <w:r/>
            <w:r>
              <w:rPr>
                <w:b w:val="0"/>
                <w:sz w:val="17"/>
              </w:rPr>
              <w:t>RCSA and BIA campaigns completed on time</w:t>
            </w:r>
          </w:p>
        </w:tc>
        <w:tc>
          <w:tcPr>
            <w:tcW w:type="dxa" w:w="1020"/>
            <w:shd w:val="clear" w:color="auto" w:fill="EBF5FB"/>
          </w:tcPr>
          <w:p>
            <w:pPr>
              <w:spacing w:after="20"/>
            </w:pPr>
            <w:r/>
            <w:r>
              <w:rPr>
                <w:b w:val="0"/>
                <w:sz w:val="17"/>
              </w:rPr>
              <w:t>≥ 90%</w:t>
            </w:r>
          </w:p>
        </w:tc>
        <w:tc>
          <w:tcPr>
            <w:tcW w:type="dxa" w:w="3742"/>
            <w:shd w:val="clear" w:color="auto" w:fill="EBF5FB"/>
          </w:tcPr>
          <w:p>
            <w:pPr>
              <w:spacing w:after="20"/>
            </w:pPr>
            <w:r/>
            <w:r>
              <w:rPr>
                <w:b w:val="0"/>
                <w:sz w:val="17"/>
              </w:rPr>
              <w:t>Baseline to be measured in the first cycle</w:t>
            </w:r>
          </w:p>
        </w:tc>
      </w:tr>
      <w:tr>
        <w:tc>
          <w:tcPr>
            <w:tcW w:type="dxa" w:w="1020"/>
          </w:tcPr>
          <w:p>
            <w:pPr>
              <w:spacing w:after="20"/>
            </w:pPr>
            <w:r/>
            <w:r>
              <w:rPr>
                <w:b w:val="0"/>
                <w:sz w:val="17"/>
              </w:rPr>
              <w:t>O3</w:t>
            </w:r>
          </w:p>
        </w:tc>
        <w:tc>
          <w:tcPr>
            <w:tcW w:type="dxa" w:w="3628"/>
          </w:tcPr>
          <w:p>
            <w:pPr>
              <w:spacing w:after="20"/>
            </w:pPr>
            <w:r/>
            <w:r>
              <w:rPr>
                <w:b w:val="0"/>
                <w:sz w:val="17"/>
              </w:rPr>
              <w:t>Critical units with an approved BCP reachable offline</w:t>
            </w:r>
          </w:p>
        </w:tc>
        <w:tc>
          <w:tcPr>
            <w:tcW w:type="dxa" w:w="1020"/>
          </w:tcPr>
          <w:p>
            <w:pPr>
              <w:spacing w:after="20"/>
            </w:pPr>
            <w:r/>
            <w:r>
              <w:rPr>
                <w:b w:val="0"/>
                <w:sz w:val="17"/>
              </w:rPr>
              <w:t>100%</w:t>
            </w:r>
          </w:p>
        </w:tc>
        <w:tc>
          <w:tcPr>
            <w:tcW w:type="dxa" w:w="3742"/>
          </w:tcPr>
          <w:p>
            <w:pPr>
              <w:spacing w:after="20"/>
            </w:pPr>
            <w:r/>
            <w:r>
              <w:rPr>
                <w:b w:val="0"/>
                <w:sz w:val="17"/>
              </w:rPr>
              <w:t>Verified in an annual unannounced test</w:t>
            </w:r>
          </w:p>
        </w:tc>
      </w:tr>
      <w:tr>
        <w:tc>
          <w:tcPr>
            <w:tcW w:type="dxa" w:w="1020"/>
            <w:shd w:val="clear" w:color="auto" w:fill="EBF5FB"/>
          </w:tcPr>
          <w:p>
            <w:pPr>
              <w:spacing w:after="20"/>
            </w:pPr>
            <w:r/>
            <w:r>
              <w:rPr>
                <w:b w:val="0"/>
                <w:sz w:val="17"/>
              </w:rPr>
              <w:t>O3</w:t>
            </w:r>
          </w:p>
        </w:tc>
        <w:tc>
          <w:tcPr>
            <w:tcW w:type="dxa" w:w="3628"/>
            <w:shd w:val="clear" w:color="auto" w:fill="EBF5FB"/>
          </w:tcPr>
          <w:p>
            <w:pPr>
              <w:spacing w:after="20"/>
            </w:pPr>
            <w:r/>
            <w:r>
              <w:rPr>
                <w:b w:val="0"/>
                <w:sz w:val="17"/>
              </w:rPr>
              <w:t>Contact data verified within the last 90 days</w:t>
            </w:r>
          </w:p>
        </w:tc>
        <w:tc>
          <w:tcPr>
            <w:tcW w:type="dxa" w:w="1020"/>
            <w:shd w:val="clear" w:color="auto" w:fill="EBF5FB"/>
          </w:tcPr>
          <w:p>
            <w:pPr>
              <w:spacing w:after="20"/>
            </w:pPr>
            <w:r/>
            <w:r>
              <w:rPr>
                <w:b w:val="0"/>
                <w:sz w:val="17"/>
              </w:rPr>
              <w:t>≥ 95%</w:t>
            </w:r>
          </w:p>
        </w:tc>
        <w:tc>
          <w:tcPr>
            <w:tcW w:type="dxa" w:w="3742"/>
            <w:shd w:val="clear" w:color="auto" w:fill="EBF5FB"/>
          </w:tcPr>
          <w:p>
            <w:pPr>
              <w:spacing w:after="20"/>
            </w:pPr>
            <w:r/>
            <w:r>
              <w:rPr>
                <w:b w:val="0"/>
                <w:sz w:val="17"/>
              </w:rPr>
              <w:t>Auto-synced from HRMIS</w:t>
            </w:r>
          </w:p>
        </w:tc>
      </w:tr>
      <w:tr>
        <w:tc>
          <w:tcPr>
            <w:tcW w:type="dxa" w:w="1020"/>
          </w:tcPr>
          <w:p>
            <w:pPr>
              <w:spacing w:after="20"/>
            </w:pPr>
            <w:r/>
            <w:r>
              <w:rPr>
                <w:b w:val="0"/>
                <w:sz w:val="17"/>
              </w:rPr>
              <w:t>O4</w:t>
            </w:r>
          </w:p>
        </w:tc>
        <w:tc>
          <w:tcPr>
            <w:tcW w:type="dxa" w:w="3628"/>
          </w:tcPr>
          <w:p>
            <w:pPr>
              <w:spacing w:after="20"/>
            </w:pPr>
            <w:r/>
            <w:r>
              <w:rPr>
                <w:b w:val="0"/>
                <w:sz w:val="17"/>
              </w:rPr>
              <w:t>Statutory returns submitted on time</w:t>
            </w:r>
          </w:p>
        </w:tc>
        <w:tc>
          <w:tcPr>
            <w:tcW w:type="dxa" w:w="1020"/>
          </w:tcPr>
          <w:p>
            <w:pPr>
              <w:spacing w:after="20"/>
            </w:pPr>
            <w:r/>
            <w:r>
              <w:rPr>
                <w:b w:val="0"/>
                <w:sz w:val="17"/>
              </w:rPr>
              <w:t>100%</w:t>
            </w:r>
          </w:p>
        </w:tc>
        <w:tc>
          <w:tcPr>
            <w:tcW w:type="dxa" w:w="3742"/>
          </w:tcPr>
          <w:p>
            <w:pPr>
              <w:spacing w:after="20"/>
            </w:pPr>
            <w:r/>
            <w:r>
              <w:rPr>
                <w:b w:val="0"/>
                <w:sz w:val="17"/>
              </w:rPr>
              <w:t>Zero appetite for regulatory non-compliance</w:t>
            </w:r>
          </w:p>
        </w:tc>
      </w:tr>
      <w:tr>
        <w:tc>
          <w:tcPr>
            <w:tcW w:type="dxa" w:w="1020"/>
            <w:shd w:val="clear" w:color="auto" w:fill="EBF5FB"/>
          </w:tcPr>
          <w:p>
            <w:pPr>
              <w:spacing w:after="20"/>
            </w:pPr>
            <w:r/>
            <w:r>
              <w:rPr>
                <w:b w:val="0"/>
                <w:sz w:val="17"/>
              </w:rPr>
              <w:t>O5</w:t>
            </w:r>
          </w:p>
        </w:tc>
        <w:tc>
          <w:tcPr>
            <w:tcW w:type="dxa" w:w="3628"/>
            <w:shd w:val="clear" w:color="auto" w:fill="EBF5FB"/>
          </w:tcPr>
          <w:p>
            <w:pPr>
              <w:spacing w:after="20"/>
            </w:pPr>
            <w:r/>
            <w:r>
              <w:rPr>
                <w:b w:val="0"/>
                <w:sz w:val="17"/>
              </w:rPr>
              <w:t>KRI red breaches escalated within 24 hours</w:t>
            </w:r>
          </w:p>
        </w:tc>
        <w:tc>
          <w:tcPr>
            <w:tcW w:type="dxa" w:w="1020"/>
            <w:shd w:val="clear" w:color="auto" w:fill="EBF5FB"/>
          </w:tcPr>
          <w:p>
            <w:pPr>
              <w:spacing w:after="20"/>
            </w:pPr>
            <w:r/>
            <w:r>
              <w:rPr>
                <w:b w:val="0"/>
                <w:sz w:val="17"/>
              </w:rPr>
              <w:t>100%</w:t>
            </w:r>
          </w:p>
        </w:tc>
        <w:tc>
          <w:tcPr>
            <w:tcW w:type="dxa" w:w="3742"/>
            <w:shd w:val="clear" w:color="auto" w:fill="EBF5FB"/>
          </w:tcPr>
          <w:p>
            <w:pPr>
              <w:spacing w:after="20"/>
            </w:pPr>
            <w:r/>
            <w:r>
              <w:rPr>
                <w:b w:val="0"/>
                <w:sz w:val="17"/>
              </w:rPr>
              <w:t>Automated escalation</w:t>
            </w:r>
          </w:p>
        </w:tc>
      </w:tr>
      <w:tr>
        <w:tc>
          <w:tcPr>
            <w:tcW w:type="dxa" w:w="1020"/>
          </w:tcPr>
          <w:p>
            <w:pPr>
              <w:spacing w:after="20"/>
            </w:pPr>
            <w:r/>
            <w:r>
              <w:rPr>
                <w:b w:val="0"/>
                <w:sz w:val="17"/>
              </w:rPr>
              <w:t>O6</w:t>
            </w:r>
          </w:p>
        </w:tc>
        <w:tc>
          <w:tcPr>
            <w:tcW w:type="dxa" w:w="3628"/>
          </w:tcPr>
          <w:p>
            <w:pPr>
              <w:spacing w:after="20"/>
            </w:pPr>
            <w:r/>
            <w:r>
              <w:rPr>
                <w:b w:val="0"/>
                <w:sz w:val="17"/>
              </w:rPr>
              <w:t>Overdue actions as a share of open actions</w:t>
            </w:r>
          </w:p>
        </w:tc>
        <w:tc>
          <w:tcPr>
            <w:tcW w:type="dxa" w:w="1020"/>
          </w:tcPr>
          <w:p>
            <w:pPr>
              <w:spacing w:after="20"/>
            </w:pPr>
            <w:r/>
            <w:r>
              <w:rPr>
                <w:b w:val="0"/>
                <w:sz w:val="17"/>
              </w:rPr>
              <w:t>&lt; 10%</w:t>
            </w:r>
          </w:p>
        </w:tc>
        <w:tc>
          <w:tcPr>
            <w:tcW w:type="dxa" w:w="3742"/>
          </w:tcPr>
          <w:p>
            <w:pPr>
              <w:spacing w:after="20"/>
            </w:pPr>
            <w:r/>
            <w:r>
              <w:rPr>
                <w:b w:val="0"/>
                <w:sz w:val="17"/>
              </w:rPr>
              <w:t>Baseline to be measured at migration</w:t>
            </w:r>
          </w:p>
        </w:tc>
      </w:tr>
      <w:tr>
        <w:tc>
          <w:tcPr>
            <w:tcW w:type="dxa" w:w="1020"/>
            <w:shd w:val="clear" w:color="auto" w:fill="EBF5FB"/>
          </w:tcPr>
          <w:p>
            <w:pPr>
              <w:spacing w:after="20"/>
            </w:pPr>
            <w:r/>
            <w:r>
              <w:rPr>
                <w:b w:val="0"/>
                <w:sz w:val="17"/>
              </w:rPr>
              <w:t>O7</w:t>
            </w:r>
          </w:p>
        </w:tc>
        <w:tc>
          <w:tcPr>
            <w:tcW w:type="dxa" w:w="3628"/>
            <w:shd w:val="clear" w:color="auto" w:fill="EBF5FB"/>
          </w:tcPr>
          <w:p>
            <w:pPr>
              <w:spacing w:after="20"/>
            </w:pPr>
            <w:r/>
            <w:r>
              <w:rPr>
                <w:b w:val="0"/>
                <w:sz w:val="17"/>
              </w:rPr>
              <w:t>Working days from quarter end to ARC-ready Board Risk Report</w:t>
            </w:r>
          </w:p>
        </w:tc>
        <w:tc>
          <w:tcPr>
            <w:tcW w:type="dxa" w:w="1020"/>
            <w:shd w:val="clear" w:color="auto" w:fill="EBF5FB"/>
          </w:tcPr>
          <w:p>
            <w:pPr>
              <w:spacing w:after="20"/>
            </w:pPr>
            <w:r/>
            <w:r>
              <w:rPr>
                <w:b w:val="0"/>
                <w:sz w:val="17"/>
              </w:rPr>
              <w:t>≤ 5</w:t>
            </w:r>
          </w:p>
        </w:tc>
        <w:tc>
          <w:tcPr>
            <w:tcW w:type="dxa" w:w="3742"/>
            <w:shd w:val="clear" w:color="auto" w:fill="EBF5FB"/>
          </w:tcPr>
          <w:p>
            <w:pPr>
              <w:spacing w:after="20"/>
            </w:pPr>
            <w:r/>
            <w:r>
              <w:rPr>
                <w:b w:val="0"/>
                <w:sz w:val="17"/>
              </w:rPr>
              <w:t>Assumed current: about 15 working days of manual consolidation; to be confirmed</w:t>
            </w:r>
          </w:p>
        </w:tc>
      </w:tr>
      <w:tr>
        <w:tc>
          <w:tcPr>
            <w:tcW w:type="dxa" w:w="1020"/>
          </w:tcPr>
          <w:p>
            <w:pPr>
              <w:spacing w:after="20"/>
            </w:pPr>
            <w:r/>
            <w:r>
              <w:rPr>
                <w:b w:val="0"/>
                <w:sz w:val="17"/>
              </w:rPr>
              <w:t>Adoption</w:t>
            </w:r>
          </w:p>
        </w:tc>
        <w:tc>
          <w:tcPr>
            <w:tcW w:type="dxa" w:w="3628"/>
          </w:tcPr>
          <w:p>
            <w:pPr>
              <w:spacing w:after="20"/>
            </w:pPr>
            <w:r/>
            <w:r>
              <w:rPr>
                <w:b w:val="0"/>
                <w:sz w:val="17"/>
              </w:rPr>
              <w:t>Risk Champions active in the system each quarter</w:t>
            </w:r>
          </w:p>
        </w:tc>
        <w:tc>
          <w:tcPr>
            <w:tcW w:type="dxa" w:w="1020"/>
          </w:tcPr>
          <w:p>
            <w:pPr>
              <w:spacing w:after="20"/>
            </w:pPr>
            <w:r/>
            <w:r>
              <w:rPr>
                <w:b w:val="0"/>
                <w:sz w:val="17"/>
              </w:rPr>
              <w:t>≥ 90%</w:t>
            </w:r>
          </w:p>
        </w:tc>
        <w:tc>
          <w:tcPr>
            <w:tcW w:type="dxa" w:w="3742"/>
          </w:tcPr>
          <w:p>
            <w:pPr>
              <w:spacing w:after="20"/>
            </w:pPr>
            <w:r/>
            <w:r>
              <w:rPr>
                <w:b w:val="0"/>
                <w:sz w:val="17"/>
              </w:rPr>
              <w:t>Activity log</w:t>
            </w:r>
          </w:p>
        </w:tc>
      </w:tr>
    </w:tbl>
    <w:p>
      <w:pPr>
        <w:spacing w:after="40"/>
      </w:pPr>
    </w:p>
    <w:p>
      <w:pPr>
        <w:pStyle w:val="Heading1"/>
      </w:pPr>
      <w:r>
        <w:t>17. Decisions Required from Management</w:t>
      </w:r>
    </w:p>
    <w:tbl>
      <w:tblPr>
        <w:tblStyle w:val="TableGrid"/>
        <w:tblW w:type="auto" w:w="0"/>
        <w:jc w:val="center"/>
        <w:tblLayout w:type="fixed"/>
        <w:tblLook w:firstColumn="1" w:firstRow="1" w:lastColumn="0" w:lastRow="0" w:noHBand="0" w:noVBand="1" w:val="04A0"/>
      </w:tblPr>
      <w:tblGrid>
        <w:gridCol w:w="397"/>
        <w:gridCol w:w="2041"/>
        <w:gridCol w:w="2268"/>
        <w:gridCol w:w="3175"/>
        <w:gridCol w:w="1531"/>
      </w:tblGrid>
      <w:tr>
        <w:trPr>
          <w:tblHeader w:val="true"/>
        </w:trPr>
        <w:tc>
          <w:tcPr>
            <w:tcW w:type="dxa" w:w="397"/>
            <w:shd w:val="clear" w:color="auto" w:fill="1A5276"/>
          </w:tcPr>
          <w:p>
            <w:r/>
            <w:r>
              <w:rPr>
                <w:b/>
                <w:color w:val="FFFFFF"/>
                <w:sz w:val="16"/>
              </w:rPr>
              <w:t>#</w:t>
            </w:r>
          </w:p>
        </w:tc>
        <w:tc>
          <w:tcPr>
            <w:tcW w:type="dxa" w:w="2041"/>
            <w:shd w:val="clear" w:color="auto" w:fill="1A5276"/>
          </w:tcPr>
          <w:p>
            <w:r/>
            <w:r>
              <w:rPr>
                <w:b/>
                <w:color w:val="FFFFFF"/>
                <w:sz w:val="16"/>
              </w:rPr>
              <w:t>Decision</w:t>
            </w:r>
          </w:p>
        </w:tc>
        <w:tc>
          <w:tcPr>
            <w:tcW w:type="dxa" w:w="2268"/>
            <w:shd w:val="clear" w:color="auto" w:fill="1A5276"/>
          </w:tcPr>
          <w:p>
            <w:r/>
            <w:r>
              <w:rPr>
                <w:b/>
                <w:color w:val="FFFFFF"/>
                <w:sz w:val="16"/>
              </w:rPr>
              <w:t>Options</w:t>
            </w:r>
          </w:p>
        </w:tc>
        <w:tc>
          <w:tcPr>
            <w:tcW w:type="dxa" w:w="3175"/>
            <w:shd w:val="clear" w:color="auto" w:fill="1A5276"/>
          </w:tcPr>
          <w:p>
            <w:r/>
            <w:r>
              <w:rPr>
                <w:b/>
                <w:color w:val="FFFFFF"/>
                <w:sz w:val="16"/>
              </w:rPr>
              <w:t>Recommendation</w:t>
            </w:r>
          </w:p>
        </w:tc>
        <w:tc>
          <w:tcPr>
            <w:tcW w:type="dxa" w:w="1531"/>
            <w:shd w:val="clear" w:color="auto" w:fill="1A5276"/>
          </w:tcPr>
          <w:p>
            <w:r/>
            <w:r>
              <w:rPr>
                <w:b/>
                <w:color w:val="FFFFFF"/>
                <w:sz w:val="16"/>
              </w:rPr>
              <w:t>Owner / by</w:t>
            </w:r>
          </w:p>
        </w:tc>
      </w:tr>
      <w:tr>
        <w:tc>
          <w:tcPr>
            <w:tcW w:type="dxa" w:w="397"/>
          </w:tcPr>
          <w:p>
            <w:pPr>
              <w:spacing w:after="20"/>
            </w:pPr>
            <w:r/>
            <w:r>
              <w:rPr>
                <w:b w:val="0"/>
                <w:sz w:val="16"/>
              </w:rPr>
              <w:t>1</w:t>
            </w:r>
          </w:p>
        </w:tc>
        <w:tc>
          <w:tcPr>
            <w:tcW w:type="dxa" w:w="2041"/>
          </w:tcPr>
          <w:p>
            <w:pPr>
              <w:spacing w:after="20"/>
            </w:pPr>
            <w:r/>
            <w:r>
              <w:rPr>
                <w:b w:val="0"/>
                <w:sz w:val="16"/>
              </w:rPr>
              <w:t>Platform choice relative to the GRC Module in the integrated system TOR</w:t>
            </w:r>
          </w:p>
        </w:tc>
        <w:tc>
          <w:tcPr>
            <w:tcW w:type="dxa" w:w="2268"/>
          </w:tcPr>
          <w:p>
            <w:pPr>
              <w:spacing w:after="20"/>
            </w:pPr>
            <w:r/>
            <w:r>
              <w:rPr>
                <w:b w:val="0"/>
                <w:sz w:val="16"/>
              </w:rPr>
              <w:t>(a) RM capabilities delivered inside the GRC Module; (b) separate specialist RM system integrated with GRC</w:t>
            </w:r>
          </w:p>
        </w:tc>
        <w:tc>
          <w:tcPr>
            <w:tcW w:type="dxa" w:w="3175"/>
          </w:tcPr>
          <w:p>
            <w:pPr>
              <w:spacing w:after="20"/>
            </w:pPr>
            <w:r/>
            <w:r>
              <w:rPr>
                <w:b w:val="0"/>
                <w:sz w:val="16"/>
              </w:rPr>
              <w:t>(a) if the GRC platform meets all M requirements in Section 7, so one risk and control library serves both risk and audit; otherwise (b). Keep separate Audit and RM workspaces either way.</w:t>
            </w:r>
          </w:p>
        </w:tc>
        <w:tc>
          <w:tcPr>
            <w:tcW w:type="dxa" w:w="1531"/>
          </w:tcPr>
          <w:p>
            <w:pPr>
              <w:spacing w:after="20"/>
            </w:pPr>
            <w:r/>
            <w:r>
              <w:rPr>
                <w:b w:val="0"/>
                <w:sz w:val="16"/>
              </w:rPr>
              <w:t>Steering Committee, before tender</w:t>
            </w:r>
          </w:p>
        </w:tc>
      </w:tr>
      <w:tr>
        <w:tc>
          <w:tcPr>
            <w:tcW w:type="dxa" w:w="397"/>
            <w:shd w:val="clear" w:color="auto" w:fill="EBF5FB"/>
          </w:tcPr>
          <w:p>
            <w:pPr>
              <w:spacing w:after="20"/>
            </w:pPr>
            <w:r/>
            <w:r>
              <w:rPr>
                <w:b w:val="0"/>
                <w:sz w:val="16"/>
              </w:rPr>
              <w:t>2</w:t>
            </w:r>
          </w:p>
        </w:tc>
        <w:tc>
          <w:tcPr>
            <w:tcW w:type="dxa" w:w="2041"/>
            <w:shd w:val="clear" w:color="auto" w:fill="EBF5FB"/>
          </w:tcPr>
          <w:p>
            <w:pPr>
              <w:spacing w:after="20"/>
            </w:pPr>
            <w:r/>
            <w:r>
              <w:rPr>
                <w:b w:val="0"/>
                <w:sz w:val="16"/>
              </w:rPr>
              <w:t>Hosting model</w:t>
            </w:r>
          </w:p>
        </w:tc>
        <w:tc>
          <w:tcPr>
            <w:tcW w:type="dxa" w:w="2268"/>
            <w:shd w:val="clear" w:color="auto" w:fill="EBF5FB"/>
          </w:tcPr>
          <w:p>
            <w:pPr>
              <w:spacing w:after="20"/>
            </w:pPr>
            <w:r/>
            <w:r>
              <w:rPr>
                <w:b w:val="0"/>
                <w:sz w:val="16"/>
              </w:rPr>
              <w:t>On-premise; Kenyan cloud; international cloud with DPA safeguards</w:t>
            </w:r>
          </w:p>
        </w:tc>
        <w:tc>
          <w:tcPr>
            <w:tcW w:type="dxa" w:w="3175"/>
            <w:shd w:val="clear" w:color="auto" w:fill="EBF5FB"/>
          </w:tcPr>
          <w:p>
            <w:pPr>
              <w:spacing w:after="20"/>
            </w:pPr>
            <w:r/>
            <w:r>
              <w:rPr>
                <w:b w:val="0"/>
                <w:sz w:val="16"/>
              </w:rPr>
              <w:t>Cloud hosting compliant with the Data Protection Act 2019, with plan access independent of the primary data centre</w:t>
            </w:r>
          </w:p>
        </w:tc>
        <w:tc>
          <w:tcPr>
            <w:tcW w:type="dxa" w:w="1531"/>
            <w:shd w:val="clear" w:color="auto" w:fill="EBF5FB"/>
          </w:tcPr>
          <w:p>
            <w:pPr>
              <w:spacing w:after="20"/>
            </w:pPr>
            <w:r/>
            <w:r>
              <w:rPr>
                <w:b w:val="0"/>
                <w:sz w:val="16"/>
              </w:rPr>
              <w:t>ICT and Legal, before tender</w:t>
            </w:r>
          </w:p>
        </w:tc>
      </w:tr>
      <w:tr>
        <w:tc>
          <w:tcPr>
            <w:tcW w:type="dxa" w:w="397"/>
          </w:tcPr>
          <w:p>
            <w:pPr>
              <w:spacing w:after="20"/>
            </w:pPr>
            <w:r/>
            <w:r>
              <w:rPr>
                <w:b w:val="0"/>
                <w:sz w:val="16"/>
              </w:rPr>
              <w:t>3</w:t>
            </w:r>
          </w:p>
        </w:tc>
        <w:tc>
          <w:tcPr>
            <w:tcW w:type="dxa" w:w="2041"/>
          </w:tcPr>
          <w:p>
            <w:pPr>
              <w:spacing w:after="20"/>
            </w:pPr>
            <w:r/>
            <w:r>
              <w:rPr>
                <w:b w:val="0"/>
                <w:sz w:val="16"/>
              </w:rPr>
              <w:t>Monte Carlo capability (RA-18)</w:t>
            </w:r>
          </w:p>
        </w:tc>
        <w:tc>
          <w:tcPr>
            <w:tcW w:type="dxa" w:w="2268"/>
          </w:tcPr>
          <w:p>
            <w:pPr>
              <w:spacing w:after="20"/>
            </w:pPr>
            <w:r/>
            <w:r>
              <w:rPr>
                <w:b w:val="0"/>
                <w:sz w:val="16"/>
              </w:rPr>
              <w:t>Native in the tool; export to Excel</w:t>
            </w:r>
          </w:p>
        </w:tc>
        <w:tc>
          <w:tcPr>
            <w:tcW w:type="dxa" w:w="3175"/>
          </w:tcPr>
          <w:p>
            <w:pPr>
              <w:spacing w:after="20"/>
            </w:pPr>
            <w:r/>
            <w:r>
              <w:rPr>
                <w:b w:val="0"/>
                <w:sz w:val="16"/>
              </w:rPr>
              <w:t>Accept export to Excel for release 1; review need after first year</w:t>
            </w:r>
          </w:p>
        </w:tc>
        <w:tc>
          <w:tcPr>
            <w:tcW w:type="dxa" w:w="1531"/>
          </w:tcPr>
          <w:p>
            <w:pPr>
              <w:spacing w:after="20"/>
            </w:pPr>
            <w:r/>
            <w:r>
              <w:rPr>
                <w:b w:val="0"/>
                <w:sz w:val="16"/>
              </w:rPr>
              <w:t>Manager Risk Mgmt</w:t>
            </w:r>
          </w:p>
        </w:tc>
      </w:tr>
      <w:tr>
        <w:tc>
          <w:tcPr>
            <w:tcW w:type="dxa" w:w="397"/>
            <w:shd w:val="clear" w:color="auto" w:fill="EBF5FB"/>
          </w:tcPr>
          <w:p>
            <w:pPr>
              <w:spacing w:after="20"/>
            </w:pPr>
            <w:r/>
            <w:r>
              <w:rPr>
                <w:b w:val="0"/>
                <w:sz w:val="16"/>
              </w:rPr>
              <w:t>4</w:t>
            </w:r>
          </w:p>
        </w:tc>
        <w:tc>
          <w:tcPr>
            <w:tcW w:type="dxa" w:w="2041"/>
            <w:shd w:val="clear" w:color="auto" w:fill="EBF5FB"/>
          </w:tcPr>
          <w:p>
            <w:pPr>
              <w:spacing w:after="20"/>
            </w:pPr>
            <w:r/>
            <w:r>
              <w:rPr>
                <w:b w:val="0"/>
                <w:sz w:val="16"/>
              </w:rPr>
              <w:t>Licensing model</w:t>
            </w:r>
          </w:p>
        </w:tc>
        <w:tc>
          <w:tcPr>
            <w:tcW w:type="dxa" w:w="2268"/>
            <w:shd w:val="clear" w:color="auto" w:fill="EBF5FB"/>
          </w:tcPr>
          <w:p>
            <w:pPr>
              <w:spacing w:after="20"/>
            </w:pPr>
            <w:r/>
            <w:r>
              <w:rPr>
                <w:b w:val="0"/>
                <w:sz w:val="16"/>
              </w:rPr>
              <w:t>Named users; enterprise licence</w:t>
            </w:r>
          </w:p>
        </w:tc>
        <w:tc>
          <w:tcPr>
            <w:tcW w:type="dxa" w:w="3175"/>
            <w:shd w:val="clear" w:color="auto" w:fill="EBF5FB"/>
          </w:tcPr>
          <w:p>
            <w:pPr>
              <w:spacing w:after="20"/>
            </w:pPr>
            <w:r/>
            <w:r>
              <w:rPr>
                <w:b w:val="0"/>
                <w:sz w:val="16"/>
              </w:rPr>
              <w:t>Request both; choose on 5-year TCO</w:t>
            </w:r>
          </w:p>
        </w:tc>
        <w:tc>
          <w:tcPr>
            <w:tcW w:type="dxa" w:w="1531"/>
            <w:shd w:val="clear" w:color="auto" w:fill="EBF5FB"/>
          </w:tcPr>
          <w:p>
            <w:pPr>
              <w:spacing w:after="20"/>
            </w:pPr>
            <w:r/>
            <w:r>
              <w:rPr>
                <w:b w:val="0"/>
                <w:sz w:val="16"/>
              </w:rPr>
              <w:t>Supply Chain, at evaluation</w:t>
            </w:r>
          </w:p>
        </w:tc>
      </w:tr>
    </w:tbl>
    <w:p>
      <w:pPr>
        <w:spacing w:after="40"/>
      </w:pPr>
    </w:p>
    <w:p>
      <w:pPr>
        <w:pStyle w:val="Heading1"/>
      </w:pPr>
      <w:r>
        <w:t>18. Prerequisites: Framework Items to Settle Before Configuration</w:t>
      </w:r>
    </w:p>
    <w:p>
      <w:r>
        <w:rPr>
          <w:i w:val="0"/>
        </w:rPr>
        <w:t>The system will hard-code the methodology, so the following points in the ERM Framework (NSSF/ERM/PD/03, Issue 02) should be corrected at its next review to avoid configuring inconsistencies:</w:t>
      </w:r>
    </w:p>
    <w:p>
      <w:pPr>
        <w:pStyle w:val="ListBullet"/>
        <w:spacing w:after="60"/>
      </w:pPr>
      <w:r>
        <w:t>Document number appears as both NSSF/ERM/PD/03 and SF/IAR/PD/03.</w:t>
      </w:r>
    </w:p>
    <w:p>
      <w:pPr>
        <w:pStyle w:val="ListBullet"/>
        <w:spacing w:after="60"/>
      </w:pPr>
      <w:r>
        <w:t>Annex 12.3 refers to the "Manager, Internal Audit &amp; Risk", a legacy title. Risk Champions now report to the Manager, Risk Management.</w:t>
      </w:r>
    </w:p>
    <w:p>
      <w:pPr>
        <w:pStyle w:val="ListBullet"/>
        <w:spacing w:after="60"/>
      </w:pPr>
      <w:r>
        <w:t>The Information Security category cites ISO/IEC 27001:2013 while the references section and Annex A text cite the 2022 version.</w:t>
      </w:r>
    </w:p>
    <w:p>
      <w:pPr>
        <w:pStyle w:val="ListBullet"/>
        <w:spacing w:after="60"/>
      </w:pPr>
      <w:r>
        <w:t>The Annex list numbers annexes 13.1, 13.2 and 12.4, while the body cites 12.1 to 12.4. Annex 12.1 (the Risk Assessment Matrix) should hold the full likelihood and impact descriptors the system will load.</w:t>
      </w:r>
    </w:p>
    <w:p>
      <w:pPr>
        <w:pStyle w:val="ListBullet"/>
        <w:spacing w:after="60"/>
      </w:pPr>
      <w:r>
        <w:t>The Medium band is written as 5-12 in Table 3 and as 5-14 in some departmental templates. On a 5×5 product scale no score of 13 or 14 is possible, so both give identical results; standardise the wording on 5-12.</w:t>
      </w:r>
    </w:p>
    <w:p>
      <w:pPr>
        <w:pStyle w:val="ListBullet"/>
        <w:spacing w:after="60"/>
      </w:pPr>
      <w:r>
        <w:t>The Risk Appetite Statement referred to in Section 8 must be current and Board-approved, because RA-10 and KR-01 depend on it.</w:t>
      </w:r>
    </w:p>
    <w:p>
      <w:pPr>
        <w:pStyle w:val="Heading1"/>
      </w:pPr>
      <w:r>
        <w:t>19. Next Steps</w:t>
      </w:r>
    </w:p>
    <w:tbl>
      <w:tblPr>
        <w:tblStyle w:val="TableGrid"/>
        <w:tblW w:type="auto" w:w="0"/>
        <w:jc w:val="center"/>
        <w:tblLayout w:type="fixed"/>
        <w:tblLook w:firstColumn="1" w:firstRow="1" w:lastColumn="0" w:lastRow="0" w:noHBand="0" w:noVBand="1" w:val="04A0"/>
      </w:tblPr>
      <w:tblGrid>
        <w:gridCol w:w="397"/>
        <w:gridCol w:w="5102"/>
        <w:gridCol w:w="2381"/>
        <w:gridCol w:w="1531"/>
      </w:tblGrid>
      <w:tr>
        <w:trPr>
          <w:tblHeader w:val="true"/>
        </w:trPr>
        <w:tc>
          <w:tcPr>
            <w:tcW w:type="dxa" w:w="397"/>
            <w:shd w:val="clear" w:color="auto" w:fill="1A5276"/>
          </w:tcPr>
          <w:p>
            <w:r/>
            <w:r>
              <w:rPr>
                <w:b/>
                <w:color w:val="FFFFFF"/>
                <w:sz w:val="17"/>
              </w:rPr>
              <w:t>#</w:t>
            </w:r>
          </w:p>
        </w:tc>
        <w:tc>
          <w:tcPr>
            <w:tcW w:type="dxa" w:w="5102"/>
            <w:shd w:val="clear" w:color="auto" w:fill="1A5276"/>
          </w:tcPr>
          <w:p>
            <w:r/>
            <w:r>
              <w:rPr>
                <w:b/>
                <w:color w:val="FFFFFF"/>
                <w:sz w:val="17"/>
              </w:rPr>
              <w:t>Action</w:t>
            </w:r>
          </w:p>
        </w:tc>
        <w:tc>
          <w:tcPr>
            <w:tcW w:type="dxa" w:w="2381"/>
            <w:shd w:val="clear" w:color="auto" w:fill="1A5276"/>
          </w:tcPr>
          <w:p>
            <w:r/>
            <w:r>
              <w:rPr>
                <w:b/>
                <w:color w:val="FFFFFF"/>
                <w:sz w:val="17"/>
              </w:rPr>
              <w:t>Owner</w:t>
            </w:r>
          </w:p>
        </w:tc>
        <w:tc>
          <w:tcPr>
            <w:tcW w:type="dxa" w:w="1531"/>
            <w:shd w:val="clear" w:color="auto" w:fill="1A5276"/>
          </w:tcPr>
          <w:p>
            <w:r/>
            <w:r>
              <w:rPr>
                <w:b/>
                <w:color w:val="FFFFFF"/>
                <w:sz w:val="17"/>
              </w:rPr>
              <w:t>Due</w:t>
            </w:r>
          </w:p>
        </w:tc>
      </w:tr>
      <w:tr>
        <w:tc>
          <w:tcPr>
            <w:tcW w:type="dxa" w:w="397"/>
          </w:tcPr>
          <w:p>
            <w:pPr>
              <w:spacing w:after="20"/>
            </w:pPr>
            <w:r/>
            <w:r>
              <w:rPr>
                <w:b w:val="0"/>
                <w:sz w:val="17"/>
              </w:rPr>
              <w:t>1</w:t>
            </w:r>
          </w:p>
        </w:tc>
        <w:tc>
          <w:tcPr>
            <w:tcW w:type="dxa" w:w="5102"/>
          </w:tcPr>
          <w:p>
            <w:pPr>
              <w:spacing w:after="20"/>
            </w:pPr>
            <w:r/>
            <w:r>
              <w:rPr>
                <w:b w:val="0"/>
                <w:sz w:val="17"/>
              </w:rPr>
              <w:t>Review this draft with the RM Dept team leads (Risk, BCM, Compliance) and confirm Section 2.2 gaps</w:t>
            </w:r>
          </w:p>
        </w:tc>
        <w:tc>
          <w:tcPr>
            <w:tcW w:type="dxa" w:w="2381"/>
          </w:tcPr>
          <w:p>
            <w:pPr>
              <w:spacing w:after="20"/>
            </w:pPr>
            <w:r/>
            <w:r>
              <w:rPr>
                <w:b w:val="0"/>
                <w:sz w:val="17"/>
              </w:rPr>
              <w:t>Manager, Risk Management</w:t>
            </w:r>
          </w:p>
        </w:tc>
        <w:tc>
          <w:tcPr>
            <w:tcW w:type="dxa" w:w="1531"/>
          </w:tcPr>
          <w:p>
            <w:pPr>
              <w:spacing w:after="20"/>
            </w:pPr>
            <w:r/>
            <w:r>
              <w:rPr>
                <w:b w:val="0"/>
                <w:sz w:val="17"/>
              </w:rPr>
              <w:t>2 weeks</w:t>
            </w:r>
          </w:p>
        </w:tc>
      </w:tr>
      <w:tr>
        <w:tc>
          <w:tcPr>
            <w:tcW w:type="dxa" w:w="397"/>
            <w:shd w:val="clear" w:color="auto" w:fill="EBF5FB"/>
          </w:tcPr>
          <w:p>
            <w:pPr>
              <w:spacing w:after="20"/>
            </w:pPr>
            <w:r/>
            <w:r>
              <w:rPr>
                <w:b w:val="0"/>
                <w:sz w:val="17"/>
              </w:rPr>
              <w:t>2</w:t>
            </w:r>
          </w:p>
        </w:tc>
        <w:tc>
          <w:tcPr>
            <w:tcW w:type="dxa" w:w="5102"/>
            <w:shd w:val="clear" w:color="auto" w:fill="EBF5FB"/>
          </w:tcPr>
          <w:p>
            <w:pPr>
              <w:spacing w:after="20"/>
            </w:pPr>
            <w:r/>
            <w:r>
              <w:rPr>
                <w:b w:val="0"/>
                <w:sz w:val="17"/>
              </w:rPr>
              <w:t>ICT review of Sections 9 and 10; Legal review of Section 5 and data residency</w:t>
            </w:r>
          </w:p>
        </w:tc>
        <w:tc>
          <w:tcPr>
            <w:tcW w:type="dxa" w:w="2381"/>
            <w:shd w:val="clear" w:color="auto" w:fill="EBF5FB"/>
          </w:tcPr>
          <w:p>
            <w:pPr>
              <w:spacing w:after="20"/>
            </w:pPr>
            <w:r/>
            <w:r>
              <w:rPr>
                <w:b w:val="0"/>
                <w:sz w:val="17"/>
              </w:rPr>
              <w:t>Manager ICT; Legal Services</w:t>
            </w:r>
          </w:p>
        </w:tc>
        <w:tc>
          <w:tcPr>
            <w:tcW w:type="dxa" w:w="1531"/>
            <w:shd w:val="clear" w:color="auto" w:fill="EBF5FB"/>
          </w:tcPr>
          <w:p>
            <w:pPr>
              <w:spacing w:after="20"/>
            </w:pPr>
            <w:r/>
            <w:r>
              <w:rPr>
                <w:b w:val="0"/>
                <w:sz w:val="17"/>
              </w:rPr>
              <w:t>3 weeks</w:t>
            </w:r>
          </w:p>
        </w:tc>
      </w:tr>
      <w:tr>
        <w:tc>
          <w:tcPr>
            <w:tcW w:type="dxa" w:w="397"/>
          </w:tcPr>
          <w:p>
            <w:pPr>
              <w:spacing w:after="20"/>
            </w:pPr>
            <w:r/>
            <w:r>
              <w:rPr>
                <w:b w:val="0"/>
                <w:sz w:val="17"/>
              </w:rPr>
              <w:t>3</w:t>
            </w:r>
          </w:p>
        </w:tc>
        <w:tc>
          <w:tcPr>
            <w:tcW w:type="dxa" w:w="5102"/>
          </w:tcPr>
          <w:p>
            <w:pPr>
              <w:spacing w:after="20"/>
            </w:pPr>
            <w:r/>
            <w:r>
              <w:rPr>
                <w:b w:val="0"/>
                <w:sz w:val="17"/>
              </w:rPr>
              <w:t>Resolve decision 1 (GRC Module versus separate system)</w:t>
            </w:r>
          </w:p>
        </w:tc>
        <w:tc>
          <w:tcPr>
            <w:tcW w:type="dxa" w:w="2381"/>
          </w:tcPr>
          <w:p>
            <w:pPr>
              <w:spacing w:after="20"/>
            </w:pPr>
            <w:r/>
            <w:r>
              <w:rPr>
                <w:b w:val="0"/>
                <w:sz w:val="17"/>
              </w:rPr>
              <w:t>Steering Committee</w:t>
            </w:r>
          </w:p>
        </w:tc>
        <w:tc>
          <w:tcPr>
            <w:tcW w:type="dxa" w:w="1531"/>
          </w:tcPr>
          <w:p>
            <w:pPr>
              <w:spacing w:after="20"/>
            </w:pPr>
            <w:r/>
            <w:r>
              <w:rPr>
                <w:b w:val="0"/>
                <w:sz w:val="17"/>
              </w:rPr>
              <w:t>4 weeks</w:t>
            </w:r>
          </w:p>
        </w:tc>
      </w:tr>
      <w:tr>
        <w:tc>
          <w:tcPr>
            <w:tcW w:type="dxa" w:w="397"/>
            <w:shd w:val="clear" w:color="auto" w:fill="EBF5FB"/>
          </w:tcPr>
          <w:p>
            <w:pPr>
              <w:spacing w:after="20"/>
            </w:pPr>
            <w:r/>
            <w:r>
              <w:rPr>
                <w:b w:val="0"/>
                <w:sz w:val="17"/>
              </w:rPr>
              <w:t>4</w:t>
            </w:r>
          </w:p>
        </w:tc>
        <w:tc>
          <w:tcPr>
            <w:tcW w:type="dxa" w:w="5102"/>
            <w:shd w:val="clear" w:color="auto" w:fill="EBF5FB"/>
          </w:tcPr>
          <w:p>
            <w:pPr>
              <w:spacing w:after="20"/>
            </w:pPr>
            <w:r/>
            <w:r>
              <w:rPr>
                <w:b w:val="0"/>
                <w:sz w:val="17"/>
              </w:rPr>
              <w:t>Prepare the 5 NSSF demo scripts for the scripted demonstration in Section 15.2</w:t>
            </w:r>
          </w:p>
        </w:tc>
        <w:tc>
          <w:tcPr>
            <w:tcW w:type="dxa" w:w="2381"/>
            <w:shd w:val="clear" w:color="auto" w:fill="EBF5FB"/>
          </w:tcPr>
          <w:p>
            <w:pPr>
              <w:spacing w:after="20"/>
            </w:pPr>
            <w:r/>
            <w:r>
              <w:rPr>
                <w:b w:val="0"/>
                <w:sz w:val="17"/>
              </w:rPr>
              <w:t>RM Dept</w:t>
            </w:r>
          </w:p>
        </w:tc>
        <w:tc>
          <w:tcPr>
            <w:tcW w:type="dxa" w:w="1531"/>
            <w:shd w:val="clear" w:color="auto" w:fill="EBF5FB"/>
          </w:tcPr>
          <w:p>
            <w:pPr>
              <w:spacing w:after="20"/>
            </w:pPr>
            <w:r/>
            <w:r>
              <w:rPr>
                <w:b w:val="0"/>
                <w:sz w:val="17"/>
              </w:rPr>
              <w:t>5 weeks</w:t>
            </w:r>
          </w:p>
        </w:tc>
      </w:tr>
      <w:tr>
        <w:tc>
          <w:tcPr>
            <w:tcW w:type="dxa" w:w="397"/>
          </w:tcPr>
          <w:p>
            <w:pPr>
              <w:spacing w:after="20"/>
            </w:pPr>
            <w:r/>
            <w:r>
              <w:rPr>
                <w:b w:val="0"/>
                <w:sz w:val="17"/>
              </w:rPr>
              <w:t>5</w:t>
            </w:r>
          </w:p>
        </w:tc>
        <w:tc>
          <w:tcPr>
            <w:tcW w:type="dxa" w:w="5102"/>
          </w:tcPr>
          <w:p>
            <w:pPr>
              <w:spacing w:after="20"/>
            </w:pPr>
            <w:r/>
            <w:r>
              <w:rPr>
                <w:b w:val="0"/>
                <w:sz w:val="17"/>
              </w:rPr>
              <w:t>Submit final TOR to Supply Chain Management for tender</w:t>
            </w:r>
          </w:p>
        </w:tc>
        <w:tc>
          <w:tcPr>
            <w:tcW w:type="dxa" w:w="2381"/>
          </w:tcPr>
          <w:p>
            <w:pPr>
              <w:spacing w:after="20"/>
            </w:pPr>
            <w:r/>
            <w:r>
              <w:rPr>
                <w:b w:val="0"/>
                <w:sz w:val="17"/>
              </w:rPr>
              <w:t>Manager, Risk Management</w:t>
            </w:r>
          </w:p>
        </w:tc>
        <w:tc>
          <w:tcPr>
            <w:tcW w:type="dxa" w:w="1531"/>
          </w:tcPr>
          <w:p>
            <w:pPr>
              <w:spacing w:after="20"/>
            </w:pPr>
            <w:r/>
            <w:r>
              <w:rPr>
                <w:b w:val="0"/>
                <w:sz w:val="17"/>
              </w:rPr>
              <w:t>6 weeks</w:t>
            </w:r>
          </w:p>
        </w:tc>
      </w:tr>
    </w:tbl>
    <w:p>
      <w:pPr>
        <w:spacing w:after="40"/>
      </w:pPr>
    </w:p>
    <w:p>
      <w:r>
        <w:br w:type="page"/>
      </w:r>
    </w:p>
    <w:p>
      <w:pPr>
        <w:pStyle w:val="Heading1"/>
      </w:pPr>
      <w:r>
        <w:t>Annex A: NSSF Risk Matrix to Be Configured</w:t>
      </w:r>
    </w:p>
    <w:p>
      <w:r>
        <w:rPr>
          <w:i w:val="0"/>
        </w:rPr>
        <w:t>Score = Likelihood × Impact. Ratings per ERM Framework Table 3.</w:t>
      </w:r>
    </w:p>
    <w:tbl>
      <w:tblPr>
        <w:tblStyle w:val="TableGrid"/>
        <w:tblW w:type="auto" w:w="0"/>
        <w:jc w:val="center"/>
        <w:tblLayout w:type="fixed"/>
        <w:tblLook w:firstColumn="1" w:firstRow="1" w:lastColumn="0" w:lastRow="0" w:noHBand="0" w:noVBand="1" w:val="04A0"/>
      </w:tblPr>
      <w:tblGrid>
        <w:gridCol w:w="2041"/>
        <w:gridCol w:w="1474"/>
        <w:gridCol w:w="1474"/>
        <w:gridCol w:w="1474"/>
        <w:gridCol w:w="1474"/>
        <w:gridCol w:w="1474"/>
      </w:tblGrid>
      <w:tr>
        <w:trPr>
          <w:tblHeader w:val="true"/>
        </w:trPr>
        <w:tc>
          <w:tcPr>
            <w:tcW w:type="dxa" w:w="2041"/>
            <w:shd w:val="clear" w:color="auto" w:fill="1A5276"/>
          </w:tcPr>
          <w:p>
            <w:r/>
            <w:r>
              <w:rPr>
                <w:b/>
                <w:color w:val="FFFFFF"/>
                <w:sz w:val="17"/>
              </w:rPr>
              <w:t>Likelihood \ Impact</w:t>
            </w:r>
          </w:p>
        </w:tc>
        <w:tc>
          <w:tcPr>
            <w:tcW w:type="dxa" w:w="1474"/>
            <w:shd w:val="clear" w:color="auto" w:fill="1A5276"/>
          </w:tcPr>
          <w:p>
            <w:r/>
            <w:r>
              <w:rPr>
                <w:b/>
                <w:color w:val="FFFFFF"/>
                <w:sz w:val="17"/>
              </w:rPr>
              <w:t>1 Insignificant</w:t>
            </w:r>
          </w:p>
        </w:tc>
        <w:tc>
          <w:tcPr>
            <w:tcW w:type="dxa" w:w="1474"/>
            <w:shd w:val="clear" w:color="auto" w:fill="1A5276"/>
          </w:tcPr>
          <w:p>
            <w:r/>
            <w:r>
              <w:rPr>
                <w:b/>
                <w:color w:val="FFFFFF"/>
                <w:sz w:val="17"/>
              </w:rPr>
              <w:t>2 Minor</w:t>
            </w:r>
          </w:p>
        </w:tc>
        <w:tc>
          <w:tcPr>
            <w:tcW w:type="dxa" w:w="1474"/>
            <w:shd w:val="clear" w:color="auto" w:fill="1A5276"/>
          </w:tcPr>
          <w:p>
            <w:r/>
            <w:r>
              <w:rPr>
                <w:b/>
                <w:color w:val="FFFFFF"/>
                <w:sz w:val="17"/>
              </w:rPr>
              <w:t>3 Moderate</w:t>
            </w:r>
          </w:p>
        </w:tc>
        <w:tc>
          <w:tcPr>
            <w:tcW w:type="dxa" w:w="1474"/>
            <w:shd w:val="clear" w:color="auto" w:fill="1A5276"/>
          </w:tcPr>
          <w:p>
            <w:r/>
            <w:r>
              <w:rPr>
                <w:b/>
                <w:color w:val="FFFFFF"/>
                <w:sz w:val="17"/>
              </w:rPr>
              <w:t>4 Major</w:t>
            </w:r>
          </w:p>
        </w:tc>
        <w:tc>
          <w:tcPr>
            <w:tcW w:type="dxa" w:w="1474"/>
            <w:shd w:val="clear" w:color="auto" w:fill="1A5276"/>
          </w:tcPr>
          <w:p>
            <w:r/>
            <w:r>
              <w:rPr>
                <w:b/>
                <w:color w:val="FFFFFF"/>
                <w:sz w:val="17"/>
              </w:rPr>
              <w:t>5 Catastrophic</w:t>
            </w:r>
          </w:p>
        </w:tc>
      </w:tr>
      <w:tr>
        <w:tc>
          <w:tcPr>
            <w:tcW w:type="dxa" w:w="2041"/>
            <w:shd w:val="clear" w:color="auto" w:fill="FFFFFF"/>
          </w:tcPr>
          <w:p>
            <w:pPr>
              <w:spacing w:after="20"/>
            </w:pPr>
            <w:r/>
            <w:r>
              <w:rPr>
                <w:b w:val="0"/>
                <w:sz w:val="17"/>
              </w:rPr>
              <w:t>5 Almost Certain</w:t>
            </w:r>
          </w:p>
        </w:tc>
        <w:tc>
          <w:tcPr>
            <w:tcW w:type="dxa" w:w="1474"/>
            <w:shd w:val="clear" w:color="auto" w:fill="FCF3CF"/>
          </w:tcPr>
          <w:p>
            <w:pPr>
              <w:spacing w:after="20"/>
            </w:pPr>
            <w:r/>
            <w:r>
              <w:rPr>
                <w:b w:val="0"/>
                <w:sz w:val="17"/>
              </w:rPr>
              <w:t>5</w:t>
            </w:r>
          </w:p>
        </w:tc>
        <w:tc>
          <w:tcPr>
            <w:tcW w:type="dxa" w:w="1474"/>
            <w:shd w:val="clear" w:color="auto" w:fill="FCF3CF"/>
          </w:tcPr>
          <w:p>
            <w:pPr>
              <w:spacing w:after="20"/>
            </w:pPr>
            <w:r/>
            <w:r>
              <w:rPr>
                <w:b w:val="0"/>
                <w:sz w:val="17"/>
              </w:rPr>
              <w:t>10</w:t>
            </w:r>
          </w:p>
        </w:tc>
        <w:tc>
          <w:tcPr>
            <w:tcW w:type="dxa" w:w="1474"/>
            <w:shd w:val="clear" w:color="auto" w:fill="FADBD8"/>
          </w:tcPr>
          <w:p>
            <w:pPr>
              <w:spacing w:after="20"/>
            </w:pPr>
            <w:r/>
            <w:r>
              <w:rPr>
                <w:b w:val="0"/>
                <w:sz w:val="17"/>
              </w:rPr>
              <w:t>15</w:t>
            </w:r>
          </w:p>
        </w:tc>
        <w:tc>
          <w:tcPr>
            <w:tcW w:type="dxa" w:w="1474"/>
            <w:shd w:val="clear" w:color="auto" w:fill="FADBD8"/>
          </w:tcPr>
          <w:p>
            <w:pPr>
              <w:spacing w:after="20"/>
            </w:pPr>
            <w:r/>
            <w:r>
              <w:rPr>
                <w:b w:val="0"/>
                <w:sz w:val="17"/>
              </w:rPr>
              <w:t>20</w:t>
            </w:r>
          </w:p>
        </w:tc>
        <w:tc>
          <w:tcPr>
            <w:tcW w:type="dxa" w:w="1474"/>
            <w:shd w:val="clear" w:color="auto" w:fill="FADBD8"/>
          </w:tcPr>
          <w:p>
            <w:pPr>
              <w:spacing w:after="20"/>
            </w:pPr>
            <w:r/>
            <w:r>
              <w:rPr>
                <w:b w:val="0"/>
                <w:sz w:val="17"/>
              </w:rPr>
              <w:t>25</w:t>
            </w:r>
          </w:p>
        </w:tc>
      </w:tr>
      <w:tr>
        <w:tc>
          <w:tcPr>
            <w:tcW w:type="dxa" w:w="2041"/>
            <w:shd w:val="clear" w:color="auto" w:fill="FFFFFF"/>
          </w:tcPr>
          <w:p>
            <w:pPr>
              <w:spacing w:after="20"/>
            </w:pPr>
            <w:r/>
            <w:r>
              <w:rPr>
                <w:b w:val="0"/>
                <w:sz w:val="17"/>
              </w:rPr>
              <w:t>4 Likely</w:t>
            </w:r>
          </w:p>
        </w:tc>
        <w:tc>
          <w:tcPr>
            <w:tcW w:type="dxa" w:w="1474"/>
            <w:shd w:val="clear" w:color="auto" w:fill="D5F5E3"/>
          </w:tcPr>
          <w:p>
            <w:pPr>
              <w:spacing w:after="20"/>
            </w:pPr>
            <w:r/>
            <w:r>
              <w:rPr>
                <w:b w:val="0"/>
                <w:sz w:val="17"/>
              </w:rPr>
              <w:t>4</w:t>
            </w:r>
          </w:p>
        </w:tc>
        <w:tc>
          <w:tcPr>
            <w:tcW w:type="dxa" w:w="1474"/>
            <w:shd w:val="clear" w:color="auto" w:fill="FCF3CF"/>
          </w:tcPr>
          <w:p>
            <w:pPr>
              <w:spacing w:after="20"/>
            </w:pPr>
            <w:r/>
            <w:r>
              <w:rPr>
                <w:b w:val="0"/>
                <w:sz w:val="17"/>
              </w:rPr>
              <w:t>8</w:t>
            </w:r>
          </w:p>
        </w:tc>
        <w:tc>
          <w:tcPr>
            <w:tcW w:type="dxa" w:w="1474"/>
            <w:shd w:val="clear" w:color="auto" w:fill="FCF3CF"/>
          </w:tcPr>
          <w:p>
            <w:pPr>
              <w:spacing w:after="20"/>
            </w:pPr>
            <w:r/>
            <w:r>
              <w:rPr>
                <w:b w:val="0"/>
                <w:sz w:val="17"/>
              </w:rPr>
              <w:t>12</w:t>
            </w:r>
          </w:p>
        </w:tc>
        <w:tc>
          <w:tcPr>
            <w:tcW w:type="dxa" w:w="1474"/>
            <w:shd w:val="clear" w:color="auto" w:fill="FADBD8"/>
          </w:tcPr>
          <w:p>
            <w:pPr>
              <w:spacing w:after="20"/>
            </w:pPr>
            <w:r/>
            <w:r>
              <w:rPr>
                <w:b w:val="0"/>
                <w:sz w:val="17"/>
              </w:rPr>
              <w:t>16</w:t>
            </w:r>
          </w:p>
        </w:tc>
        <w:tc>
          <w:tcPr>
            <w:tcW w:type="dxa" w:w="1474"/>
            <w:shd w:val="clear" w:color="auto" w:fill="FADBD8"/>
          </w:tcPr>
          <w:p>
            <w:pPr>
              <w:spacing w:after="20"/>
            </w:pPr>
            <w:r/>
            <w:r>
              <w:rPr>
                <w:b w:val="0"/>
                <w:sz w:val="17"/>
              </w:rPr>
              <w:t>20</w:t>
            </w:r>
          </w:p>
        </w:tc>
      </w:tr>
      <w:tr>
        <w:tc>
          <w:tcPr>
            <w:tcW w:type="dxa" w:w="2041"/>
            <w:shd w:val="clear" w:color="auto" w:fill="FFFFFF"/>
          </w:tcPr>
          <w:p>
            <w:pPr>
              <w:spacing w:after="20"/>
            </w:pPr>
            <w:r/>
            <w:r>
              <w:rPr>
                <w:b w:val="0"/>
                <w:sz w:val="17"/>
              </w:rPr>
              <w:t>3 Possible</w:t>
            </w:r>
          </w:p>
        </w:tc>
        <w:tc>
          <w:tcPr>
            <w:tcW w:type="dxa" w:w="1474"/>
            <w:shd w:val="clear" w:color="auto" w:fill="D5F5E3"/>
          </w:tcPr>
          <w:p>
            <w:pPr>
              <w:spacing w:after="20"/>
            </w:pPr>
            <w:r/>
            <w:r>
              <w:rPr>
                <w:b w:val="0"/>
                <w:sz w:val="17"/>
              </w:rPr>
              <w:t>3</w:t>
            </w:r>
          </w:p>
        </w:tc>
        <w:tc>
          <w:tcPr>
            <w:tcW w:type="dxa" w:w="1474"/>
            <w:shd w:val="clear" w:color="auto" w:fill="FCF3CF"/>
          </w:tcPr>
          <w:p>
            <w:pPr>
              <w:spacing w:after="20"/>
            </w:pPr>
            <w:r/>
            <w:r>
              <w:rPr>
                <w:b w:val="0"/>
                <w:sz w:val="17"/>
              </w:rPr>
              <w:t>6</w:t>
            </w:r>
          </w:p>
        </w:tc>
        <w:tc>
          <w:tcPr>
            <w:tcW w:type="dxa" w:w="1474"/>
            <w:shd w:val="clear" w:color="auto" w:fill="FCF3CF"/>
          </w:tcPr>
          <w:p>
            <w:pPr>
              <w:spacing w:after="20"/>
            </w:pPr>
            <w:r/>
            <w:r>
              <w:rPr>
                <w:b w:val="0"/>
                <w:sz w:val="17"/>
              </w:rPr>
              <w:t>9</w:t>
            </w:r>
          </w:p>
        </w:tc>
        <w:tc>
          <w:tcPr>
            <w:tcW w:type="dxa" w:w="1474"/>
            <w:shd w:val="clear" w:color="auto" w:fill="FCF3CF"/>
          </w:tcPr>
          <w:p>
            <w:pPr>
              <w:spacing w:after="20"/>
            </w:pPr>
            <w:r/>
            <w:r>
              <w:rPr>
                <w:b w:val="0"/>
                <w:sz w:val="17"/>
              </w:rPr>
              <w:t>12</w:t>
            </w:r>
          </w:p>
        </w:tc>
        <w:tc>
          <w:tcPr>
            <w:tcW w:type="dxa" w:w="1474"/>
            <w:shd w:val="clear" w:color="auto" w:fill="FADBD8"/>
          </w:tcPr>
          <w:p>
            <w:pPr>
              <w:spacing w:after="20"/>
            </w:pPr>
            <w:r/>
            <w:r>
              <w:rPr>
                <w:b w:val="0"/>
                <w:sz w:val="17"/>
              </w:rPr>
              <w:t>15</w:t>
            </w:r>
          </w:p>
        </w:tc>
      </w:tr>
      <w:tr>
        <w:tc>
          <w:tcPr>
            <w:tcW w:type="dxa" w:w="2041"/>
            <w:shd w:val="clear" w:color="auto" w:fill="FFFFFF"/>
          </w:tcPr>
          <w:p>
            <w:pPr>
              <w:spacing w:after="20"/>
            </w:pPr>
            <w:r/>
            <w:r>
              <w:rPr>
                <w:b w:val="0"/>
                <w:sz w:val="17"/>
              </w:rPr>
              <w:t>2 Unlikely</w:t>
            </w:r>
          </w:p>
        </w:tc>
        <w:tc>
          <w:tcPr>
            <w:tcW w:type="dxa" w:w="1474"/>
            <w:shd w:val="clear" w:color="auto" w:fill="D5F5E3"/>
          </w:tcPr>
          <w:p>
            <w:pPr>
              <w:spacing w:after="20"/>
            </w:pPr>
            <w:r/>
            <w:r>
              <w:rPr>
                <w:b w:val="0"/>
                <w:sz w:val="17"/>
              </w:rPr>
              <w:t>2</w:t>
            </w:r>
          </w:p>
        </w:tc>
        <w:tc>
          <w:tcPr>
            <w:tcW w:type="dxa" w:w="1474"/>
            <w:shd w:val="clear" w:color="auto" w:fill="D5F5E3"/>
          </w:tcPr>
          <w:p>
            <w:pPr>
              <w:spacing w:after="20"/>
            </w:pPr>
            <w:r/>
            <w:r>
              <w:rPr>
                <w:b w:val="0"/>
                <w:sz w:val="17"/>
              </w:rPr>
              <w:t>4</w:t>
            </w:r>
          </w:p>
        </w:tc>
        <w:tc>
          <w:tcPr>
            <w:tcW w:type="dxa" w:w="1474"/>
            <w:shd w:val="clear" w:color="auto" w:fill="FCF3CF"/>
          </w:tcPr>
          <w:p>
            <w:pPr>
              <w:spacing w:after="20"/>
            </w:pPr>
            <w:r/>
            <w:r>
              <w:rPr>
                <w:b w:val="0"/>
                <w:sz w:val="17"/>
              </w:rPr>
              <w:t>6</w:t>
            </w:r>
          </w:p>
        </w:tc>
        <w:tc>
          <w:tcPr>
            <w:tcW w:type="dxa" w:w="1474"/>
            <w:shd w:val="clear" w:color="auto" w:fill="FCF3CF"/>
          </w:tcPr>
          <w:p>
            <w:pPr>
              <w:spacing w:after="20"/>
            </w:pPr>
            <w:r/>
            <w:r>
              <w:rPr>
                <w:b w:val="0"/>
                <w:sz w:val="17"/>
              </w:rPr>
              <w:t>8</w:t>
            </w:r>
          </w:p>
        </w:tc>
        <w:tc>
          <w:tcPr>
            <w:tcW w:type="dxa" w:w="1474"/>
            <w:shd w:val="clear" w:color="auto" w:fill="FCF3CF"/>
          </w:tcPr>
          <w:p>
            <w:pPr>
              <w:spacing w:after="20"/>
            </w:pPr>
            <w:r/>
            <w:r>
              <w:rPr>
                <w:b w:val="0"/>
                <w:sz w:val="17"/>
              </w:rPr>
              <w:t>10</w:t>
            </w:r>
          </w:p>
        </w:tc>
      </w:tr>
      <w:tr>
        <w:tc>
          <w:tcPr>
            <w:tcW w:type="dxa" w:w="2041"/>
            <w:shd w:val="clear" w:color="auto" w:fill="FFFFFF"/>
          </w:tcPr>
          <w:p>
            <w:pPr>
              <w:spacing w:after="20"/>
            </w:pPr>
            <w:r/>
            <w:r>
              <w:rPr>
                <w:b w:val="0"/>
                <w:sz w:val="17"/>
              </w:rPr>
              <w:t>1 Rare</w:t>
            </w:r>
          </w:p>
        </w:tc>
        <w:tc>
          <w:tcPr>
            <w:tcW w:type="dxa" w:w="1474"/>
            <w:shd w:val="clear" w:color="auto" w:fill="D5F5E3"/>
          </w:tcPr>
          <w:p>
            <w:pPr>
              <w:spacing w:after="20"/>
            </w:pPr>
            <w:r/>
            <w:r>
              <w:rPr>
                <w:b w:val="0"/>
                <w:sz w:val="17"/>
              </w:rPr>
              <w:t>1</w:t>
            </w:r>
          </w:p>
        </w:tc>
        <w:tc>
          <w:tcPr>
            <w:tcW w:type="dxa" w:w="1474"/>
            <w:shd w:val="clear" w:color="auto" w:fill="D5F5E3"/>
          </w:tcPr>
          <w:p>
            <w:pPr>
              <w:spacing w:after="20"/>
            </w:pPr>
            <w:r/>
            <w:r>
              <w:rPr>
                <w:b w:val="0"/>
                <w:sz w:val="17"/>
              </w:rPr>
              <w:t>2</w:t>
            </w:r>
          </w:p>
        </w:tc>
        <w:tc>
          <w:tcPr>
            <w:tcW w:type="dxa" w:w="1474"/>
            <w:shd w:val="clear" w:color="auto" w:fill="D5F5E3"/>
          </w:tcPr>
          <w:p>
            <w:pPr>
              <w:spacing w:after="20"/>
            </w:pPr>
            <w:r/>
            <w:r>
              <w:rPr>
                <w:b w:val="0"/>
                <w:sz w:val="17"/>
              </w:rPr>
              <w:t>3</w:t>
            </w:r>
          </w:p>
        </w:tc>
        <w:tc>
          <w:tcPr>
            <w:tcW w:type="dxa" w:w="1474"/>
            <w:shd w:val="clear" w:color="auto" w:fill="D5F5E3"/>
          </w:tcPr>
          <w:p>
            <w:pPr>
              <w:spacing w:after="20"/>
            </w:pPr>
            <w:r/>
            <w:r>
              <w:rPr>
                <w:b w:val="0"/>
                <w:sz w:val="17"/>
              </w:rPr>
              <w:t>4</w:t>
            </w:r>
          </w:p>
        </w:tc>
        <w:tc>
          <w:tcPr>
            <w:tcW w:type="dxa" w:w="1474"/>
            <w:shd w:val="clear" w:color="auto" w:fill="FCF3CF"/>
          </w:tcPr>
          <w:p>
            <w:pPr>
              <w:spacing w:after="20"/>
            </w:pPr>
            <w:r/>
            <w:r>
              <w:rPr>
                <w:b w:val="0"/>
                <w:sz w:val="17"/>
              </w:rPr>
              <w:t>5</w:t>
            </w:r>
          </w:p>
        </w:tc>
      </w:tr>
    </w:tbl>
    <w:p>
      <w:pPr>
        <w:spacing w:after="40"/>
      </w:pPr>
    </w:p>
    <w:tbl>
      <w:tblPr>
        <w:tblStyle w:val="TableGrid"/>
        <w:tblW w:type="auto" w:w="0"/>
        <w:jc w:val="center"/>
        <w:tblLayout w:type="fixed"/>
        <w:tblLook w:firstColumn="1" w:firstRow="1" w:lastColumn="0" w:lastRow="0" w:noHBand="0" w:noVBand="1" w:val="04A0"/>
      </w:tblPr>
      <w:tblGrid>
        <w:gridCol w:w="1247"/>
        <w:gridCol w:w="1134"/>
        <w:gridCol w:w="1701"/>
        <w:gridCol w:w="5329"/>
      </w:tblGrid>
      <w:tr>
        <w:trPr>
          <w:tblHeader w:val="true"/>
        </w:trPr>
        <w:tc>
          <w:tcPr>
            <w:tcW w:type="dxa" w:w="1247"/>
            <w:shd w:val="clear" w:color="auto" w:fill="1A5276"/>
          </w:tcPr>
          <w:p>
            <w:r/>
            <w:r>
              <w:rPr>
                <w:b/>
                <w:color w:val="FFFFFF"/>
                <w:sz w:val="17"/>
              </w:rPr>
              <w:t>Rating</w:t>
            </w:r>
          </w:p>
        </w:tc>
        <w:tc>
          <w:tcPr>
            <w:tcW w:type="dxa" w:w="1134"/>
            <w:shd w:val="clear" w:color="auto" w:fill="1A5276"/>
          </w:tcPr>
          <w:p>
            <w:r/>
            <w:r>
              <w:rPr>
                <w:b/>
                <w:color w:val="FFFFFF"/>
                <w:sz w:val="17"/>
              </w:rPr>
              <w:t>Score</w:t>
            </w:r>
          </w:p>
        </w:tc>
        <w:tc>
          <w:tcPr>
            <w:tcW w:type="dxa" w:w="1701"/>
            <w:shd w:val="clear" w:color="auto" w:fill="1A5276"/>
          </w:tcPr>
          <w:p>
            <w:r/>
            <w:r>
              <w:rPr>
                <w:b/>
                <w:color w:val="FFFFFF"/>
                <w:sz w:val="17"/>
              </w:rPr>
              <w:t>Acceptance</w:t>
            </w:r>
          </w:p>
        </w:tc>
        <w:tc>
          <w:tcPr>
            <w:tcW w:type="dxa" w:w="5329"/>
            <w:shd w:val="clear" w:color="auto" w:fill="1A5276"/>
          </w:tcPr>
          <w:p>
            <w:r/>
            <w:r>
              <w:rPr>
                <w:b/>
                <w:color w:val="FFFFFF"/>
                <w:sz w:val="17"/>
              </w:rPr>
              <w:t>Required action</w:t>
            </w:r>
          </w:p>
        </w:tc>
      </w:tr>
      <w:tr>
        <w:tc>
          <w:tcPr>
            <w:tcW w:type="dxa" w:w="1247"/>
            <w:shd w:val="clear" w:color="auto" w:fill="FADBD8"/>
          </w:tcPr>
          <w:p>
            <w:pPr>
              <w:spacing w:after="20"/>
            </w:pPr>
            <w:r/>
            <w:r>
              <w:rPr>
                <w:b w:val="0"/>
                <w:sz w:val="17"/>
              </w:rPr>
              <w:t>High</w:t>
            </w:r>
          </w:p>
        </w:tc>
        <w:tc>
          <w:tcPr>
            <w:tcW w:type="dxa" w:w="1134"/>
          </w:tcPr>
          <w:p>
            <w:pPr>
              <w:spacing w:after="20"/>
            </w:pPr>
            <w:r/>
            <w:r>
              <w:rPr>
                <w:b w:val="0"/>
                <w:sz w:val="17"/>
              </w:rPr>
              <w:t>15-25</w:t>
            </w:r>
          </w:p>
        </w:tc>
        <w:tc>
          <w:tcPr>
            <w:tcW w:type="dxa" w:w="1701"/>
          </w:tcPr>
          <w:p>
            <w:pPr>
              <w:spacing w:after="20"/>
            </w:pPr>
            <w:r/>
            <w:r>
              <w:rPr>
                <w:b w:val="0"/>
                <w:sz w:val="17"/>
              </w:rPr>
              <w:t>Unacceptable</w:t>
            </w:r>
          </w:p>
        </w:tc>
        <w:tc>
          <w:tcPr>
            <w:tcW w:type="dxa" w:w="5329"/>
          </w:tcPr>
          <w:p>
            <w:pPr>
              <w:spacing w:after="20"/>
            </w:pPr>
            <w:r/>
            <w:r>
              <w:rPr>
                <w:b w:val="0"/>
                <w:sz w:val="17"/>
              </w:rPr>
              <w:t>Immediate controls; detailed action plan at Senior Management and Board level</w:t>
            </w:r>
          </w:p>
        </w:tc>
      </w:tr>
      <w:tr>
        <w:tc>
          <w:tcPr>
            <w:tcW w:type="dxa" w:w="1247"/>
            <w:shd w:val="clear" w:color="auto" w:fill="FCF3CF"/>
          </w:tcPr>
          <w:p>
            <w:pPr>
              <w:spacing w:after="20"/>
            </w:pPr>
            <w:r/>
            <w:r>
              <w:rPr>
                <w:b w:val="0"/>
                <w:sz w:val="17"/>
              </w:rPr>
              <w:t>Medium</w:t>
            </w:r>
          </w:p>
        </w:tc>
        <w:tc>
          <w:tcPr>
            <w:tcW w:type="dxa" w:w="1134"/>
            <w:shd w:val="clear" w:color="auto" w:fill="EBF5FB"/>
          </w:tcPr>
          <w:p>
            <w:pPr>
              <w:spacing w:after="20"/>
            </w:pPr>
            <w:r/>
            <w:r>
              <w:rPr>
                <w:b w:val="0"/>
                <w:sz w:val="17"/>
              </w:rPr>
              <w:t>5-12</w:t>
            </w:r>
          </w:p>
        </w:tc>
        <w:tc>
          <w:tcPr>
            <w:tcW w:type="dxa" w:w="1701"/>
            <w:shd w:val="clear" w:color="auto" w:fill="EBF5FB"/>
          </w:tcPr>
          <w:p>
            <w:pPr>
              <w:spacing w:after="20"/>
            </w:pPr>
            <w:r/>
            <w:r>
              <w:rPr>
                <w:b w:val="0"/>
                <w:sz w:val="17"/>
              </w:rPr>
              <w:t>Tolerable</w:t>
            </w:r>
          </w:p>
        </w:tc>
        <w:tc>
          <w:tcPr>
            <w:tcW w:type="dxa" w:w="5329"/>
            <w:shd w:val="clear" w:color="auto" w:fill="EBF5FB"/>
          </w:tcPr>
          <w:p>
            <w:pPr>
              <w:spacing w:after="20"/>
            </w:pPr>
            <w:r/>
            <w:r>
              <w:rPr>
                <w:b w:val="0"/>
                <w:sz w:val="17"/>
              </w:rPr>
              <w:t>Controls required; management attention</w:t>
            </w:r>
          </w:p>
        </w:tc>
      </w:tr>
      <w:tr>
        <w:tc>
          <w:tcPr>
            <w:tcW w:type="dxa" w:w="1247"/>
            <w:shd w:val="clear" w:color="auto" w:fill="D5F5E3"/>
          </w:tcPr>
          <w:p>
            <w:pPr>
              <w:spacing w:after="20"/>
            </w:pPr>
            <w:r/>
            <w:r>
              <w:rPr>
                <w:b w:val="0"/>
                <w:sz w:val="17"/>
              </w:rPr>
              <w:t>Low</w:t>
            </w:r>
          </w:p>
        </w:tc>
        <w:tc>
          <w:tcPr>
            <w:tcW w:type="dxa" w:w="1134"/>
          </w:tcPr>
          <w:p>
            <w:pPr>
              <w:spacing w:after="20"/>
            </w:pPr>
            <w:r/>
            <w:r>
              <w:rPr>
                <w:b w:val="0"/>
                <w:sz w:val="17"/>
              </w:rPr>
              <w:t>1-4</w:t>
            </w:r>
          </w:p>
        </w:tc>
        <w:tc>
          <w:tcPr>
            <w:tcW w:type="dxa" w:w="1701"/>
          </w:tcPr>
          <w:p>
            <w:pPr>
              <w:spacing w:after="20"/>
            </w:pPr>
            <w:r/>
            <w:r>
              <w:rPr>
                <w:b w:val="0"/>
                <w:sz w:val="17"/>
              </w:rPr>
              <w:t>Acceptable</w:t>
            </w:r>
          </w:p>
        </w:tc>
        <w:tc>
          <w:tcPr>
            <w:tcW w:type="dxa" w:w="5329"/>
          </w:tcPr>
          <w:p>
            <w:pPr>
              <w:spacing w:after="20"/>
            </w:pPr>
            <w:r/>
            <w:r>
              <w:rPr>
                <w:b w:val="0"/>
                <w:sz w:val="17"/>
              </w:rPr>
              <w:t>Managed through normal activities; monitor</w:t>
            </w:r>
          </w:p>
        </w:tc>
      </w:tr>
    </w:tbl>
    <w:p>
      <w:pPr>
        <w:spacing w:after="40"/>
      </w:pPr>
    </w:p>
    <w:tbl>
      <w:tblPr>
        <w:tblStyle w:val="TableGrid"/>
        <w:tblW w:type="auto" w:w="0"/>
        <w:jc w:val="center"/>
        <w:tblLayout w:type="fixed"/>
        <w:tblLook w:firstColumn="1" w:firstRow="1" w:lastColumn="0" w:lastRow="0" w:noHBand="0" w:noVBand="1" w:val="04A0"/>
      </w:tblPr>
      <w:tblGrid>
        <w:gridCol w:w="2551"/>
        <w:gridCol w:w="6860"/>
      </w:tblGrid>
      <w:tr>
        <w:trPr>
          <w:tblHeader w:val="true"/>
        </w:trPr>
        <w:tc>
          <w:tcPr>
            <w:tcW w:type="dxa" w:w="2551"/>
            <w:shd w:val="clear" w:color="auto" w:fill="1A5276"/>
          </w:tcPr>
          <w:p>
            <w:r/>
            <w:r>
              <w:rPr>
                <w:b/>
                <w:color w:val="FFFFFF"/>
                <w:sz w:val="17"/>
              </w:rPr>
              <w:t>Control effectiveness score</w:t>
            </w:r>
          </w:p>
        </w:tc>
        <w:tc>
          <w:tcPr>
            <w:tcW w:type="dxa" w:w="6860"/>
            <w:shd w:val="clear" w:color="auto" w:fill="1A5276"/>
          </w:tcPr>
          <w:p>
            <w:r/>
            <w:r>
              <w:rPr>
                <w:b/>
                <w:color w:val="FFFFFF"/>
                <w:sz w:val="17"/>
              </w:rPr>
              <w:t>Meaning</w:t>
            </w:r>
          </w:p>
        </w:tc>
      </w:tr>
      <w:tr>
        <w:tc>
          <w:tcPr>
            <w:tcW w:type="dxa" w:w="2551"/>
          </w:tcPr>
          <w:p>
            <w:pPr>
              <w:spacing w:after="20"/>
            </w:pPr>
            <w:r/>
            <w:r>
              <w:rPr>
                <w:b w:val="0"/>
                <w:sz w:val="17"/>
              </w:rPr>
              <w:t>1</w:t>
            </w:r>
          </w:p>
        </w:tc>
        <w:tc>
          <w:tcPr>
            <w:tcW w:type="dxa" w:w="6860"/>
          </w:tcPr>
          <w:p>
            <w:pPr>
              <w:spacing w:after="20"/>
            </w:pPr>
            <w:r/>
            <w:r>
              <w:rPr>
                <w:b w:val="0"/>
                <w:sz w:val="17"/>
              </w:rPr>
              <w:t>Excellent: residual about 20% of inherent or less</w:t>
            </w:r>
          </w:p>
        </w:tc>
      </w:tr>
      <w:tr>
        <w:tc>
          <w:tcPr>
            <w:tcW w:type="dxa" w:w="2551"/>
            <w:shd w:val="clear" w:color="auto" w:fill="EBF5FB"/>
          </w:tcPr>
          <w:p>
            <w:pPr>
              <w:spacing w:after="20"/>
            </w:pPr>
            <w:r/>
            <w:r>
              <w:rPr>
                <w:b w:val="0"/>
                <w:sz w:val="17"/>
              </w:rPr>
              <w:t>2</w:t>
            </w:r>
          </w:p>
        </w:tc>
        <w:tc>
          <w:tcPr>
            <w:tcW w:type="dxa" w:w="6860"/>
            <w:shd w:val="clear" w:color="auto" w:fill="EBF5FB"/>
          </w:tcPr>
          <w:p>
            <w:pPr>
              <w:spacing w:after="20"/>
            </w:pPr>
            <w:r/>
            <w:r>
              <w:rPr>
                <w:b w:val="0"/>
                <w:sz w:val="17"/>
              </w:rPr>
              <w:t>Good</w:t>
            </w:r>
          </w:p>
        </w:tc>
      </w:tr>
      <w:tr>
        <w:tc>
          <w:tcPr>
            <w:tcW w:type="dxa" w:w="2551"/>
          </w:tcPr>
          <w:p>
            <w:pPr>
              <w:spacing w:after="20"/>
            </w:pPr>
            <w:r/>
            <w:r>
              <w:rPr>
                <w:b w:val="0"/>
                <w:sz w:val="17"/>
              </w:rPr>
              <w:t>3</w:t>
            </w:r>
          </w:p>
        </w:tc>
        <w:tc>
          <w:tcPr>
            <w:tcW w:type="dxa" w:w="6860"/>
          </w:tcPr>
          <w:p>
            <w:pPr>
              <w:spacing w:after="20"/>
            </w:pPr>
            <w:r/>
            <w:r>
              <w:rPr>
                <w:b w:val="0"/>
                <w:sz w:val="17"/>
              </w:rPr>
              <w:t>Adequate</w:t>
            </w:r>
          </w:p>
        </w:tc>
      </w:tr>
      <w:tr>
        <w:tc>
          <w:tcPr>
            <w:tcW w:type="dxa" w:w="2551"/>
            <w:shd w:val="clear" w:color="auto" w:fill="EBF5FB"/>
          </w:tcPr>
          <w:p>
            <w:pPr>
              <w:spacing w:after="20"/>
            </w:pPr>
            <w:r/>
            <w:r>
              <w:rPr>
                <w:b w:val="0"/>
                <w:sz w:val="17"/>
              </w:rPr>
              <w:t>4</w:t>
            </w:r>
          </w:p>
        </w:tc>
        <w:tc>
          <w:tcPr>
            <w:tcW w:type="dxa" w:w="6860"/>
            <w:shd w:val="clear" w:color="auto" w:fill="EBF5FB"/>
          </w:tcPr>
          <w:p>
            <w:pPr>
              <w:spacing w:after="20"/>
            </w:pPr>
            <w:r/>
            <w:r>
              <w:rPr>
                <w:b w:val="0"/>
                <w:sz w:val="17"/>
              </w:rPr>
              <w:t>Needs improvement</w:t>
            </w:r>
          </w:p>
        </w:tc>
      </w:tr>
      <w:tr>
        <w:tc>
          <w:tcPr>
            <w:tcW w:type="dxa" w:w="2551"/>
          </w:tcPr>
          <w:p>
            <w:pPr>
              <w:spacing w:after="20"/>
            </w:pPr>
            <w:r/>
            <w:r>
              <w:rPr>
                <w:b w:val="0"/>
                <w:sz w:val="17"/>
              </w:rPr>
              <w:t>5</w:t>
            </w:r>
          </w:p>
        </w:tc>
        <w:tc>
          <w:tcPr>
            <w:tcW w:type="dxa" w:w="6860"/>
          </w:tcPr>
          <w:p>
            <w:pPr>
              <w:spacing w:after="20"/>
            </w:pPr>
            <w:r/>
            <w:r>
              <w:rPr>
                <w:b w:val="0"/>
                <w:sz w:val="17"/>
              </w:rPr>
              <w:t>Poor: residual about equal to inherent</w:t>
            </w:r>
          </w:p>
        </w:tc>
      </w:tr>
    </w:tbl>
    <w:p>
      <w:pPr>
        <w:spacing w:after="40"/>
      </w:pPr>
    </w:p>
    <w:p>
      <w:pPr>
        <w:pStyle w:val="Heading1"/>
      </w:pPr>
      <w:r>
        <w:t>Annex B: Minimum BIA Data Set</w:t>
      </w:r>
    </w:p>
    <w:tbl>
      <w:tblPr>
        <w:tblStyle w:val="TableGrid"/>
        <w:tblW w:type="auto" w:w="0"/>
        <w:jc w:val="center"/>
        <w:tblLayout w:type="fixed"/>
        <w:tblLook w:firstColumn="1" w:firstRow="1" w:lastColumn="0" w:lastRow="0" w:noHBand="0" w:noVBand="1" w:val="04A0"/>
      </w:tblPr>
      <w:tblGrid>
        <w:gridCol w:w="2268"/>
        <w:gridCol w:w="7143"/>
      </w:tblGrid>
      <w:tr>
        <w:trPr>
          <w:tblHeader w:val="true"/>
        </w:trPr>
        <w:tc>
          <w:tcPr>
            <w:tcW w:type="dxa" w:w="2268"/>
            <w:shd w:val="clear" w:color="auto" w:fill="1A5276"/>
          </w:tcPr>
          <w:p>
            <w:r/>
            <w:r>
              <w:rPr>
                <w:b/>
                <w:color w:val="FFFFFF"/>
                <w:sz w:val="17"/>
              </w:rPr>
              <w:t>Field</w:t>
            </w:r>
          </w:p>
        </w:tc>
        <w:tc>
          <w:tcPr>
            <w:tcW w:type="dxa" w:w="7143"/>
            <w:shd w:val="clear" w:color="auto" w:fill="1A5276"/>
          </w:tcPr>
          <w:p>
            <w:r/>
            <w:r>
              <w:rPr>
                <w:b/>
                <w:color w:val="FFFFFF"/>
                <w:sz w:val="17"/>
              </w:rPr>
              <w:t>Description</w:t>
            </w:r>
          </w:p>
        </w:tc>
      </w:tr>
      <w:tr>
        <w:tc>
          <w:tcPr>
            <w:tcW w:type="dxa" w:w="2268"/>
          </w:tcPr>
          <w:p>
            <w:pPr>
              <w:spacing w:after="20"/>
            </w:pPr>
            <w:r/>
            <w:r>
              <w:rPr>
                <w:b w:val="0"/>
                <w:sz w:val="17"/>
              </w:rPr>
              <w:t>Product / service</w:t>
            </w:r>
          </w:p>
        </w:tc>
        <w:tc>
          <w:tcPr>
            <w:tcW w:type="dxa" w:w="7143"/>
          </w:tcPr>
          <w:p>
            <w:pPr>
              <w:spacing w:after="20"/>
            </w:pPr>
            <w:r/>
            <w:r>
              <w:rPr>
                <w:b w:val="0"/>
                <w:sz w:val="17"/>
              </w:rPr>
              <w:t>Member-facing or internal service supported (e.g., contributions collection, benefits payment, member registration)</w:t>
            </w:r>
          </w:p>
        </w:tc>
      </w:tr>
      <w:tr>
        <w:tc>
          <w:tcPr>
            <w:tcW w:type="dxa" w:w="2268"/>
            <w:shd w:val="clear" w:color="auto" w:fill="EBF5FB"/>
          </w:tcPr>
          <w:p>
            <w:pPr>
              <w:spacing w:after="20"/>
            </w:pPr>
            <w:r/>
            <w:r>
              <w:rPr>
                <w:b w:val="0"/>
                <w:sz w:val="17"/>
              </w:rPr>
              <w:t>Prioritised activity</w:t>
            </w:r>
          </w:p>
        </w:tc>
        <w:tc>
          <w:tcPr>
            <w:tcW w:type="dxa" w:w="7143"/>
            <w:shd w:val="clear" w:color="auto" w:fill="EBF5FB"/>
          </w:tcPr>
          <w:p>
            <w:pPr>
              <w:spacing w:after="20"/>
            </w:pPr>
            <w:r/>
            <w:r>
              <w:rPr>
                <w:b w:val="0"/>
                <w:sz w:val="17"/>
              </w:rPr>
              <w:t>Activity whose disruption causes unacceptable impact</w:t>
            </w:r>
          </w:p>
        </w:tc>
      </w:tr>
      <w:tr>
        <w:tc>
          <w:tcPr>
            <w:tcW w:type="dxa" w:w="2268"/>
          </w:tcPr>
          <w:p>
            <w:pPr>
              <w:spacing w:after="20"/>
            </w:pPr>
            <w:r/>
            <w:r>
              <w:rPr>
                <w:b w:val="0"/>
                <w:sz w:val="17"/>
              </w:rPr>
              <w:t>Impact over time</w:t>
            </w:r>
          </w:p>
        </w:tc>
        <w:tc>
          <w:tcPr>
            <w:tcW w:type="dxa" w:w="7143"/>
          </w:tcPr>
          <w:p>
            <w:pPr>
              <w:spacing w:after="20"/>
            </w:pPr>
            <w:r/>
            <w:r>
              <w:rPr>
                <w:b w:val="0"/>
                <w:sz w:val="17"/>
              </w:rPr>
              <w:t>Rating 1-5 at each time band across financial, member service, regulatory and reputational dimensions</w:t>
            </w:r>
          </w:p>
        </w:tc>
      </w:tr>
      <w:tr>
        <w:tc>
          <w:tcPr>
            <w:tcW w:type="dxa" w:w="2268"/>
            <w:shd w:val="clear" w:color="auto" w:fill="EBF5FB"/>
          </w:tcPr>
          <w:p>
            <w:pPr>
              <w:spacing w:after="20"/>
            </w:pPr>
            <w:r/>
            <w:r>
              <w:rPr>
                <w:b w:val="0"/>
                <w:sz w:val="17"/>
              </w:rPr>
              <w:t>MTPD</w:t>
            </w:r>
          </w:p>
        </w:tc>
        <w:tc>
          <w:tcPr>
            <w:tcW w:type="dxa" w:w="7143"/>
            <w:shd w:val="clear" w:color="auto" w:fill="EBF5FB"/>
          </w:tcPr>
          <w:p>
            <w:pPr>
              <w:spacing w:after="20"/>
            </w:pPr>
            <w:r/>
            <w:r>
              <w:rPr>
                <w:b w:val="0"/>
                <w:sz w:val="17"/>
              </w:rPr>
              <w:t>Time after which impact becomes unacceptable</w:t>
            </w:r>
          </w:p>
        </w:tc>
      </w:tr>
      <w:tr>
        <w:tc>
          <w:tcPr>
            <w:tcW w:type="dxa" w:w="2268"/>
          </w:tcPr>
          <w:p>
            <w:pPr>
              <w:spacing w:after="20"/>
            </w:pPr>
            <w:r/>
            <w:r>
              <w:rPr>
                <w:b w:val="0"/>
                <w:sz w:val="17"/>
              </w:rPr>
              <w:t>RTO / RPO / MBCO</w:t>
            </w:r>
          </w:p>
        </w:tc>
        <w:tc>
          <w:tcPr>
            <w:tcW w:type="dxa" w:w="7143"/>
          </w:tcPr>
          <w:p>
            <w:pPr>
              <w:spacing w:after="20"/>
            </w:pPr>
            <w:r/>
            <w:r>
              <w:rPr>
                <w:b w:val="0"/>
                <w:sz w:val="17"/>
              </w:rPr>
              <w:t>Target recovery time (less than MTPD), maximum data loss, minimum service level during recovery</w:t>
            </w:r>
          </w:p>
        </w:tc>
      </w:tr>
      <w:tr>
        <w:tc>
          <w:tcPr>
            <w:tcW w:type="dxa" w:w="2268"/>
            <w:shd w:val="clear" w:color="auto" w:fill="EBF5FB"/>
          </w:tcPr>
          <w:p>
            <w:pPr>
              <w:spacing w:after="20"/>
            </w:pPr>
            <w:r/>
            <w:r>
              <w:rPr>
                <w:b w:val="0"/>
                <w:sz w:val="17"/>
              </w:rPr>
              <w:t>Peak periods</w:t>
            </w:r>
          </w:p>
        </w:tc>
        <w:tc>
          <w:tcPr>
            <w:tcW w:type="dxa" w:w="7143"/>
            <w:shd w:val="clear" w:color="auto" w:fill="EBF5FB"/>
          </w:tcPr>
          <w:p>
            <w:pPr>
              <w:spacing w:after="20"/>
            </w:pPr>
            <w:r/>
            <w:r>
              <w:rPr>
                <w:b w:val="0"/>
                <w:sz w:val="17"/>
              </w:rPr>
              <w:t>Month-end, year-end, statutory deadlines</w:t>
            </w:r>
          </w:p>
        </w:tc>
      </w:tr>
      <w:tr>
        <w:tc>
          <w:tcPr>
            <w:tcW w:type="dxa" w:w="2268"/>
          </w:tcPr>
          <w:p>
            <w:pPr>
              <w:spacing w:after="20"/>
            </w:pPr>
            <w:r/>
            <w:r>
              <w:rPr>
                <w:b w:val="0"/>
                <w:sz w:val="17"/>
              </w:rPr>
              <w:t>Dependencies</w:t>
            </w:r>
          </w:p>
        </w:tc>
        <w:tc>
          <w:tcPr>
            <w:tcW w:type="dxa" w:w="7143"/>
          </w:tcPr>
          <w:p>
            <w:pPr>
              <w:spacing w:after="20"/>
            </w:pPr>
            <w:r/>
            <w:r>
              <w:rPr>
                <w:b w:val="0"/>
                <w:sz w:val="17"/>
              </w:rPr>
              <w:t>People, premises, applications, data, vital records, equipment, suppliers, upstream/downstream units</w:t>
            </w:r>
          </w:p>
        </w:tc>
      </w:tr>
      <w:tr>
        <w:tc>
          <w:tcPr>
            <w:tcW w:type="dxa" w:w="2268"/>
            <w:shd w:val="clear" w:color="auto" w:fill="EBF5FB"/>
          </w:tcPr>
          <w:p>
            <w:pPr>
              <w:spacing w:after="20"/>
            </w:pPr>
            <w:r/>
            <w:r>
              <w:rPr>
                <w:b w:val="0"/>
                <w:sz w:val="17"/>
              </w:rPr>
              <w:t>Workarounds</w:t>
            </w:r>
          </w:p>
        </w:tc>
        <w:tc>
          <w:tcPr>
            <w:tcW w:type="dxa" w:w="7143"/>
            <w:shd w:val="clear" w:color="auto" w:fill="EBF5FB"/>
          </w:tcPr>
          <w:p>
            <w:pPr>
              <w:spacing w:after="20"/>
            </w:pPr>
            <w:r/>
            <w:r>
              <w:rPr>
                <w:b w:val="0"/>
                <w:sz w:val="17"/>
              </w:rPr>
              <w:t>Manual or alternative processing and how long it can be sustained</w:t>
            </w:r>
          </w:p>
        </w:tc>
      </w:tr>
      <w:tr>
        <w:tc>
          <w:tcPr>
            <w:tcW w:type="dxa" w:w="2268"/>
          </w:tcPr>
          <w:p>
            <w:pPr>
              <w:spacing w:after="20"/>
            </w:pPr>
            <w:r/>
            <w:r>
              <w:rPr>
                <w:b w:val="0"/>
                <w:sz w:val="17"/>
              </w:rPr>
              <w:t>Approval</w:t>
            </w:r>
          </w:p>
        </w:tc>
        <w:tc>
          <w:tcPr>
            <w:tcW w:type="dxa" w:w="7143"/>
          </w:tcPr>
          <w:p>
            <w:pPr>
              <w:spacing w:after="20"/>
            </w:pPr>
            <w:r/>
            <w:r>
              <w:rPr>
                <w:b w:val="0"/>
                <w:sz w:val="17"/>
              </w:rPr>
              <w:t>Unit head sign-off and review date</w:t>
            </w:r>
          </w:p>
        </w:tc>
      </w:tr>
    </w:tbl>
    <w:p>
      <w:pPr>
        <w:spacing w:after="40"/>
      </w:pPr>
    </w:p>
    <w:p>
      <w:pPr>
        <w:pStyle w:val="Heading1"/>
      </w:pPr>
      <w:r>
        <w:t>Annex C: Minimum Compliance Obligation Data Set</w:t>
      </w:r>
    </w:p>
    <w:tbl>
      <w:tblPr>
        <w:tblStyle w:val="TableGrid"/>
        <w:tblW w:type="auto" w:w="0"/>
        <w:jc w:val="center"/>
        <w:tblLayout w:type="fixed"/>
        <w:tblLook w:firstColumn="1" w:firstRow="1" w:lastColumn="0" w:lastRow="0" w:noHBand="0" w:noVBand="1" w:val="04A0"/>
      </w:tblPr>
      <w:tblGrid>
        <w:gridCol w:w="2268"/>
        <w:gridCol w:w="7143"/>
      </w:tblGrid>
      <w:tr>
        <w:trPr>
          <w:tblHeader w:val="true"/>
        </w:trPr>
        <w:tc>
          <w:tcPr>
            <w:tcW w:type="dxa" w:w="2268"/>
            <w:shd w:val="clear" w:color="auto" w:fill="1A5276"/>
          </w:tcPr>
          <w:p>
            <w:r/>
            <w:r>
              <w:rPr>
                <w:b/>
                <w:color w:val="FFFFFF"/>
                <w:sz w:val="17"/>
              </w:rPr>
              <w:t>Field</w:t>
            </w:r>
          </w:p>
        </w:tc>
        <w:tc>
          <w:tcPr>
            <w:tcW w:type="dxa" w:w="7143"/>
            <w:shd w:val="clear" w:color="auto" w:fill="1A5276"/>
          </w:tcPr>
          <w:p>
            <w:r/>
            <w:r>
              <w:rPr>
                <w:b/>
                <w:color w:val="FFFFFF"/>
                <w:sz w:val="17"/>
              </w:rPr>
              <w:t>Description</w:t>
            </w:r>
          </w:p>
        </w:tc>
      </w:tr>
      <w:tr>
        <w:tc>
          <w:tcPr>
            <w:tcW w:type="dxa" w:w="2268"/>
          </w:tcPr>
          <w:p>
            <w:pPr>
              <w:spacing w:after="20"/>
            </w:pPr>
            <w:r/>
            <w:r>
              <w:rPr>
                <w:b w:val="0"/>
                <w:sz w:val="17"/>
              </w:rPr>
              <w:t>Instrument and clause</w:t>
            </w:r>
          </w:p>
        </w:tc>
        <w:tc>
          <w:tcPr>
            <w:tcW w:type="dxa" w:w="7143"/>
          </w:tcPr>
          <w:p>
            <w:pPr>
              <w:spacing w:after="20"/>
            </w:pPr>
            <w:r/>
            <w:r>
              <w:rPr>
                <w:b w:val="0"/>
                <w:sz w:val="17"/>
              </w:rPr>
              <w:t>Law, regulation, circular, code, contract or policy and the specific clause</w:t>
            </w:r>
          </w:p>
        </w:tc>
      </w:tr>
      <w:tr>
        <w:tc>
          <w:tcPr>
            <w:tcW w:type="dxa" w:w="2268"/>
            <w:shd w:val="clear" w:color="auto" w:fill="EBF5FB"/>
          </w:tcPr>
          <w:p>
            <w:pPr>
              <w:spacing w:after="20"/>
            </w:pPr>
            <w:r/>
            <w:r>
              <w:rPr>
                <w:b w:val="0"/>
                <w:sz w:val="17"/>
              </w:rPr>
              <w:t>Requirement</w:t>
            </w:r>
          </w:p>
        </w:tc>
        <w:tc>
          <w:tcPr>
            <w:tcW w:type="dxa" w:w="7143"/>
            <w:shd w:val="clear" w:color="auto" w:fill="EBF5FB"/>
          </w:tcPr>
          <w:p>
            <w:pPr>
              <w:spacing w:after="20"/>
            </w:pPr>
            <w:r/>
            <w:r>
              <w:rPr>
                <w:b w:val="0"/>
                <w:sz w:val="17"/>
              </w:rPr>
              <w:t>What must be done, by whom, by when</w:t>
            </w:r>
          </w:p>
        </w:tc>
      </w:tr>
      <w:tr>
        <w:tc>
          <w:tcPr>
            <w:tcW w:type="dxa" w:w="2268"/>
          </w:tcPr>
          <w:p>
            <w:pPr>
              <w:spacing w:after="20"/>
            </w:pPr>
            <w:r/>
            <w:r>
              <w:rPr>
                <w:b w:val="0"/>
                <w:sz w:val="17"/>
              </w:rPr>
              <w:t>Type</w:t>
            </w:r>
          </w:p>
        </w:tc>
        <w:tc>
          <w:tcPr>
            <w:tcW w:type="dxa" w:w="7143"/>
          </w:tcPr>
          <w:p>
            <w:pPr>
              <w:spacing w:after="20"/>
            </w:pPr>
            <w:r/>
            <w:r>
              <w:rPr>
                <w:b w:val="0"/>
                <w:sz w:val="17"/>
              </w:rPr>
              <w:t>Ongoing conduct, periodic return, event-driven notification, licence/registration</w:t>
            </w:r>
          </w:p>
        </w:tc>
      </w:tr>
      <w:tr>
        <w:tc>
          <w:tcPr>
            <w:tcW w:type="dxa" w:w="2268"/>
            <w:shd w:val="clear" w:color="auto" w:fill="EBF5FB"/>
          </w:tcPr>
          <w:p>
            <w:pPr>
              <w:spacing w:after="20"/>
            </w:pPr>
            <w:r/>
            <w:r>
              <w:rPr>
                <w:b w:val="0"/>
                <w:sz w:val="17"/>
              </w:rPr>
              <w:t>Owner and unit</w:t>
            </w:r>
          </w:p>
        </w:tc>
        <w:tc>
          <w:tcPr>
            <w:tcW w:type="dxa" w:w="7143"/>
            <w:shd w:val="clear" w:color="auto" w:fill="EBF5FB"/>
          </w:tcPr>
          <w:p>
            <w:pPr>
              <w:spacing w:after="20"/>
            </w:pPr>
            <w:r/>
            <w:r>
              <w:rPr>
                <w:b w:val="0"/>
                <w:sz w:val="17"/>
              </w:rPr>
              <w:t>Accountable officer and unit</w:t>
            </w:r>
          </w:p>
        </w:tc>
      </w:tr>
      <w:tr>
        <w:tc>
          <w:tcPr>
            <w:tcW w:type="dxa" w:w="2268"/>
          </w:tcPr>
          <w:p>
            <w:pPr>
              <w:spacing w:after="20"/>
            </w:pPr>
            <w:r/>
            <w:r>
              <w:rPr>
                <w:b w:val="0"/>
                <w:sz w:val="17"/>
              </w:rPr>
              <w:t>Frequency and due date</w:t>
            </w:r>
          </w:p>
        </w:tc>
        <w:tc>
          <w:tcPr>
            <w:tcW w:type="dxa" w:w="7143"/>
          </w:tcPr>
          <w:p>
            <w:pPr>
              <w:spacing w:after="20"/>
            </w:pPr>
            <w:r/>
            <w:r>
              <w:rPr>
                <w:b w:val="0"/>
                <w:sz w:val="17"/>
              </w:rPr>
              <w:t>Including regulator deadlines and notification clocks</w:t>
            </w:r>
          </w:p>
        </w:tc>
      </w:tr>
      <w:tr>
        <w:tc>
          <w:tcPr>
            <w:tcW w:type="dxa" w:w="2268"/>
            <w:shd w:val="clear" w:color="auto" w:fill="EBF5FB"/>
          </w:tcPr>
          <w:p>
            <w:pPr>
              <w:spacing w:after="20"/>
            </w:pPr>
            <w:r/>
            <w:r>
              <w:rPr>
                <w:b w:val="0"/>
                <w:sz w:val="17"/>
              </w:rPr>
              <w:t>Compliance risk rating</w:t>
            </w:r>
          </w:p>
        </w:tc>
        <w:tc>
          <w:tcPr>
            <w:tcW w:type="dxa" w:w="7143"/>
            <w:shd w:val="clear" w:color="auto" w:fill="EBF5FB"/>
          </w:tcPr>
          <w:p>
            <w:pPr>
              <w:spacing w:after="20"/>
            </w:pPr>
            <w:r/>
            <w:r>
              <w:rPr>
                <w:b w:val="0"/>
                <w:sz w:val="17"/>
              </w:rPr>
              <w:t>Likelihood of breach × impact (Annex A)</w:t>
            </w:r>
          </w:p>
        </w:tc>
      </w:tr>
      <w:tr>
        <w:tc>
          <w:tcPr>
            <w:tcW w:type="dxa" w:w="2268"/>
          </w:tcPr>
          <w:p>
            <w:pPr>
              <w:spacing w:after="20"/>
            </w:pPr>
            <w:r/>
            <w:r>
              <w:rPr>
                <w:b w:val="0"/>
                <w:sz w:val="17"/>
              </w:rPr>
              <w:t>Controls and evidence</w:t>
            </w:r>
          </w:p>
        </w:tc>
        <w:tc>
          <w:tcPr>
            <w:tcW w:type="dxa" w:w="7143"/>
          </w:tcPr>
          <w:p>
            <w:pPr>
              <w:spacing w:after="20"/>
            </w:pPr>
            <w:r/>
            <w:r>
              <w:rPr>
                <w:b w:val="0"/>
                <w:sz w:val="17"/>
              </w:rPr>
              <w:t>Controls in place and evidence expected</w:t>
            </w:r>
          </w:p>
        </w:tc>
      </w:tr>
      <w:tr>
        <w:tc>
          <w:tcPr>
            <w:tcW w:type="dxa" w:w="2268"/>
            <w:shd w:val="clear" w:color="auto" w:fill="EBF5FB"/>
          </w:tcPr>
          <w:p>
            <w:pPr>
              <w:spacing w:after="20"/>
            </w:pPr>
            <w:r/>
            <w:r>
              <w:rPr>
                <w:b w:val="0"/>
                <w:sz w:val="17"/>
              </w:rPr>
              <w:t>Status</w:t>
            </w:r>
          </w:p>
        </w:tc>
        <w:tc>
          <w:tcPr>
            <w:tcW w:type="dxa" w:w="7143"/>
            <w:shd w:val="clear" w:color="auto" w:fill="EBF5FB"/>
          </w:tcPr>
          <w:p>
            <w:pPr>
              <w:spacing w:after="20"/>
            </w:pPr>
            <w:r/>
            <w:r>
              <w:rPr>
                <w:b w:val="0"/>
                <w:sz w:val="17"/>
              </w:rPr>
              <w:t>Compliant, Partially Compliant, Non-Compliant, Not Assessed</w:t>
            </w:r>
          </w:p>
        </w:tc>
      </w:tr>
      <w:tr>
        <w:tc>
          <w:tcPr>
            <w:tcW w:type="dxa" w:w="2268"/>
          </w:tcPr>
          <w:p>
            <w:pPr>
              <w:spacing w:after="20"/>
            </w:pPr>
            <w:r/>
            <w:r>
              <w:rPr>
                <w:b w:val="0"/>
                <w:sz w:val="17"/>
              </w:rPr>
              <w:t>Penalty exposure</w:t>
            </w:r>
          </w:p>
        </w:tc>
        <w:tc>
          <w:tcPr>
            <w:tcW w:type="dxa" w:w="7143"/>
          </w:tcPr>
          <w:p>
            <w:pPr>
              <w:spacing w:after="20"/>
            </w:pPr>
            <w:r/>
            <w:r>
              <w:rPr>
                <w:b w:val="0"/>
                <w:sz w:val="17"/>
              </w:rPr>
              <w:t>Fines, sanctions or other consequences under the instrument</w:t>
            </w:r>
          </w:p>
        </w:tc>
      </w:tr>
    </w:tbl>
    <w:p>
      <w:pPr>
        <w:spacing w:after="40"/>
      </w:pPr>
    </w:p>
    <w:p>
      <w:pPr>
        <w:pStyle w:val="Heading1"/>
      </w:pPr>
      <w:r>
        <w:t>Annex D: Sources Used</w:t>
      </w:r>
    </w:p>
    <w:p>
      <w:pPr>
        <w:pStyle w:val="ListBullet"/>
        <w:spacing w:after="60"/>
      </w:pPr>
      <w:r>
        <w:t>NSSF Enterprise Risk Management Framework, NSSF/ERM/PD/03, Issue 02, 16 May 2025 (Risk Management Department).</w:t>
      </w:r>
    </w:p>
    <w:p>
      <w:pPr>
        <w:pStyle w:val="ListBullet"/>
        <w:spacing w:after="60"/>
      </w:pPr>
      <w:r>
        <w:t>NSSF integrated system TOR extract: Governance, Risk &amp; Compliance Management (Audit &amp; Risk System).</w:t>
      </w:r>
    </w:p>
    <w:p>
      <w:pPr>
        <w:pStyle w:val="ListBullet"/>
        <w:spacing w:after="60"/>
      </w:pPr>
      <w:r>
        <w:t>NSSF integrated system requirements matrix extract: Module 11, Governance, Risk &amp; Compliance (GRC) Module.</w:t>
      </w:r>
    </w:p>
    <w:p>
      <w:pPr>
        <w:pStyle w:val="ListBullet"/>
        <w:spacing w:after="60"/>
      </w:pPr>
      <w:r>
        <w:t>ISO 31000:2018; ISO 22301:2019; ISO 22313:2020; ISO/TS 22317:2021; ISO/IEC 27001:2022; ISO/IEC 27005:2022; ISO 37301:2021.</w:t>
      </w:r>
    </w:p>
    <w:p>
      <w:pPr>
        <w:pStyle w:val="ListBullet"/>
        <w:spacing w:after="60"/>
      </w:pPr>
      <w:r>
        <w:t>COSO, Enterprise Risk Management: Integrating with Strategy and Performance (2017); IIA, The IIA's Three Lines Model (2020).</w:t>
      </w:r>
    </w:p>
    <w:p>
      <w:pPr>
        <w:pStyle w:val="ListBullet"/>
        <w:spacing w:after="60"/>
      </w:pPr>
      <w:r>
        <w:t>Laws of Kenya: NSSF Act 2013; Retirement Benefits Act 1997; Public Finance Management Act 2012; Data Protection Act 2019 and Data Protection (General) Regulations 2021; Public Procurement and Asset Disposal Act 2015; Occupational Safety and Health Act 2007; Anti-Corruption and Economic Crimes Act 2003; Proceeds of Crime and Anti-Money Laundering Act 2009; Access to Information Act 2016; Mwongozo Code of Governance for State Corporations (2015).</w:t>
      </w:r>
    </w:p>
    <w:sectPr w:rsidR="00FC693F" w:rsidRPr="0006063C" w:rsidSect="00034616">
      <w:footerReference w:type="first" r:id="rId9"/>
      <w:headerReference w:type="first" r:id="rId10"/>
      <w:footerReference w:type="default" r:id="rId11"/>
      <w:headerReference w:type="default" r:id="rId12"/>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STRICTLY CONFIDENTIAL | Page </w:t>
    </w:r>
    <w:r>
      <w:rPr>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1A5276"/>
        <w:sz w:val="17"/>
      </w:rPr>
      <w:t>NSSF Kenya | Risk Management Department | Terms of Reference: Risk, BCM &amp; Compliance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cs="Arial"/>
      <w:b/>
      <w:bCs/>
      <w:color w:val="1A5276"/>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cs="Arial"/>
      <w:b/>
      <w:bCs/>
      <w:color w:val="1A52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