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b/>
          <w:bCs/>
          <w:color w:val="138A36"/>
          <w:sz w:val="18"/>
          <w:szCs w:val="18"/>
        </w:rPr>
        <w:t xml:space="preserve">MEETING BRIEF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Questions for the World Bank Group</w:t>
      </w:r>
    </w:p>
    <w:p>
      <w:p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APIF–WBG Joint Capital Markets Program (JCAP): meeting with pension fund leadership, October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rPr>
          <w:cantSplit/>
          <w:tblHeader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Managing Trustee/CEO and Board Investment Committee delegates attending the meeting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Management Department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WBG deck "APIF – WBG Joint Capital Markets Program" (11 slides, incl. speaker notes)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Purpose</w:t>
            </w:r>
          </w:p>
        </w:tc>
        <w:tc>
          <w:tcPr>
            <w:tcW w:type="dxa" w:w="75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Arrive with targeted questions that protect NSSF’s position and secure the evidence needed before any commitment to APIF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WBG deck confirms that APIF is at a pre-commitment stage: AIIM (equity) and Ninety One (debt) are shortlisted, no manager is approved and no member is committed. The first-close target is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USD 600m by 31 March 2027</w:t>
      </w:r>
      <w:r>
        <w:rPr>
          <w:rFonts w:ascii="Arial" w:cs="Arial" w:eastAsia="Arial" w:hAnsi="Arial"/>
          <w:sz w:val="21"/>
          <w:szCs w:val="21"/>
        </w:rPr>
        <w:t xml:space="preserve">, but the decision gates before then are tight: a due diligence pass/fail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 October</w:t>
      </w:r>
      <w:r>
        <w:rPr>
          <w:rFonts w:ascii="Arial" w:cs="Arial" w:eastAsia="Arial" w:hAnsi="Arial"/>
          <w:sz w:val="21"/>
          <w:szCs w:val="21"/>
        </w:rPr>
        <w:t xml:space="preserve">, national approvals by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 November</w:t>
      </w:r>
      <w:r>
        <w:rPr>
          <w:rFonts w:ascii="Arial" w:cs="Arial" w:eastAsia="Arial" w:hAnsi="Arial"/>
          <w:sz w:val="21"/>
          <w:szCs w:val="21"/>
        </w:rPr>
        <w:t xml:space="preserve"> and the Investment Management Agreement (IMA) by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30 December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deck is strong on LP best practice (ILPA terms, a 100-day diligence plan, conflict management) but silent on four things that drive NSSF’s risk: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(1)</w:t>
      </w:r>
      <w:r>
        <w:rPr>
          <w:rFonts w:ascii="Arial" w:cs="Arial" w:eastAsia="Arial" w:hAnsi="Arial"/>
          <w:sz w:val="21"/>
          <w:szCs w:val="21"/>
        </w:rPr>
        <w:t xml:space="preserve"> currency and how the USD fund fits NSSF’s KES liabilities,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(2)</w:t>
      </w:r>
      <w:r>
        <w:rPr>
          <w:rFonts w:ascii="Arial" w:cs="Arial" w:eastAsia="Arial" w:hAnsi="Arial"/>
          <w:sz w:val="21"/>
          <w:szCs w:val="21"/>
        </w:rPr>
        <w:t xml:space="preserve"> how the allocation counts under RBA investment limits and NSSF’s own approvals,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(3)</w:t>
      </w:r>
      <w:r>
        <w:rPr>
          <w:rFonts w:ascii="Arial" w:cs="Arial" w:eastAsia="Arial" w:hAnsi="Arial"/>
          <w:sz w:val="21"/>
          <w:szCs w:val="21"/>
        </w:rPr>
        <w:t xml:space="preserve"> what capital or risk mitigation the WBG itself will put in,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(4)</w:t>
      </w:r>
      <w:r>
        <w:rPr>
          <w:rFonts w:ascii="Arial" w:cs="Arial" w:eastAsia="Arial" w:hAnsi="Arial"/>
          <w:sz w:val="21"/>
          <w:szCs w:val="21"/>
        </w:rPr>
        <w:t xml:space="preserve"> who pays for the Pension Coordination Vehicle (PCV), diligence and broken-deal costs. The questions below are built to close those gaps.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F8F00"/>
                <w:sz w:val="21"/>
                <w:szCs w:val="21"/>
              </w:rPr>
              <w:t xml:space="preserve">Main tension: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deck’s own 100-day diligence plan (slide 7) cannot finish before the 30 October pass/fail gate (slide 4), which falls about 10 days after the meeting. NSSF should establish what 30 October actually decides before treating it as a diligence result.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The 10 questions to ask if time is short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Gate scope:</w:t>
      </w:r>
      <w:r>
        <w:rPr>
          <w:rFonts w:ascii="Arial" w:cs="Arial" w:eastAsia="Arial" w:hAnsi="Arial"/>
          <w:sz w:val="21"/>
          <w:szCs w:val="21"/>
        </w:rPr>
        <w:t xml:space="preserve"> What exactly does the 30 October "due diligence test" decide, given the 100-day process on slide 7? Which workstreams will be complete, and which carry over to the IMA?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WBG skin in the game:</w:t>
      </w:r>
      <w:r>
        <w:rPr>
          <w:rFonts w:ascii="Arial" w:cs="Arial" w:eastAsia="Arial" w:hAnsi="Arial"/>
          <w:sz w:val="21"/>
          <w:szCs w:val="21"/>
        </w:rPr>
        <w:t xml:space="preserve"> Will IFC, MIGA or the WB commit capital, first-loss, guarantees or currency hedging to APIF? If so, how much, on what terms, and at which close?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Currency risk:</w:t>
      </w:r>
      <w:r>
        <w:rPr>
          <w:rFonts w:ascii="Arial" w:cs="Arial" w:eastAsia="Arial" w:hAnsi="Arial"/>
          <w:sz w:val="21"/>
          <w:szCs w:val="21"/>
        </w:rPr>
        <w:t xml:space="preserve"> What hedging or local-currency options will exist for members with KES liabilities, and what does a 30% KES depreciation do to the projected net return?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Regulatory treatment:</w:t>
      </w:r>
      <w:r>
        <w:rPr>
          <w:rFonts w:ascii="Arial" w:cs="Arial" w:eastAsia="Arial" w:hAnsi="Arial"/>
          <w:sz w:val="21"/>
          <w:szCs w:val="21"/>
        </w:rPr>
        <w:t xml:space="preserve"> Has RBA confirmed how a Mauritius- or EADB-domiciled fund holding Kenyan and regional assets counts against NSSF’s asset-class and offshore limits?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Ticket size and concentration:</w:t>
      </w:r>
      <w:r>
        <w:rPr>
          <w:rFonts w:ascii="Arial" w:cs="Arial" w:eastAsia="Arial" w:hAnsi="Arial"/>
          <w:sz w:val="21"/>
          <w:szCs w:val="21"/>
        </w:rPr>
        <w:t xml:space="preserve"> What commitment does the USD 600m first close assume from each of the nine members, and what is the minimum NSSF ticket?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Missed first close:</w:t>
      </w:r>
      <w:r>
        <w:rPr>
          <w:rFonts w:ascii="Arial" w:cs="Arial" w:eastAsia="Arial" w:hAnsi="Arial"/>
          <w:sz w:val="21"/>
          <w:szCs w:val="21"/>
        </w:rPr>
        <w:t xml:space="preserve"> What happens if USD 600m is not reached by 31 March 2027: fallback size, extension or abort, and who bears costs incurred to date?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PCV economics:</w:t>
      </w:r>
      <w:r>
        <w:rPr>
          <w:rFonts w:ascii="Arial" w:cs="Arial" w:eastAsia="Arial" w:hAnsi="Arial"/>
          <w:sz w:val="21"/>
          <w:szCs w:val="21"/>
        </w:rPr>
        <w:t xml:space="preserve"> Who funds the NIFC-domiciled PCV, what is its budget and staffing, and does any liability sit with members or their trustees?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cost:</w:t>
      </w:r>
      <w:r>
        <w:rPr>
          <w:rFonts w:ascii="Arial" w:cs="Arial" w:eastAsia="Arial" w:hAnsi="Arial"/>
          <w:sz w:val="21"/>
          <w:szCs w:val="21"/>
        </w:rPr>
        <w:t xml:space="preserve"> What is the all-in annual cost to NSSF (manager fees, carry, PCV, fund expenses, any fiduciary layer), expressed as a percentage of committed and invested capital?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Conflicts:</w:t>
      </w:r>
      <w:r>
        <w:rPr>
          <w:rFonts w:ascii="Arial" w:cs="Arial" w:eastAsia="Arial" w:hAnsi="Arial"/>
          <w:sz w:val="21"/>
          <w:szCs w:val="21"/>
        </w:rPr>
        <w:t xml:space="preserve"> What existing relationships do IFC or the WBG have with AIIM, Ninety One or the pipeline assets, and how will these be disclosed and managed?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Support offer:</w:t>
      </w:r>
      <w:r>
        <w:rPr>
          <w:rFonts w:ascii="Arial" w:cs="Arial" w:eastAsia="Arial" w:hAnsi="Arial"/>
          <w:sz w:val="21"/>
          <w:szCs w:val="21"/>
        </w:rPr>
        <w:t xml:space="preserve"> The deck asks "What help can we provide?" Will the WBG fund independent legal counsel per member country, the independent market study on slide 9, and secondments?</w:t>
      </w:r>
    </w:p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2. What the Deck Tells Us, and the Gaps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277"/>
        <w:gridCol w:w="3855"/>
        <w:gridCol w:w="1157"/>
      </w:tblGrid>
      <w:tr>
        <w:trPr>
          <w:cantSplit/>
          <w:tblHeader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deck says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for NSSF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Managers shortlisted; no approvals or commitments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indicative ticket size or term sheet yet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4, 11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Timeline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DD gate 30 Oct; approvals 30 Nov; IMA 30 Dec; close 31 Mar 2027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precede the 100-day diligence plan finishing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4, 7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Four options; current design (PCV + fund per manager) is closest to Option 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Fiduciary duty stays with NSSF Board under Option 3; cost and liability of PCV not stated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Mauritius baseline; EADB Special Fund being explored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Tax, treaty, legal recourse and RBA treatment not addressed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Terms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ILPA-based checklist; carry on NAV, escrow, clawback, LPAC threshold to test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current terms disclosed for comparison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 misalignment managed, not solved; greenfield risk flagged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quantified downside, FX or liquidity scenarios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8, 10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WBG role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Supports, does not endorse a manager; JCAP includes risk mitigation and investment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statement of WBG capital, guarantees or hedging for APIF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2, 4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Capacity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Secondments, co-invest rights, independent market study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pays is not stated</w:t>
            </w:r>
          </w:p>
        </w:tc>
        <w:tc>
          <w:tcPr>
            <w:tcW w:type="dxa" w:w="11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3. Question Bank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Each question shows why it matters to NSSF and what a satisfactory answer or document looks like.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High</w:t>
      </w:r>
      <w:r>
        <w:rPr>
          <w:rFonts w:ascii="Arial" w:cs="Arial" w:eastAsia="Arial" w:hAnsi="Arial"/>
          <w:sz w:val="21"/>
          <w:szCs w:val="21"/>
        </w:rPr>
        <w:t xml:space="preserve"> priority questions affect whether NSSF can take APIF to its Investment Committee by 30 December.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3.1 Process, timeline and decision gates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exactly is decided on 30 October, and which diligence workstreams (slide 8) will be complete by then?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"pass" on partial diligence could be read internally as a full clearance.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scope of the 30 Oct gate, list of open items carried to the IMA, and the findings log format.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was the outcome of the 20 October EADB Special Fund submission, and when is the domicile final?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Domicile drives tax, legal recourse and RBA treatment; NSSF cannot complete approvals without it.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Decision date and a side-by-side of Mauritius vs EADB on tax, immunity, governing law and investor protections.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the 30 November national-approval target realistically be met if final terms are only agreed in the IMA on 30 December?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approvals need final terms; approving on draft terms creates re-approval risk.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sequencing plan showing which approvals rely on which documents, and a re-approval trigger list.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Who sits on the Implementation and Steering Committees, how do they vote, and what is NSSF’s seat and vote?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Determines NSSF’s influence over the manager decision and terms.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Committee terms of reference, membership and voting rules.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 USD 600m is not committed by 31 March 2027, what happens: lower first close, extension, or abort?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Defines NSSF’s exposure to a sub-scale fund and to sunk costs.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viable fund size, fallback plan and cost allocation rule.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3.2 WBG role, capital and conflicts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IFC invest in either fund, and at what size and close? Will MIGA or the WB provide guarantees, first-loss or political-risk cover?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DFI anchor improves terms and governance and signals confidence; its absence is information too.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Indicative IFC commitment range, instrument, and conditions precedent.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the WBG offer currency hedging or local-currency share classes (e.g., via IFC Treasury or TCX) for members with KES liabilities?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liabilities are in KES; an unhedged USD return can be wiped out by depreciation.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Available hedge instruments, indicative cost (bps p.a.) and tenor.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existing relationships do IFC or the WBG have with AIIM, Ninety One, their parent groups or the pipeline assets?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WBG advises members while potentially being an LP or lender to the same parties.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conflict disclosure and the firewall between JCAP advisory and IFC investment teams.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deck says the WBG "supports and does not endorse" a manager. Will the WBG share its own diligence findings with members?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Clarifies how much NSSF can rely on WBG work versus doing its own.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Reliance letter or explicit non-reliance statement; access to the data room.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does APIF relate to the WBG’s possible support to Kenya’s National Infrastructure Fund and to existing vehicles such as KEPFIC?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of competing for the same deals and the same NSSF capital.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allocation policy and a map of overlaps.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3.3 Structure, governance and the PCV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 the current Option 3-like design, confirm that fiduciary responsibility for each investment stays with the NSSF Board of Trustees. What does the PCV add, and where does its liability stop?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trustees remain accountable under the NSSF Act 2013 and RBA rules; the PCV must not blur that.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opinion on fiduciary allocation; PCV constitution and liability caps.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PCV budget for years 1 to 3, who funds it, how is cost shared among members, and how is it staffed?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Hidden cost layer and governance load.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Budget, staffing plan, cost-sharing formula and exit cost for a member that leaves.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will the cooperation agreement bind members to "align first and act together", and what happens when members disagree (e.g., a sector-limit waiver or continuation vehicle)?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could be outvoted, or left as a lone voice with the GP.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cooperation agreement with voting thresholds and dispute resolution.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will commitments be aggregated for LPAC seats, fee breaks and MFN if members remain separate LPs?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 breaks and LPAC rights depend on aggregation.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Side letter mechanics confirmed by both managers.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roadmap and decision point for moving from Option 3 to Option 1 or 2 (a fiduciary manager), and who would license it in each country?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changes control and cost; NSSF should know now.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 timeline, licensing path and member veto rights.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3.4 Regulatory, legal and tax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 RBA confirmed how APIF counts against NSSF’s investment limits (private equity, infrastructure, offshore) and whether Kenyan assets in a foreign-domiciled fund count as local?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wrong classification could put NSSF in breach of RBA limits.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RBA position or no-objection, per asset class.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NSSF-specific approvals does the Kenya country action plan list (Board, National Treasury, RBA, any ministerial), and in what order?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is a state corporation; missing an approval voids the timeline.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adopted Kenya action plan with owners and dates.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tax position of NSSF’s returns via Mauritius or EADB: withholding tax, treaty access, VAT on fees, and Kenyan tax on distributions?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 leakage reduces net return; NSSF’s exempt status must be preserved.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 opinion covering Kenyan pension investors.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excuse rights cover NSSF-specific restrictions (RBA limits, sanctions, NSSF ESG policy, public procurement rules)?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must be able to step out of deals it is not permitted to make.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excuse-rights clause reflecting member regulations.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the WBG fund qualified local counsel in each member country, as slide 8 recommends?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diligence by NSSF’s own lawyers is required for Board sign-off.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Funding commitment and timeline for counsel appointment.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3.5 Fund terms and economics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the current proposed headline terms for each manager: management fee basis, hurdle, carry basis (realised vs NAV), GP commitment, escrow level?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 cannot compare against the ILPA checklist (slide 6) without them.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 sheets for both managers, with a gap analysis against ILPA.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all-in cost (fees, carry at target return, fund expenses, PCV share, any hedging) as % of committed and of invested capital?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 layers compound; NSSF needs a single number for the Investment Committee.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expense model by year, at base and downside returns.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are the target gross and net returns in USD and in KES terms, and what is the expected J-curve and capital-call schedule?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Needed for NSSF liquidity planning and benefit-payment cash ladder.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Annual drawdown and distribution forecast for a USD 10m commitment.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is the fund term, extension rights, and member exit or transfer route (secondary sale, permanent vehicle rules)?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 lock-ups affect NSSF’s liquidity and rebalancing.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Term, extension consent thresholds and transfer provisions.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caps apply to fund leverage and subscription lines?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Subscription lines flatter early IRR and add risk (slide 6).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Proposed caps and reporting of IRR with and without subscription lines.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3.6 Risk, pipeline and returns evidence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the WBG share a scenario analysis: base, downside and stress cases for returns, including currency depreciation, construction delay and a default in the largest asset?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NSSF’s risk appetite requires quantified downside, not only target IRR.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Scenario table with probability ranges; sensitivity (tornado) on key drivers.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share of each pipeline is greenfield vs operating, and by country and sector? What concentration limits apply?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Greenfield and single-asset concentration create binary outcomes early (slide 8).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schedule with stage, country, sector, ticket and status.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 each manager’s track record been rebuilt from cash flows and attributed to the team that will run APIF?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 record must belong to the people actually managing NSSF’s money.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Recomputed gross/net IRR and multiples, reconciled to audited accounts.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independent valuation policy and valuer will apply, and how will valuations support NSSF’s IFRS 13 reporting?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 valuations feed NSSF’s audited accounts and member returns.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Valuation policy, valuer appointment process, reporting timetable.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E&amp;S standards will apply (e.g., IFC Performance Standards), and how are breaches escalated to LPs?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Reputational risk to NSSF as a public pension fund.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 policy, exclusion list and incident-reporting clause.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1B5E20"/>
          <w:sz w:val="23"/>
          <w:szCs w:val="23"/>
        </w:rPr>
        <w:t xml:space="preserve">3.7 Capacity building and support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084"/>
        <w:gridCol w:w="2410"/>
        <w:gridCol w:w="2602"/>
        <w:gridCol w:w="1060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to the WBG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 to NSSF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answer / evidence to request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G1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the WBG fund or commission the independent market study and investment strategy recommended on slide 9?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Gives NSSF a view of the market that is not the manager’s.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Scope, funder, consultant selection and timing (before or after first close).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G2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How many secondment places per member, for how long, at whose cost, and in which roles?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Builds NSSF’s in-house infrastructure capability.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Secondment terms written into the IMA or side letters.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G3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 NSSF staff join peer exchanges and DFI programmes (e.g., IFC co-lending) outside the manager relationship?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Avoids learning only from the counterparty we negotiate with.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Named programmes and access dates.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G4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Will co-investment rights be fee-free and carry-free, with decision periods long enough for NSSF Board approval?</w:t>
            </w:r>
          </w:p>
        </w:tc>
        <w:tc>
          <w:tcPr>
            <w:tcW w:type="dxa" w:w="24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Short windows make co-invest rights unusable for a state corporation.</w:t>
            </w:r>
          </w:p>
        </w:tc>
        <w:tc>
          <w:tcPr>
            <w:tcW w:type="dxa" w:w="26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decision period (e.g., 30 to 45 days) in the LPA or side letter.</w:t>
            </w:r>
          </w:p>
        </w:tc>
        <w:tc>
          <w:tcPr>
            <w:tcW w:type="dxa" w:w="10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4. Specific Support to Request from the WBG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Slide 11 asks members "What help and support can we provide?" Suggested NSSF requests, in priority order: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4337"/>
        <w:gridCol w:w="3084"/>
        <w:gridCol w:w="1735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 for NSSF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Funding for independent Kenyan legal and tax counsel for NSSF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Board-ready legal and tax opinions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Nov 2026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Written RBA engagement led jointly by JCAP and NSSF on regulatory treatment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Certainty on investment limits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Nov 2026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Scenario and liquidity model per USD 10m committed (KES and USD)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Input to NSSF ALM, cash ladder and IC paper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Nov 2026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IC paper template for all nine members (slide 7)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Faster, consistent internal approval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Nov 2026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Indicative IFC and hedging term sheets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Clarity on risk mitigation and cost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Dec 2026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Independent market study and secondment programme</w:t>
            </w:r>
          </w:p>
        </w:tc>
        <w:tc>
          <w:tcPr>
            <w:tcW w:type="dxa" w:w="3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Long-term in-house capacity</w:t>
            </w:r>
          </w:p>
        </w:tc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Q1 2027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5. Evidence NSSF Needs Before Each Gate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NSSF should hold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 (NSSF)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Diligence pass/fail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Oct 2026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 scope note; findings log; list of carried-over items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Investments + Risk Mgmt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National approvals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Nov 2026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 position; domicile decision; tax opinion; draft terms vs ILPA gap analysis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+ Investments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Dec 2026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term sheet; total cost model; scenario and liquidity analysis; PCV budget and constitution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Investments + Finance + Risk Mgmt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Board commitment</w:t>
            </w:r>
          </w:p>
        </w:tc>
        <w:tc>
          <w:tcPr>
            <w:tcW w:type="dxa" w:w="134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Before 31 Mar 2027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Board IC paper with residual risk rating within appetite; approval minutes from all required authorities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Managing Trustee/CEO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6. Key Risks to NSSF (preliminary)</w:t>
      </w:r>
    </w:p>
    <w:p>
      <w:pPr>
        <w:keepNext/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Initial view using the NSSF 5×5 matrix (Likelihood × Impact). To be refined once WBG answers are received.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578"/>
        <w:gridCol w:w="578"/>
        <w:gridCol w:w="771"/>
        <w:gridCol w:w="964"/>
        <w:gridCol w:w="3277"/>
      </w:tblGrid>
      <w:tr>
        <w:trPr>
          <w:cantSplit/>
          <w:tblHeader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mitigation sought from WBG / managers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Currency loss on USD fund versus KES liabilities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Hedging or local-currency class (B2); KES scenarios (F1)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breach of RBA limits or missing approval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 written position (D1); approval sequence (D2)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Approving on incomplete diligence due to compressed gates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ADB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High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 scope note (A1); re-approval triggers (A3)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Sub-scale fund or failed first close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fund size and cost rule (A5)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 layering erodes net return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All-in cost model (E2)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 conflicts (valuation, related-party deals, continuation funds)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ILPA terms, LPAC, no-fault removal (slide 6); conflict disclosure (B3)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Greenfield or concentration loss in early deals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Pipeline limits (F2); prefer operating platforms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Reputational / ESG incident in a portfolio asset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96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F3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Medium</w:t>
            </w:r>
          </w:p>
        </w:tc>
        <w:tc>
          <w:tcPr>
            <w:tcW w:type="dxa" w:w="32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IFC Performance Standards and escalation (F5)</w:t>
            </w:r>
          </w:p>
        </w:tc>
      </w:tr>
    </w:tbl>
    <w:p>
      <w:pPr>
        <w:pStyle w:val="Heading1"/>
        <w:keepNext/>
        <w:spacing w:after="140" w:before="30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7. Next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3855"/>
        <w:gridCol w:w="1928"/>
        <w:gridCol w:w="1446"/>
        <w:gridCol w:w="1927"/>
      </w:tblGrid>
      <w:tr>
        <w:trPr>
          <w:cantSplit/>
          <w:tblHeader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B5E2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of closure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Agree final question list and assign questions to NSSF attendees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Mgmt + Investments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Before meeting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Annotated brief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the High-priority questions to the WBG in writing after the meeting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Investments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+2 working days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with WBG acknowledgement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 WBG responses in a findings log (severity, owner, status)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Mgmt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Ongoing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updated weekly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engagement with RBA on regulatory treatment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+ Investments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Nov 2026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Meeting minutes / RBA letter</w:t>
            </w:r>
          </w:p>
        </w:tc>
      </w:tr>
      <w:tr>
        <w:trPr>
          <w:cantSplit/>
        </w:trPr>
        <w:tc>
          <w:tcPr>
            <w:tcW w:type="dxa" w:w="4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Update the preliminary risk assessment with WBG answers and present to Board IC</w:t>
            </w:r>
          </w:p>
        </w:tc>
        <w:tc>
          <w:tcPr>
            <w:tcW w:type="dxa" w:w="1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Mgmt</w:t>
            </w:r>
          </w:p>
        </w:tc>
        <w:tc>
          <w:tcPr>
            <w:tcW w:type="dxa" w:w="14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Nov 2026</w:t>
            </w:r>
          </w:p>
        </w:tc>
        <w:tc>
          <w:tcPr>
            <w:tcW w:type="dxa" w:w="19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Risk assessment report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595959"/>
          <w:sz w:val="18"/>
          <w:szCs w:val="18"/>
        </w:rPr>
        <w:t xml:space="preserve">Assumptions: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NSSF is one of the nine APIF member funds; the meeting precedes the 30 October gate; RBA limits and NSSF approval routes are to be confirmed by Legal. Risk scores are preliminary and based only on the WBG deck.</w:t>
      </w:r>
    </w:p>
    <w:sectPr>
      <w:headerReference w:type="default" r:id="rId7"/>
      <w:footerReference w:type="default" r:id="rId8"/>
      <w:pgSz w:w="11906" w:h="16838" w:orient="portrait"/>
      <w:pgMar w:top="1600" w:right="1134" w:bottom="1134" w:left="1134" w:header="50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38A36" w:sz="12" w:space="4"/>
      </w:pBdr>
      <w:tabs>
        <w:tab w:val="right" w:pos="9638"/>
      </w:tabs>
    </w:pP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STRICTLY CONFIDENTIAL</w:t>
    </w:r>
    <w:r>
      <w:rPr>
        <w:rFonts w:ascii="Arial" w:cs="Arial" w:eastAsia="Arial" w:hAnsi="Arial"/>
        <w:b/>
        <w:bCs/>
        <w:color w:val="1B5E20"/>
        <w:sz w:val="17"/>
        <w:szCs w:val="17"/>
      </w:rPr>
      <w:t xml:space="preserve">	Page </w:t>
    </w:r>
    <w:r>
      <w:rPr>
        <w:rFonts w:ascii="Arial" w:cs="Arial" w:eastAsia="Arial" w:hAnsi="Arial"/>
        <w:b/>
        <w:bCs/>
        <w:color w:val="1B5E2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single" w:color="138A36" w:sz="12"/>
        <w:right w:val="none" w:color="FFFFFF" w:sz="0"/>
        <w:insideH w:val="none" w:color="FFFFFF" w:sz="0"/>
        <w:insideV w:val="none" w:color="FFFFFF" w:sz="0"/>
      </w:tblBorders>
    </w:tblPr>
    <w:tblGrid>
      <w:gridCol w:w="2400"/>
      <w:gridCol w:w="7238"/>
    </w:tblGrid>
    <w:tr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87630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NSSF Kenya  |  Risk Management  |  APIF–WBG Meeting Brief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67" w:hanging="283"/>
      </w:pPr>
      <w:rPr>
        <w:color w:val="138A3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B5E2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34d182b938cc3abd57b312bffe92d48fd584b47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APIF–WBG Meeting Brief: Questions for the World Bank Group</dc:title>
  <dc:creator>NSSF Risk Management</dc:creator>
  <cp:lastModifiedBy>Un-named</cp:lastModifiedBy>
  <cp:revision>1</cp:revision>
  <dcterms:created xsi:type="dcterms:W3CDTF">2026-10-21T10:21:57.806Z</dcterms:created>
  <dcterms:modified xsi:type="dcterms:W3CDTF">2026-10-21T10:21:57.806Z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