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4"/>
        </w:rPr>
        <w:t>DT602 Artefact Example</w:t>
      </w:r>
    </w:p>
    <w:p>
      <w:pPr>
        <w:jc w:val="center"/>
      </w:pPr>
      <w:r>
        <w:rPr>
          <w:b/>
          <w:color w:val="1F4E79"/>
          <w:sz w:val="40"/>
        </w:rPr>
        <w:t>Anonymised AI Assistant Learning Data Example</w:t>
      </w:r>
    </w:p>
    <w:p>
      <w:pPr>
        <w:jc w:val="center"/>
      </w:pPr>
      <w:r>
        <w:rPr>
          <w:i/>
          <w:sz w:val="24"/>
        </w:rPr>
        <w:t>Supplier setup process - planning phase example</w:t>
      </w:r>
    </w:p>
    <w:p/>
    <w:p>
      <w:r>
        <w:rPr>
          <w:b/>
        </w:rPr>
        <w:t xml:space="preserve">Purpose. </w:t>
      </w:r>
      <w:r>
        <w:t>This artefact demonstrates how raw workshop material can be converted into controlled, anonymised learning data for a proposed AI assistant. The example is based on a single process area: supplier setup in a future backoffice operating model. The format is intended to show how the data could be prepared within the organisation’s approved environment before any assistant, search index, retrieval layer or knowledge base is populated.</w:t>
      </w:r>
    </w:p>
    <w:p>
      <w:r>
        <w:rPr>
          <w:b/>
        </w:rPr>
        <w:t xml:space="preserve">Ethical position. </w:t>
      </w:r>
      <w:r>
        <w:t>The example below is not a direct copy of confidential workshop material. It is a sanitised representation that preserves the business logic needed for learning and requirements clarification, while removing or generalising organisation-specific names, system identifiers, process IDs, named individuals, market references and commercially sensitive operating details.</w:t>
      </w:r>
    </w:p>
    <w:p>
      <w:pPr>
        <w:pStyle w:val="Heading1"/>
      </w:pPr>
      <w:r>
        <w:t>1. Source artefact and intended use</w:t>
      </w:r>
    </w:p>
    <w:p>
      <w:r>
        <w:rPr>
          <w:b/>
        </w:rPr>
        <w:t xml:space="preserve">Source context. </w:t>
      </w:r>
      <w:r>
        <w:t>The original workshop content described the end-to-end process for creating or amending a supplier record. It covered initiation by a business requester, completion of a supplier form, review by a support team, due diligence and credit checks, supplier master data setup, finance system mapping, validation and handover to downstream processes. It also captured open design questions around system ownership, sequencing and data duplication.</w:t>
      </w:r>
    </w:p>
    <w:p>
      <w:r>
        <w:rPr>
          <w:b/>
        </w:rPr>
        <w:t xml:space="preserve">AI assistant use case. </w:t>
      </w:r>
      <w:r>
        <w:t>The anonymised data would support a retrieval-based AI assistant that helps implementation vendors, analysts and new staff understand process requirements. Typical questions include: “Who initiates supplier setup?”, “What checks must be completed before setup continues?”, “Which system creates the operational supplier ID?”, “What happens if checks fail?” and “What open decisions still need to be resolved?”</w:t>
      </w:r>
    </w:p>
    <w:tbl>
      <w:tblPr>
        <w:tblStyle w:val="TableGrid"/>
        <w:tblW w:type="auto" w:w="0"/>
        <w:jc w:val="center"/>
        <w:tblLook w:firstColumn="1" w:firstRow="1" w:lastColumn="0" w:lastRow="0" w:noHBand="0" w:noVBand="1" w:val="04A0"/>
      </w:tblPr>
      <w:tblGrid>
        <w:gridCol w:w="5100"/>
        <w:gridCol w:w="5100"/>
      </w:tblGrid>
      <w:tr>
        <w:tc>
          <w:tcPr>
            <w:tcW w:type="dxa" w:w="2268"/>
            <w:vAlign w:val="top"/>
            <w:shd w:fill="D9EAF7"/>
          </w:tcPr>
          <w:p>
            <w:r/>
            <w:r>
              <w:rPr>
                <w:b/>
                <w:sz w:val="17"/>
              </w:rPr>
              <w:t>Audience</w:t>
            </w:r>
          </w:p>
        </w:tc>
        <w:tc>
          <w:tcPr>
            <w:tcW w:type="dxa" w:w="7370"/>
            <w:vAlign w:val="top"/>
            <w:shd w:fill="D9EAF7"/>
          </w:tcPr>
          <w:p>
            <w:r/>
            <w:r>
              <w:rPr>
                <w:b/>
                <w:sz w:val="17"/>
              </w:rPr>
              <w:t>How this learning data helps</w:t>
            </w:r>
          </w:p>
        </w:tc>
      </w:tr>
      <w:tr>
        <w:tc>
          <w:tcPr>
            <w:tcW w:type="dxa" w:w="2268"/>
            <w:vAlign w:val="top"/>
          </w:tcPr>
          <w:p>
            <w:r/>
            <w:r>
              <w:rPr>
                <w:b w:val="0"/>
                <w:sz w:val="17"/>
              </w:rPr>
              <w:t>Implementation vendor</w:t>
            </w:r>
          </w:p>
        </w:tc>
        <w:tc>
          <w:tcPr>
            <w:tcW w:type="dxa" w:w="7370"/>
            <w:vAlign w:val="top"/>
          </w:tcPr>
          <w:p>
            <w:r/>
            <w:r>
              <w:rPr>
                <w:b w:val="0"/>
                <w:sz w:val="17"/>
              </w:rPr>
              <w:t>Clarifies process flow, dependencies, gates, expected data hand-offs and open design decisions without exposing confidential source material.</w:t>
            </w:r>
          </w:p>
        </w:tc>
      </w:tr>
      <w:tr>
        <w:tc>
          <w:tcPr>
            <w:tcW w:type="dxa" w:w="2268"/>
            <w:vAlign w:val="top"/>
          </w:tcPr>
          <w:p>
            <w:r/>
            <w:r>
              <w:rPr>
                <w:b w:val="0"/>
                <w:sz w:val="17"/>
              </w:rPr>
              <w:t>Business analyst / product owner</w:t>
            </w:r>
          </w:p>
        </w:tc>
        <w:tc>
          <w:tcPr>
            <w:tcW w:type="dxa" w:w="7370"/>
            <w:vAlign w:val="top"/>
          </w:tcPr>
          <w:p>
            <w:r/>
            <w:r>
              <w:rPr>
                <w:b w:val="0"/>
                <w:sz w:val="17"/>
              </w:rPr>
              <w:t>Provides structured process knowledge that can be linked to requirements, user stories, acceptance criteria and risk controls.</w:t>
            </w:r>
          </w:p>
        </w:tc>
      </w:tr>
      <w:tr>
        <w:tc>
          <w:tcPr>
            <w:tcW w:type="dxa" w:w="2268"/>
            <w:vAlign w:val="top"/>
          </w:tcPr>
          <w:p>
            <w:r/>
            <w:r>
              <w:rPr>
                <w:b w:val="0"/>
                <w:sz w:val="17"/>
              </w:rPr>
              <w:t>New starter / onboarding user</w:t>
            </w:r>
          </w:p>
        </w:tc>
        <w:tc>
          <w:tcPr>
            <w:tcW w:type="dxa" w:w="7370"/>
            <w:vAlign w:val="top"/>
          </w:tcPr>
          <w:p>
            <w:r/>
            <w:r>
              <w:rPr>
                <w:b w:val="0"/>
                <w:sz w:val="17"/>
              </w:rPr>
              <w:t>Explains the business process in plain language, including roles, systems, decisions and downstream consequences.</w:t>
            </w:r>
          </w:p>
        </w:tc>
      </w:tr>
      <w:tr>
        <w:tc>
          <w:tcPr>
            <w:tcW w:type="dxa" w:w="2268"/>
            <w:vAlign w:val="top"/>
          </w:tcPr>
          <w:p>
            <w:r/>
            <w:r>
              <w:rPr>
                <w:b w:val="0"/>
                <w:sz w:val="17"/>
              </w:rPr>
              <w:t>Ethics / governance reviewer</w:t>
            </w:r>
          </w:p>
        </w:tc>
        <w:tc>
          <w:tcPr>
            <w:tcW w:type="dxa" w:w="7370"/>
            <w:vAlign w:val="top"/>
          </w:tcPr>
          <w:p>
            <w:r/>
            <w:r>
              <w:rPr>
                <w:b w:val="0"/>
                <w:sz w:val="17"/>
              </w:rPr>
              <w:t>Shows how the learning dataset is minimised, anonymised and separated from live business records.</w:t>
            </w:r>
          </w:p>
        </w:tc>
      </w:tr>
    </w:tbl>
    <w:p/>
    <w:p>
      <w:pPr>
        <w:pStyle w:val="Heading1"/>
      </w:pPr>
      <w:r>
        <w:t>2. Confidentiality and anonymisation rules applied</w:t>
      </w:r>
    </w:p>
    <w:p>
      <w:r>
        <w:rPr>
          <w:b/>
        </w:rPr>
        <w:t xml:space="preserve">Control principle. </w:t>
      </w:r>
      <w:r>
        <w:t>The learning value is retained at the level of process logic. Details that could identify the organisation, programme, market, supplier base, internal systems, teams, process IDs or individuals are either removed or replaced with neutral terms. This supports data minimisation and reduces the risk that the AI assistant becomes a channel for accidental disclosure.</w:t>
      </w:r>
    </w:p>
    <w:tbl>
      <w:tblPr>
        <w:tblStyle w:val="TableGrid"/>
        <w:tblW w:type="auto" w:w="0"/>
        <w:jc w:val="center"/>
        <w:tblLook w:firstColumn="1" w:firstRow="1" w:lastColumn="0" w:lastRow="0" w:noHBand="0" w:noVBand="1" w:val="04A0"/>
      </w:tblPr>
      <w:tblGrid>
        <w:gridCol w:w="3400"/>
        <w:gridCol w:w="3400"/>
        <w:gridCol w:w="3400"/>
      </w:tblGrid>
      <w:tr>
        <w:tc>
          <w:tcPr>
            <w:tcW w:type="dxa" w:w="2551"/>
            <w:vAlign w:val="top"/>
            <w:shd w:fill="D9EAF7"/>
          </w:tcPr>
          <w:p>
            <w:r/>
            <w:r>
              <w:rPr>
                <w:b/>
                <w:sz w:val="17"/>
              </w:rPr>
              <w:t>Original content type</w:t>
            </w:r>
          </w:p>
        </w:tc>
        <w:tc>
          <w:tcPr>
            <w:tcW w:type="dxa" w:w="3118"/>
            <w:vAlign w:val="top"/>
            <w:shd w:fill="D9EAF7"/>
          </w:tcPr>
          <w:p>
            <w:r/>
            <w:r>
              <w:rPr>
                <w:b/>
                <w:sz w:val="17"/>
              </w:rPr>
              <w:t>Risk</w:t>
            </w:r>
          </w:p>
        </w:tc>
        <w:tc>
          <w:tcPr>
            <w:tcW w:type="dxa" w:w="3969"/>
            <w:vAlign w:val="top"/>
            <w:shd w:fill="D9EAF7"/>
          </w:tcPr>
          <w:p>
            <w:r/>
            <w:r>
              <w:rPr>
                <w:b/>
                <w:sz w:val="17"/>
              </w:rPr>
              <w:t>Anonymised treatment used in this artefact</w:t>
            </w:r>
          </w:p>
        </w:tc>
      </w:tr>
      <w:tr>
        <w:tc>
          <w:tcPr>
            <w:tcW w:type="dxa" w:w="2551"/>
            <w:vAlign w:val="top"/>
          </w:tcPr>
          <w:p>
            <w:r/>
            <w:r>
              <w:rPr>
                <w:b w:val="0"/>
                <w:sz w:val="17"/>
              </w:rPr>
              <w:t>Organisation, programme and market names</w:t>
            </w:r>
          </w:p>
        </w:tc>
        <w:tc>
          <w:tcPr>
            <w:tcW w:type="dxa" w:w="3118"/>
            <w:vAlign w:val="top"/>
          </w:tcPr>
          <w:p>
            <w:r/>
            <w:r>
              <w:rPr>
                <w:b w:val="0"/>
                <w:sz w:val="17"/>
              </w:rPr>
              <w:t>Could identify the enterprise, transformation programme or country-specific implementation.</w:t>
            </w:r>
          </w:p>
        </w:tc>
        <w:tc>
          <w:tcPr>
            <w:tcW w:type="dxa" w:w="3969"/>
            <w:vAlign w:val="top"/>
          </w:tcPr>
          <w:p>
            <w:r/>
            <w:r>
              <w:rPr>
                <w:b w:val="0"/>
                <w:sz w:val="17"/>
              </w:rPr>
              <w:t>Replaced with “Organisation A”, “Target Programme” or “Market A”; no real brand or market name retained.</w:t>
            </w:r>
          </w:p>
        </w:tc>
      </w:tr>
      <w:tr>
        <w:tc>
          <w:tcPr>
            <w:tcW w:type="dxa" w:w="2551"/>
            <w:vAlign w:val="top"/>
          </w:tcPr>
          <w:p>
            <w:r/>
            <w:r>
              <w:rPr>
                <w:b w:val="0"/>
                <w:sz w:val="17"/>
              </w:rPr>
              <w:t>Internal system and platform names</w:t>
            </w:r>
          </w:p>
        </w:tc>
        <w:tc>
          <w:tcPr>
            <w:tcW w:type="dxa" w:w="3118"/>
            <w:vAlign w:val="top"/>
          </w:tcPr>
          <w:p>
            <w:r/>
            <w:r>
              <w:rPr>
                <w:b w:val="0"/>
                <w:sz w:val="17"/>
              </w:rPr>
              <w:t>Could reveal technology estate, integration dependencies or supplier/vendor relationships.</w:t>
            </w:r>
          </w:p>
        </w:tc>
        <w:tc>
          <w:tcPr>
            <w:tcW w:type="dxa" w:w="3969"/>
            <w:vAlign w:val="top"/>
          </w:tcPr>
          <w:p>
            <w:r/>
            <w:r>
              <w:rPr>
                <w:b w:val="0"/>
                <w:sz w:val="17"/>
              </w:rPr>
              <w:t>Replaced with generic labels such as “Target Backoffice System”, “Finance ERP”, “Due Diligence Tool”, “Replenishment System” and “Logistics Partner System”.</w:t>
            </w:r>
          </w:p>
        </w:tc>
      </w:tr>
      <w:tr>
        <w:tc>
          <w:tcPr>
            <w:tcW w:type="dxa" w:w="2551"/>
            <w:vAlign w:val="top"/>
          </w:tcPr>
          <w:p>
            <w:r/>
            <w:r>
              <w:rPr>
                <w:b w:val="0"/>
                <w:sz w:val="17"/>
              </w:rPr>
              <w:t>Named roles or small-team labels</w:t>
            </w:r>
          </w:p>
        </w:tc>
        <w:tc>
          <w:tcPr>
            <w:tcW w:type="dxa" w:w="3118"/>
            <w:vAlign w:val="top"/>
          </w:tcPr>
          <w:p>
            <w:r/>
            <w:r>
              <w:rPr>
                <w:b w:val="0"/>
                <w:sz w:val="17"/>
              </w:rPr>
              <w:t>Could reveal internal operating model or identify individuals in a narrow process area.</w:t>
            </w:r>
          </w:p>
        </w:tc>
        <w:tc>
          <w:tcPr>
            <w:tcW w:type="dxa" w:w="3969"/>
            <w:vAlign w:val="top"/>
          </w:tcPr>
          <w:p>
            <w:r/>
            <w:r>
              <w:rPr>
                <w:b w:val="0"/>
                <w:sz w:val="17"/>
              </w:rPr>
              <w:t>Converted to functional roles such as “Business Requester”, “Process Support Lead”, “Finance Master Data Lead” and “Support Analyst”.</w:t>
            </w:r>
          </w:p>
        </w:tc>
      </w:tr>
      <w:tr>
        <w:tc>
          <w:tcPr>
            <w:tcW w:type="dxa" w:w="2551"/>
            <w:vAlign w:val="top"/>
          </w:tcPr>
          <w:p>
            <w:r/>
            <w:r>
              <w:rPr>
                <w:b w:val="0"/>
                <w:sz w:val="17"/>
              </w:rPr>
              <w:t>Process reference numbers and comments</w:t>
            </w:r>
          </w:p>
        </w:tc>
        <w:tc>
          <w:tcPr>
            <w:tcW w:type="dxa" w:w="3118"/>
            <w:vAlign w:val="top"/>
          </w:tcPr>
          <w:p>
            <w:r/>
            <w:r>
              <w:rPr>
                <w:b w:val="0"/>
                <w:sz w:val="17"/>
              </w:rPr>
              <w:t>Could link the material back to internal process maps or proprietary modelling repositories.</w:t>
            </w:r>
          </w:p>
        </w:tc>
        <w:tc>
          <w:tcPr>
            <w:tcW w:type="dxa" w:w="3969"/>
            <w:vAlign w:val="top"/>
          </w:tcPr>
          <w:p>
            <w:r/>
            <w:r>
              <w:rPr>
                <w:b w:val="0"/>
                <w:sz w:val="17"/>
              </w:rPr>
              <w:t>Removed. Open design questions are retained as neutral “design decisions” without original reference numbers.</w:t>
            </w:r>
          </w:p>
        </w:tc>
      </w:tr>
      <w:tr>
        <w:tc>
          <w:tcPr>
            <w:tcW w:type="dxa" w:w="2551"/>
            <w:vAlign w:val="top"/>
          </w:tcPr>
          <w:p>
            <w:r/>
            <w:r>
              <w:rPr>
                <w:b w:val="0"/>
                <w:sz w:val="17"/>
              </w:rPr>
              <w:t>Commercially sensitive operating details</w:t>
            </w:r>
          </w:p>
        </w:tc>
        <w:tc>
          <w:tcPr>
            <w:tcW w:type="dxa" w:w="3118"/>
            <w:vAlign w:val="top"/>
          </w:tcPr>
          <w:p>
            <w:r/>
            <w:r>
              <w:rPr>
                <w:b w:val="0"/>
                <w:sz w:val="17"/>
              </w:rPr>
              <w:t>Could expose exact internal dependencies, partner relationships or design constraints.</w:t>
            </w:r>
          </w:p>
        </w:tc>
        <w:tc>
          <w:tcPr>
            <w:tcW w:type="dxa" w:w="3969"/>
            <w:vAlign w:val="top"/>
          </w:tcPr>
          <w:p>
            <w:r/>
            <w:r>
              <w:rPr>
                <w:b w:val="0"/>
                <w:sz w:val="17"/>
              </w:rPr>
              <w:t>Generalised to process-level requirements and integration considerations only.</w:t>
            </w:r>
          </w:p>
        </w:tc>
      </w:tr>
      <w:tr>
        <w:tc>
          <w:tcPr>
            <w:tcW w:type="dxa" w:w="2551"/>
            <w:vAlign w:val="top"/>
          </w:tcPr>
          <w:p>
            <w:r/>
            <w:r>
              <w:rPr>
                <w:b w:val="0"/>
                <w:sz w:val="17"/>
              </w:rPr>
              <w:t>Personal data from workshop speakers</w:t>
            </w:r>
          </w:p>
        </w:tc>
        <w:tc>
          <w:tcPr>
            <w:tcW w:type="dxa" w:w="3118"/>
            <w:vAlign w:val="top"/>
          </w:tcPr>
          <w:p>
            <w:r/>
            <w:r>
              <w:rPr>
                <w:b w:val="0"/>
                <w:sz w:val="17"/>
              </w:rPr>
              <w:t>Could identify individuals or their views.</w:t>
            </w:r>
          </w:p>
        </w:tc>
        <w:tc>
          <w:tcPr>
            <w:tcW w:type="dxa" w:w="3969"/>
            <w:vAlign w:val="top"/>
          </w:tcPr>
          <w:p>
            <w:r/>
            <w:r>
              <w:rPr>
                <w:b w:val="0"/>
                <w:sz w:val="17"/>
              </w:rPr>
              <w:t>Speaker names, speaker numbers and personal references removed entirely.</w:t>
            </w:r>
          </w:p>
        </w:tc>
      </w:tr>
    </w:tbl>
    <w:p/>
    <w:p>
      <w:pPr>
        <w:pStyle w:val="Heading1"/>
      </w:pPr>
      <w:r>
        <w:t>3. Anonymised learning data pack</w:t>
      </w:r>
    </w:p>
    <w:p>
      <w:r>
        <w:rPr>
          <w:b/>
        </w:rPr>
        <w:t xml:space="preserve">Dataset type. </w:t>
      </w:r>
      <w:r>
        <w:t>The following content shows the type of records that could be entered into an internal AI assistant knowledge base. Each record is written as reusable learning data rather than as a meeting transcript. It is intentionally structured, concise and factual, so that it can support retrieval, question answering, requirements elaboration and onboarding.</w:t>
      </w:r>
    </w:p>
    <w:p>
      <w:pPr>
        <w:pStyle w:val="Heading2"/>
      </w:pPr>
      <w:r>
        <w:t>3.1 Knowledge source card</w:t>
      </w:r>
    </w:p>
    <w:tbl>
      <w:tblPr>
        <w:tblStyle w:val="TableGrid"/>
        <w:tblW w:type="auto" w:w="0"/>
        <w:jc w:val="center"/>
        <w:tblLook w:firstColumn="1" w:firstRow="1" w:lastColumn="0" w:lastRow="0" w:noHBand="0" w:noVBand="1" w:val="04A0"/>
      </w:tblPr>
      <w:tblGrid>
        <w:gridCol w:w="5100"/>
        <w:gridCol w:w="5100"/>
      </w:tblGrid>
      <w:tr>
        <w:tc>
          <w:tcPr>
            <w:tcW w:type="dxa" w:w="2835"/>
            <w:vAlign w:val="top"/>
            <w:shd w:fill="D9EAF7"/>
          </w:tcPr>
          <w:p>
            <w:r/>
            <w:r>
              <w:rPr>
                <w:b/>
                <w:sz w:val="17"/>
              </w:rPr>
              <w:t>Field</w:t>
            </w:r>
          </w:p>
        </w:tc>
        <w:tc>
          <w:tcPr>
            <w:tcW w:type="dxa" w:w="6803"/>
            <w:vAlign w:val="top"/>
            <w:shd w:fill="D9EAF7"/>
          </w:tcPr>
          <w:p>
            <w:r/>
            <w:r>
              <w:rPr>
                <w:b/>
                <w:sz w:val="17"/>
              </w:rPr>
              <w:t>Anonymised value</w:t>
            </w:r>
          </w:p>
        </w:tc>
      </w:tr>
      <w:tr>
        <w:tc>
          <w:tcPr>
            <w:tcW w:type="dxa" w:w="2835"/>
            <w:vAlign w:val="top"/>
          </w:tcPr>
          <w:p>
            <w:r/>
            <w:r>
              <w:rPr>
                <w:b w:val="0"/>
                <w:sz w:val="17"/>
              </w:rPr>
              <w:t>Knowledge record ID</w:t>
            </w:r>
          </w:p>
        </w:tc>
        <w:tc>
          <w:tcPr>
            <w:tcW w:type="dxa" w:w="6803"/>
            <w:vAlign w:val="top"/>
          </w:tcPr>
          <w:p>
            <w:r/>
            <w:r>
              <w:rPr>
                <w:b w:val="0"/>
                <w:sz w:val="17"/>
              </w:rPr>
              <w:t>PROC-SUP-SETUP-001</w:t>
            </w:r>
          </w:p>
        </w:tc>
      </w:tr>
      <w:tr>
        <w:tc>
          <w:tcPr>
            <w:tcW w:type="dxa" w:w="2835"/>
            <w:vAlign w:val="top"/>
          </w:tcPr>
          <w:p>
            <w:r/>
            <w:r>
              <w:rPr>
                <w:b w:val="0"/>
                <w:sz w:val="17"/>
              </w:rPr>
              <w:t>Process area</w:t>
            </w:r>
          </w:p>
        </w:tc>
        <w:tc>
          <w:tcPr>
            <w:tcW w:type="dxa" w:w="6803"/>
            <w:vAlign w:val="top"/>
          </w:tcPr>
          <w:p>
            <w:r/>
            <w:r>
              <w:rPr>
                <w:b w:val="0"/>
                <w:sz w:val="17"/>
              </w:rPr>
              <w:t>Supplier setup and supplier master data maintenance</w:t>
            </w:r>
          </w:p>
        </w:tc>
      </w:tr>
      <w:tr>
        <w:tc>
          <w:tcPr>
            <w:tcW w:type="dxa" w:w="2835"/>
            <w:vAlign w:val="top"/>
          </w:tcPr>
          <w:p>
            <w:r/>
            <w:r>
              <w:rPr>
                <w:b w:val="0"/>
                <w:sz w:val="17"/>
              </w:rPr>
              <w:t>Business domain</w:t>
            </w:r>
          </w:p>
        </w:tc>
        <w:tc>
          <w:tcPr>
            <w:tcW w:type="dxa" w:w="6803"/>
            <w:vAlign w:val="top"/>
          </w:tcPr>
          <w:p>
            <w:r/>
            <w:r>
              <w:rPr>
                <w:b w:val="0"/>
                <w:sz w:val="17"/>
              </w:rPr>
              <w:t>Retail backoffice / supplier master data</w:t>
            </w:r>
          </w:p>
        </w:tc>
      </w:tr>
      <w:tr>
        <w:tc>
          <w:tcPr>
            <w:tcW w:type="dxa" w:w="2835"/>
            <w:vAlign w:val="top"/>
          </w:tcPr>
          <w:p>
            <w:r/>
            <w:r>
              <w:rPr>
                <w:b w:val="0"/>
                <w:sz w:val="17"/>
              </w:rPr>
              <w:t>Lifecycle phase</w:t>
            </w:r>
          </w:p>
        </w:tc>
        <w:tc>
          <w:tcPr>
            <w:tcW w:type="dxa" w:w="6803"/>
            <w:vAlign w:val="top"/>
          </w:tcPr>
          <w:p>
            <w:r/>
            <w:r>
              <w:rPr>
                <w:b w:val="0"/>
                <w:sz w:val="17"/>
              </w:rPr>
              <w:t>Planning and discovery</w:t>
            </w:r>
          </w:p>
        </w:tc>
      </w:tr>
      <w:tr>
        <w:tc>
          <w:tcPr>
            <w:tcW w:type="dxa" w:w="2835"/>
            <w:vAlign w:val="top"/>
          </w:tcPr>
          <w:p>
            <w:r/>
            <w:r>
              <w:rPr>
                <w:b w:val="0"/>
                <w:sz w:val="17"/>
              </w:rPr>
              <w:t>Confidentiality classification for AI ingestion</w:t>
            </w:r>
          </w:p>
        </w:tc>
        <w:tc>
          <w:tcPr>
            <w:tcW w:type="dxa" w:w="6803"/>
            <w:vAlign w:val="top"/>
          </w:tcPr>
          <w:p>
            <w:r/>
            <w:r>
              <w:rPr>
                <w:b w:val="0"/>
                <w:sz w:val="17"/>
              </w:rPr>
              <w:t>Anonymised learning data - no live supplier records, no personal data, no real system names</w:t>
            </w:r>
          </w:p>
        </w:tc>
      </w:tr>
      <w:tr>
        <w:tc>
          <w:tcPr>
            <w:tcW w:type="dxa" w:w="2835"/>
            <w:vAlign w:val="top"/>
          </w:tcPr>
          <w:p>
            <w:r/>
            <w:r>
              <w:rPr>
                <w:b w:val="0"/>
                <w:sz w:val="17"/>
              </w:rPr>
              <w:t>Primary purpose</w:t>
            </w:r>
          </w:p>
        </w:tc>
        <w:tc>
          <w:tcPr>
            <w:tcW w:type="dxa" w:w="6803"/>
            <w:vAlign w:val="top"/>
          </w:tcPr>
          <w:p>
            <w:r/>
            <w:r>
              <w:rPr>
                <w:b w:val="0"/>
                <w:sz w:val="17"/>
              </w:rPr>
              <w:t>Help users understand the target supplier setup process, required approvals, system hand-offs and open design questions.</w:t>
            </w:r>
          </w:p>
        </w:tc>
      </w:tr>
      <w:tr>
        <w:tc>
          <w:tcPr>
            <w:tcW w:type="dxa" w:w="2835"/>
            <w:vAlign w:val="top"/>
          </w:tcPr>
          <w:p>
            <w:r/>
            <w:r>
              <w:rPr>
                <w:b w:val="0"/>
                <w:sz w:val="17"/>
              </w:rPr>
              <w:t>Permitted assistant use</w:t>
            </w:r>
          </w:p>
        </w:tc>
        <w:tc>
          <w:tcPr>
            <w:tcW w:type="dxa" w:w="6803"/>
            <w:vAlign w:val="top"/>
          </w:tcPr>
          <w:p>
            <w:r/>
            <w:r>
              <w:rPr>
                <w:b w:val="0"/>
                <w:sz w:val="17"/>
              </w:rPr>
              <w:t>Process clarification, onboarding, requirements drafting, test scenario preparation and gap analysis.</w:t>
            </w:r>
          </w:p>
        </w:tc>
      </w:tr>
      <w:tr>
        <w:tc>
          <w:tcPr>
            <w:tcW w:type="dxa" w:w="2835"/>
            <w:vAlign w:val="top"/>
          </w:tcPr>
          <w:p>
            <w:r/>
            <w:r>
              <w:rPr>
                <w:b w:val="0"/>
                <w:sz w:val="17"/>
              </w:rPr>
              <w:t>Prohibited assistant use</w:t>
            </w:r>
          </w:p>
        </w:tc>
        <w:tc>
          <w:tcPr>
            <w:tcW w:type="dxa" w:w="6803"/>
            <w:vAlign w:val="top"/>
          </w:tcPr>
          <w:p>
            <w:r/>
            <w:r>
              <w:rPr>
                <w:b w:val="0"/>
                <w:sz w:val="17"/>
              </w:rPr>
              <w:t>Do not infer real supplier details, approve onboarding, replace due diligence, expose source workshop material or make production system changes.</w:t>
            </w:r>
          </w:p>
        </w:tc>
      </w:tr>
    </w:tbl>
    <w:p/>
    <w:p>
      <w:pPr>
        <w:pStyle w:val="Heading2"/>
      </w:pPr>
      <w:r>
        <w:t>3.2 Plain-English process narrative</w:t>
      </w:r>
    </w:p>
    <w:p>
      <w:r>
        <w:rPr>
          <w:b/>
        </w:rPr>
        <w:t xml:space="preserve">Overview. </w:t>
      </w:r>
      <w:r>
        <w:t>Supplier setup is a controlled, multi-step process. It begins when a business requester decides to onboard a new supplier or amend an existing supplier record. The requester completes a supplier setup form and sends it to the process support team for review. The process support team checks whether the request is complete and asks the requester for corrections where information is missing or unclear.</w:t>
      </w:r>
    </w:p>
    <w:p>
      <w:r>
        <w:rPr>
          <w:b/>
        </w:rPr>
        <w:t xml:space="preserve">Pre-setup controls. </w:t>
      </w:r>
      <w:r>
        <w:t>For new suppliers, due diligence and credit checks must be completed before the supplier can be enabled for operational use. These checks act as a gate. If either check fails, the supplier is not onboarded and the failure is communicated to the relevant requester. If the checks are approved, the process can move to supplier master data setup.</w:t>
      </w:r>
    </w:p>
    <w:p>
      <w:r>
        <w:rPr>
          <w:b/>
        </w:rPr>
        <w:t xml:space="preserve">Operational setup. </w:t>
      </w:r>
      <w:r>
        <w:t>After approval, the support analyst creates or amends the supplier record in the target backoffice system. The system generates an operational supplier identifier, which is recorded against the supplier setup request. The request is then reviewed and submitted for supplier master data validation.</w:t>
      </w:r>
    </w:p>
    <w:p>
      <w:r>
        <w:rPr>
          <w:b/>
        </w:rPr>
        <w:t xml:space="preserve">Finance mapping. </w:t>
      </w:r>
      <w:r>
        <w:t>The finance master data lead reviews the supplier master data changes and updates the finance interface or account mapping so that the operational supplier identifier is linked to the finance supplier identifier. This mapping is required because the operational system and finance system use different identifiers.</w:t>
      </w:r>
    </w:p>
    <w:p>
      <w:r>
        <w:rPr>
          <w:b/>
        </w:rPr>
        <w:t xml:space="preserve">Validation and handover. </w:t>
      </w:r>
      <w:r>
        <w:t>Once the supplier record has been created or amended, and the operational-to-finance mapping is complete, the process support lead validates the setup in the target backoffice system. The supplier setup or change is then treated as complete and can be handed over to downstream processes such as invoice reconciliation, ordering, receiving and payment processing.</w:t>
      </w:r>
    </w:p>
    <w:p>
      <w:pPr>
        <w:pStyle w:val="Heading2"/>
      </w:pPr>
      <w:r>
        <w:t>3.3 Structured process steps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567"/>
            <w:vAlign w:val="top"/>
            <w:shd w:fill="D9EAF7"/>
          </w:tcPr>
          <w:p>
            <w:r/>
            <w:r>
              <w:rPr>
                <w:b/>
                <w:sz w:val="17"/>
              </w:rPr>
              <w:t>Step</w:t>
            </w:r>
          </w:p>
        </w:tc>
        <w:tc>
          <w:tcPr>
            <w:tcW w:type="dxa" w:w="2098"/>
            <w:vAlign w:val="top"/>
            <w:shd w:fill="D9EAF7"/>
          </w:tcPr>
          <w:p>
            <w:r/>
            <w:r>
              <w:rPr>
                <w:b/>
                <w:sz w:val="17"/>
              </w:rPr>
              <w:t>Activity</w:t>
            </w:r>
          </w:p>
        </w:tc>
        <w:tc>
          <w:tcPr>
            <w:tcW w:type="dxa" w:w="1814"/>
            <w:vAlign w:val="top"/>
            <w:shd w:fill="D9EAF7"/>
          </w:tcPr>
          <w:p>
            <w:r/>
            <w:r>
              <w:rPr>
                <w:b/>
                <w:sz w:val="17"/>
              </w:rPr>
              <w:t>Primary role</w:t>
            </w:r>
          </w:p>
        </w:tc>
        <w:tc>
          <w:tcPr>
            <w:tcW w:type="dxa" w:w="1984"/>
            <w:vAlign w:val="top"/>
            <w:shd w:fill="D9EAF7"/>
          </w:tcPr>
          <w:p>
            <w:r/>
            <w:r>
              <w:rPr>
                <w:b/>
                <w:sz w:val="17"/>
              </w:rPr>
              <w:t>Input / trigger</w:t>
            </w:r>
          </w:p>
        </w:tc>
        <w:tc>
          <w:tcPr>
            <w:tcW w:type="dxa" w:w="1984"/>
            <w:vAlign w:val="top"/>
            <w:shd w:fill="D9EAF7"/>
          </w:tcPr>
          <w:p>
            <w:r/>
            <w:r>
              <w:rPr>
                <w:b/>
                <w:sz w:val="17"/>
              </w:rPr>
              <w:t>Output / result</w:t>
            </w:r>
          </w:p>
        </w:tc>
        <w:tc>
          <w:tcPr>
            <w:tcW w:type="dxa" w:w="1587"/>
            <w:vAlign w:val="top"/>
            <w:shd w:fill="D9EAF7"/>
          </w:tcPr>
          <w:p>
            <w:r/>
            <w:r>
              <w:rPr>
                <w:b/>
                <w:sz w:val="17"/>
              </w:rPr>
              <w:t>System or channel</w:t>
            </w:r>
          </w:p>
        </w:tc>
      </w:tr>
      <w:tr>
        <w:tc>
          <w:tcPr>
            <w:tcW w:type="dxa" w:w="567"/>
            <w:vAlign w:val="top"/>
          </w:tcPr>
          <w:p>
            <w:r/>
            <w:r>
              <w:rPr>
                <w:b w:val="0"/>
                <w:sz w:val="17"/>
              </w:rPr>
              <w:t>1</w:t>
            </w:r>
          </w:p>
        </w:tc>
        <w:tc>
          <w:tcPr>
            <w:tcW w:type="dxa" w:w="2098"/>
            <w:vAlign w:val="top"/>
          </w:tcPr>
          <w:p>
            <w:r/>
            <w:r>
              <w:rPr>
                <w:b w:val="0"/>
                <w:sz w:val="17"/>
              </w:rPr>
              <w:t>Trigger supplier setup or change</w:t>
            </w:r>
          </w:p>
        </w:tc>
        <w:tc>
          <w:tcPr>
            <w:tcW w:type="dxa" w:w="1814"/>
            <w:vAlign w:val="top"/>
          </w:tcPr>
          <w:p>
            <w:r/>
            <w:r>
              <w:rPr>
                <w:b w:val="0"/>
                <w:sz w:val="17"/>
              </w:rPr>
              <w:t>Business Requester</w:t>
            </w:r>
          </w:p>
        </w:tc>
        <w:tc>
          <w:tcPr>
            <w:tcW w:type="dxa" w:w="1984"/>
            <w:vAlign w:val="top"/>
          </w:tcPr>
          <w:p>
            <w:r/>
            <w:r>
              <w:rPr>
                <w:b w:val="0"/>
                <w:sz w:val="17"/>
              </w:rPr>
              <w:t>Supplier needs to be created or amended.</w:t>
            </w:r>
          </w:p>
        </w:tc>
        <w:tc>
          <w:tcPr>
            <w:tcW w:type="dxa" w:w="1984"/>
            <w:vAlign w:val="top"/>
          </w:tcPr>
          <w:p>
            <w:r/>
            <w:r>
              <w:rPr>
                <w:b w:val="0"/>
                <w:sz w:val="17"/>
              </w:rPr>
              <w:t>Supplier setup request initiated.</w:t>
            </w:r>
          </w:p>
        </w:tc>
        <w:tc>
          <w:tcPr>
            <w:tcW w:type="dxa" w:w="1587"/>
            <w:vAlign w:val="top"/>
          </w:tcPr>
          <w:p>
            <w:r/>
            <w:r>
              <w:rPr>
                <w:b w:val="0"/>
                <w:sz w:val="17"/>
              </w:rPr>
              <w:t>Manual / non-system</w:t>
            </w:r>
          </w:p>
        </w:tc>
      </w:tr>
      <w:tr>
        <w:tc>
          <w:tcPr>
            <w:tcW w:type="dxa" w:w="567"/>
            <w:vAlign w:val="top"/>
          </w:tcPr>
          <w:p>
            <w:r/>
            <w:r>
              <w:rPr>
                <w:b w:val="0"/>
                <w:sz w:val="17"/>
              </w:rPr>
              <w:t>2</w:t>
            </w:r>
          </w:p>
        </w:tc>
        <w:tc>
          <w:tcPr>
            <w:tcW w:type="dxa" w:w="2098"/>
            <w:vAlign w:val="top"/>
          </w:tcPr>
          <w:p>
            <w:r/>
            <w:r>
              <w:rPr>
                <w:b w:val="0"/>
                <w:sz w:val="17"/>
              </w:rPr>
              <w:t>Complete supplier setup form</w:t>
            </w:r>
          </w:p>
        </w:tc>
        <w:tc>
          <w:tcPr>
            <w:tcW w:type="dxa" w:w="1814"/>
            <w:vAlign w:val="top"/>
          </w:tcPr>
          <w:p>
            <w:r/>
            <w:r>
              <w:rPr>
                <w:b w:val="0"/>
                <w:sz w:val="17"/>
              </w:rPr>
              <w:t>Business Requester</w:t>
            </w:r>
          </w:p>
        </w:tc>
        <w:tc>
          <w:tcPr>
            <w:tcW w:type="dxa" w:w="1984"/>
            <w:vAlign w:val="top"/>
          </w:tcPr>
          <w:p>
            <w:r/>
            <w:r>
              <w:rPr>
                <w:b w:val="0"/>
                <w:sz w:val="17"/>
              </w:rPr>
              <w:t>Supplier details available.</w:t>
            </w:r>
          </w:p>
        </w:tc>
        <w:tc>
          <w:tcPr>
            <w:tcW w:type="dxa" w:w="1984"/>
            <w:vAlign w:val="top"/>
          </w:tcPr>
          <w:p>
            <w:r/>
            <w:r>
              <w:rPr>
                <w:b w:val="0"/>
                <w:sz w:val="17"/>
              </w:rPr>
              <w:t>Supplier setup form completed.</w:t>
            </w:r>
          </w:p>
        </w:tc>
        <w:tc>
          <w:tcPr>
            <w:tcW w:type="dxa" w:w="1587"/>
            <w:vAlign w:val="top"/>
          </w:tcPr>
          <w:p>
            <w:r/>
            <w:r>
              <w:rPr>
                <w:b w:val="0"/>
                <w:sz w:val="17"/>
              </w:rPr>
              <w:t>Spreadsheet template</w:t>
            </w:r>
          </w:p>
        </w:tc>
      </w:tr>
      <w:tr>
        <w:tc>
          <w:tcPr>
            <w:tcW w:type="dxa" w:w="567"/>
            <w:vAlign w:val="top"/>
          </w:tcPr>
          <w:p>
            <w:r/>
            <w:r>
              <w:rPr>
                <w:b w:val="0"/>
                <w:sz w:val="17"/>
              </w:rPr>
              <w:t>3</w:t>
            </w:r>
          </w:p>
        </w:tc>
        <w:tc>
          <w:tcPr>
            <w:tcW w:type="dxa" w:w="2098"/>
            <w:vAlign w:val="top"/>
          </w:tcPr>
          <w:p>
            <w:r/>
            <w:r>
              <w:rPr>
                <w:b w:val="0"/>
                <w:sz w:val="17"/>
              </w:rPr>
              <w:t>Submit request to support team</w:t>
            </w:r>
          </w:p>
        </w:tc>
        <w:tc>
          <w:tcPr>
            <w:tcW w:type="dxa" w:w="1814"/>
            <w:vAlign w:val="top"/>
          </w:tcPr>
          <w:p>
            <w:r/>
            <w:r>
              <w:rPr>
                <w:b w:val="0"/>
                <w:sz w:val="17"/>
              </w:rPr>
              <w:t>Business Requester</w:t>
            </w:r>
          </w:p>
        </w:tc>
        <w:tc>
          <w:tcPr>
            <w:tcW w:type="dxa" w:w="1984"/>
            <w:vAlign w:val="top"/>
          </w:tcPr>
          <w:p>
            <w:r/>
            <w:r>
              <w:rPr>
                <w:b w:val="0"/>
                <w:sz w:val="17"/>
              </w:rPr>
              <w:t>Form completed.</w:t>
            </w:r>
          </w:p>
        </w:tc>
        <w:tc>
          <w:tcPr>
            <w:tcW w:type="dxa" w:w="1984"/>
            <w:vAlign w:val="top"/>
          </w:tcPr>
          <w:p>
            <w:r/>
            <w:r>
              <w:rPr>
                <w:b w:val="0"/>
                <w:sz w:val="17"/>
              </w:rPr>
              <w:t>Request received by process support team.</w:t>
            </w:r>
          </w:p>
        </w:tc>
        <w:tc>
          <w:tcPr>
            <w:tcW w:type="dxa" w:w="1587"/>
            <w:vAlign w:val="top"/>
          </w:tcPr>
          <w:p>
            <w:r/>
            <w:r>
              <w:rPr>
                <w:b w:val="0"/>
                <w:sz w:val="17"/>
              </w:rPr>
              <w:t>Email / workflow channel</w:t>
            </w:r>
          </w:p>
        </w:tc>
      </w:tr>
      <w:tr>
        <w:tc>
          <w:tcPr>
            <w:tcW w:type="dxa" w:w="567"/>
            <w:vAlign w:val="top"/>
          </w:tcPr>
          <w:p>
            <w:r/>
            <w:r>
              <w:rPr>
                <w:b w:val="0"/>
                <w:sz w:val="17"/>
              </w:rPr>
              <w:t>4</w:t>
            </w:r>
          </w:p>
        </w:tc>
        <w:tc>
          <w:tcPr>
            <w:tcW w:type="dxa" w:w="2098"/>
            <w:vAlign w:val="top"/>
          </w:tcPr>
          <w:p>
            <w:r/>
            <w:r>
              <w:rPr>
                <w:b w:val="0"/>
                <w:sz w:val="17"/>
              </w:rPr>
              <w:t>Review supplier setup or change request</w:t>
            </w:r>
          </w:p>
        </w:tc>
        <w:tc>
          <w:tcPr>
            <w:tcW w:type="dxa" w:w="1814"/>
            <w:vAlign w:val="top"/>
          </w:tcPr>
          <w:p>
            <w:r/>
            <w:r>
              <w:rPr>
                <w:b w:val="0"/>
                <w:sz w:val="17"/>
              </w:rPr>
              <w:t>Process Support Lead / Support Analyst</w:t>
            </w:r>
          </w:p>
        </w:tc>
        <w:tc>
          <w:tcPr>
            <w:tcW w:type="dxa" w:w="1984"/>
            <w:vAlign w:val="top"/>
          </w:tcPr>
          <w:p>
            <w:r/>
            <w:r>
              <w:rPr>
                <w:b w:val="0"/>
                <w:sz w:val="17"/>
              </w:rPr>
              <w:t>Request received.</w:t>
            </w:r>
          </w:p>
        </w:tc>
        <w:tc>
          <w:tcPr>
            <w:tcW w:type="dxa" w:w="1984"/>
            <w:vAlign w:val="top"/>
          </w:tcPr>
          <w:p>
            <w:r/>
            <w:r>
              <w:rPr>
                <w:b w:val="0"/>
                <w:sz w:val="17"/>
              </w:rPr>
              <w:t>Request accepted for checks or returned for correction.</w:t>
            </w:r>
          </w:p>
        </w:tc>
        <w:tc>
          <w:tcPr>
            <w:tcW w:type="dxa" w:w="1587"/>
            <w:vAlign w:val="top"/>
          </w:tcPr>
          <w:p>
            <w:r/>
            <w:r>
              <w:rPr>
                <w:b w:val="0"/>
                <w:sz w:val="17"/>
              </w:rPr>
              <w:t>Email / workflow channel</w:t>
            </w:r>
          </w:p>
        </w:tc>
      </w:tr>
      <w:tr>
        <w:tc>
          <w:tcPr>
            <w:tcW w:type="dxa" w:w="567"/>
            <w:vAlign w:val="top"/>
          </w:tcPr>
          <w:p>
            <w:r/>
            <w:r>
              <w:rPr>
                <w:b w:val="0"/>
                <w:sz w:val="17"/>
              </w:rPr>
              <w:t>5</w:t>
            </w:r>
          </w:p>
        </w:tc>
        <w:tc>
          <w:tcPr>
            <w:tcW w:type="dxa" w:w="2098"/>
            <w:vAlign w:val="top"/>
          </w:tcPr>
          <w:p>
            <w:r/>
            <w:r>
              <w:rPr>
                <w:b w:val="0"/>
                <w:sz w:val="17"/>
              </w:rPr>
              <w:t>Complete due diligence pack</w:t>
            </w:r>
          </w:p>
        </w:tc>
        <w:tc>
          <w:tcPr>
            <w:tcW w:type="dxa" w:w="1814"/>
            <w:vAlign w:val="top"/>
          </w:tcPr>
          <w:p>
            <w:r/>
            <w:r>
              <w:rPr>
                <w:b w:val="0"/>
                <w:sz w:val="17"/>
              </w:rPr>
              <w:t>Process Support Lead</w:t>
            </w:r>
          </w:p>
        </w:tc>
        <w:tc>
          <w:tcPr>
            <w:tcW w:type="dxa" w:w="1984"/>
            <w:vAlign w:val="top"/>
          </w:tcPr>
          <w:p>
            <w:r/>
            <w:r>
              <w:rPr>
                <w:b w:val="0"/>
                <w:sz w:val="17"/>
              </w:rPr>
              <w:t>New supplier request confirmed.</w:t>
            </w:r>
          </w:p>
        </w:tc>
        <w:tc>
          <w:tcPr>
            <w:tcW w:type="dxa" w:w="1984"/>
            <w:vAlign w:val="top"/>
          </w:tcPr>
          <w:p>
            <w:r/>
            <w:r>
              <w:rPr>
                <w:b w:val="0"/>
                <w:sz w:val="17"/>
              </w:rPr>
              <w:t>Due diligence pack submitted.</w:t>
            </w:r>
          </w:p>
        </w:tc>
        <w:tc>
          <w:tcPr>
            <w:tcW w:type="dxa" w:w="1587"/>
            <w:vAlign w:val="top"/>
          </w:tcPr>
          <w:p>
            <w:r/>
            <w:r>
              <w:rPr>
                <w:b w:val="0"/>
                <w:sz w:val="17"/>
              </w:rPr>
              <w:t>Due Diligence Tool / controlled form</w:t>
            </w:r>
          </w:p>
        </w:tc>
      </w:tr>
      <w:tr>
        <w:tc>
          <w:tcPr>
            <w:tcW w:type="dxa" w:w="567"/>
            <w:vAlign w:val="top"/>
          </w:tcPr>
          <w:p>
            <w:r/>
            <w:r>
              <w:rPr>
                <w:b w:val="0"/>
                <w:sz w:val="17"/>
              </w:rPr>
              <w:t>6</w:t>
            </w:r>
          </w:p>
        </w:tc>
        <w:tc>
          <w:tcPr>
            <w:tcW w:type="dxa" w:w="2098"/>
            <w:vAlign w:val="top"/>
          </w:tcPr>
          <w:p>
            <w:r/>
            <w:r>
              <w:rPr>
                <w:b w:val="0"/>
                <w:sz w:val="17"/>
              </w:rPr>
              <w:t>Request credit checks</w:t>
            </w:r>
          </w:p>
        </w:tc>
        <w:tc>
          <w:tcPr>
            <w:tcW w:type="dxa" w:w="1814"/>
            <w:vAlign w:val="top"/>
          </w:tcPr>
          <w:p>
            <w:r/>
            <w:r>
              <w:rPr>
                <w:b w:val="0"/>
                <w:sz w:val="17"/>
              </w:rPr>
              <w:t>Process Support Lead / Credit Control Role</w:t>
            </w:r>
          </w:p>
        </w:tc>
        <w:tc>
          <w:tcPr>
            <w:tcW w:type="dxa" w:w="1984"/>
            <w:vAlign w:val="top"/>
          </w:tcPr>
          <w:p>
            <w:r/>
            <w:r>
              <w:rPr>
                <w:b w:val="0"/>
                <w:sz w:val="17"/>
              </w:rPr>
              <w:t>Due diligence information available.</w:t>
            </w:r>
          </w:p>
        </w:tc>
        <w:tc>
          <w:tcPr>
            <w:tcW w:type="dxa" w:w="1984"/>
            <w:vAlign w:val="top"/>
          </w:tcPr>
          <w:p>
            <w:r/>
            <w:r>
              <w:rPr>
                <w:b w:val="0"/>
                <w:sz w:val="17"/>
              </w:rPr>
              <w:t>Credit check completed.</w:t>
            </w:r>
          </w:p>
        </w:tc>
        <w:tc>
          <w:tcPr>
            <w:tcW w:type="dxa" w:w="1587"/>
            <w:vAlign w:val="top"/>
          </w:tcPr>
          <w:p>
            <w:r/>
            <w:r>
              <w:rPr>
                <w:b w:val="0"/>
                <w:sz w:val="17"/>
              </w:rPr>
              <w:t>Email / non-system activity</w:t>
            </w:r>
          </w:p>
        </w:tc>
      </w:tr>
      <w:tr>
        <w:tc>
          <w:tcPr>
            <w:tcW w:type="dxa" w:w="567"/>
            <w:vAlign w:val="top"/>
          </w:tcPr>
          <w:p>
            <w:r/>
            <w:r>
              <w:rPr>
                <w:b w:val="0"/>
                <w:sz w:val="17"/>
              </w:rPr>
              <w:t>7</w:t>
            </w:r>
          </w:p>
        </w:tc>
        <w:tc>
          <w:tcPr>
            <w:tcW w:type="dxa" w:w="2098"/>
            <w:vAlign w:val="top"/>
          </w:tcPr>
          <w:p>
            <w:r/>
            <w:r>
              <w:rPr>
                <w:b w:val="0"/>
                <w:sz w:val="17"/>
              </w:rPr>
              <w:t>Decision: checks approved?</w:t>
            </w:r>
          </w:p>
        </w:tc>
        <w:tc>
          <w:tcPr>
            <w:tcW w:type="dxa" w:w="1814"/>
            <w:vAlign w:val="top"/>
          </w:tcPr>
          <w:p>
            <w:r/>
            <w:r>
              <w:rPr>
                <w:b w:val="0"/>
                <w:sz w:val="17"/>
              </w:rPr>
              <w:t>Process Support Lead</w:t>
            </w:r>
          </w:p>
        </w:tc>
        <w:tc>
          <w:tcPr>
            <w:tcW w:type="dxa" w:w="1984"/>
            <w:vAlign w:val="top"/>
          </w:tcPr>
          <w:p>
            <w:r/>
            <w:r>
              <w:rPr>
                <w:b w:val="0"/>
                <w:sz w:val="17"/>
              </w:rPr>
              <w:t>Due diligence and credit check results available.</w:t>
            </w:r>
          </w:p>
        </w:tc>
        <w:tc>
          <w:tcPr>
            <w:tcW w:type="dxa" w:w="1984"/>
            <w:vAlign w:val="top"/>
          </w:tcPr>
          <w:p>
            <w:r/>
            <w:r>
              <w:rPr>
                <w:b w:val="0"/>
                <w:sz w:val="17"/>
              </w:rPr>
              <w:t>Approved path or rejected path selected.</w:t>
            </w:r>
          </w:p>
        </w:tc>
        <w:tc>
          <w:tcPr>
            <w:tcW w:type="dxa" w:w="1587"/>
            <w:vAlign w:val="top"/>
          </w:tcPr>
          <w:p>
            <w:r/>
            <w:r>
              <w:rPr>
                <w:b w:val="0"/>
                <w:sz w:val="17"/>
              </w:rPr>
              <w:t>Decision gate</w:t>
            </w:r>
          </w:p>
        </w:tc>
      </w:tr>
      <w:tr>
        <w:tc>
          <w:tcPr>
            <w:tcW w:type="dxa" w:w="567"/>
            <w:vAlign w:val="top"/>
          </w:tcPr>
          <w:p>
            <w:r/>
            <w:r>
              <w:rPr>
                <w:b w:val="0"/>
                <w:sz w:val="17"/>
              </w:rPr>
              <w:t>8A</w:t>
            </w:r>
          </w:p>
        </w:tc>
        <w:tc>
          <w:tcPr>
            <w:tcW w:type="dxa" w:w="2098"/>
            <w:vAlign w:val="top"/>
          </w:tcPr>
          <w:p>
            <w:r/>
            <w:r>
              <w:rPr>
                <w:b w:val="0"/>
                <w:sz w:val="17"/>
              </w:rPr>
              <w:t>Reject onboarding if checks fail</w:t>
            </w:r>
          </w:p>
        </w:tc>
        <w:tc>
          <w:tcPr>
            <w:tcW w:type="dxa" w:w="1814"/>
            <w:vAlign w:val="top"/>
          </w:tcPr>
          <w:p>
            <w:r/>
            <w:r>
              <w:rPr>
                <w:b w:val="0"/>
                <w:sz w:val="17"/>
              </w:rPr>
              <w:t>Finance / Process Support Lead</w:t>
            </w:r>
          </w:p>
        </w:tc>
        <w:tc>
          <w:tcPr>
            <w:tcW w:type="dxa" w:w="1984"/>
            <w:vAlign w:val="top"/>
          </w:tcPr>
          <w:p>
            <w:r/>
            <w:r>
              <w:rPr>
                <w:b w:val="0"/>
                <w:sz w:val="17"/>
              </w:rPr>
              <w:t>CDD or credit check failed.</w:t>
            </w:r>
          </w:p>
        </w:tc>
        <w:tc>
          <w:tcPr>
            <w:tcW w:type="dxa" w:w="1984"/>
            <w:vAlign w:val="top"/>
          </w:tcPr>
          <w:p>
            <w:r/>
            <w:r>
              <w:rPr>
                <w:b w:val="0"/>
                <w:sz w:val="17"/>
              </w:rPr>
              <w:t>Requester informed; supplier not onboarded.</w:t>
            </w:r>
          </w:p>
        </w:tc>
        <w:tc>
          <w:tcPr>
            <w:tcW w:type="dxa" w:w="1587"/>
            <w:vAlign w:val="top"/>
          </w:tcPr>
          <w:p>
            <w:r/>
            <w:r>
              <w:rPr>
                <w:b w:val="0"/>
                <w:sz w:val="17"/>
              </w:rPr>
              <w:t>Email / workflow channel</w:t>
            </w:r>
          </w:p>
        </w:tc>
      </w:tr>
      <w:tr>
        <w:tc>
          <w:tcPr>
            <w:tcW w:type="dxa" w:w="567"/>
            <w:vAlign w:val="top"/>
          </w:tcPr>
          <w:p>
            <w:r/>
            <w:r>
              <w:rPr>
                <w:b w:val="0"/>
                <w:sz w:val="17"/>
              </w:rPr>
              <w:t>8B</w:t>
            </w:r>
          </w:p>
        </w:tc>
        <w:tc>
          <w:tcPr>
            <w:tcW w:type="dxa" w:w="2098"/>
            <w:vAlign w:val="top"/>
          </w:tcPr>
          <w:p>
            <w:r/>
            <w:r>
              <w:rPr>
                <w:b w:val="0"/>
                <w:sz w:val="17"/>
              </w:rPr>
              <w:t>Request supplier master setup</w:t>
            </w:r>
          </w:p>
        </w:tc>
        <w:tc>
          <w:tcPr>
            <w:tcW w:type="dxa" w:w="1814"/>
            <w:vAlign w:val="top"/>
          </w:tcPr>
          <w:p>
            <w:r/>
            <w:r>
              <w:rPr>
                <w:b w:val="0"/>
                <w:sz w:val="17"/>
              </w:rPr>
              <w:t>Finance Master Data Lead / Support Analyst</w:t>
            </w:r>
          </w:p>
        </w:tc>
        <w:tc>
          <w:tcPr>
            <w:tcW w:type="dxa" w:w="1984"/>
            <w:vAlign w:val="top"/>
          </w:tcPr>
          <w:p>
            <w:r/>
            <w:r>
              <w:rPr>
                <w:b w:val="0"/>
                <w:sz w:val="17"/>
              </w:rPr>
              <w:t>Checks approved.</w:t>
            </w:r>
          </w:p>
        </w:tc>
        <w:tc>
          <w:tcPr>
            <w:tcW w:type="dxa" w:w="1984"/>
            <w:vAlign w:val="top"/>
          </w:tcPr>
          <w:p>
            <w:r/>
            <w:r>
              <w:rPr>
                <w:b w:val="0"/>
                <w:sz w:val="17"/>
              </w:rPr>
              <w:t>Supplier master setup requested.</w:t>
            </w:r>
          </w:p>
        </w:tc>
        <w:tc>
          <w:tcPr>
            <w:tcW w:type="dxa" w:w="1587"/>
            <w:vAlign w:val="top"/>
          </w:tcPr>
          <w:p>
            <w:r/>
            <w:r>
              <w:rPr>
                <w:b w:val="0"/>
                <w:sz w:val="17"/>
              </w:rPr>
              <w:t>Email / workflow channel</w:t>
            </w:r>
          </w:p>
        </w:tc>
      </w:tr>
      <w:tr>
        <w:tc>
          <w:tcPr>
            <w:tcW w:type="dxa" w:w="567"/>
            <w:vAlign w:val="top"/>
          </w:tcPr>
          <w:p>
            <w:r/>
            <w:r>
              <w:rPr>
                <w:b w:val="0"/>
                <w:sz w:val="17"/>
              </w:rPr>
              <w:t>9</w:t>
            </w:r>
          </w:p>
        </w:tc>
        <w:tc>
          <w:tcPr>
            <w:tcW w:type="dxa" w:w="2098"/>
            <w:vAlign w:val="top"/>
          </w:tcPr>
          <w:p>
            <w:r/>
            <w:r>
              <w:rPr>
                <w:b w:val="0"/>
                <w:sz w:val="17"/>
              </w:rPr>
              <w:t>Create or amend supplier in target backoffice system</w:t>
            </w:r>
          </w:p>
        </w:tc>
        <w:tc>
          <w:tcPr>
            <w:tcW w:type="dxa" w:w="1814"/>
            <w:vAlign w:val="top"/>
          </w:tcPr>
          <w:p>
            <w:r/>
            <w:r>
              <w:rPr>
                <w:b w:val="0"/>
                <w:sz w:val="17"/>
              </w:rPr>
              <w:t>Support Analyst</w:t>
            </w:r>
          </w:p>
        </w:tc>
        <w:tc>
          <w:tcPr>
            <w:tcW w:type="dxa" w:w="1984"/>
            <w:vAlign w:val="top"/>
          </w:tcPr>
          <w:p>
            <w:r/>
            <w:r>
              <w:rPr>
                <w:b w:val="0"/>
                <w:sz w:val="17"/>
              </w:rPr>
              <w:t>Supplier master setup requested.</w:t>
            </w:r>
          </w:p>
        </w:tc>
        <w:tc>
          <w:tcPr>
            <w:tcW w:type="dxa" w:w="1984"/>
            <w:vAlign w:val="top"/>
          </w:tcPr>
          <w:p>
            <w:r/>
            <w:r>
              <w:rPr>
                <w:b w:val="0"/>
                <w:sz w:val="17"/>
              </w:rPr>
              <w:t>Operational supplier record created or amended.</w:t>
            </w:r>
          </w:p>
        </w:tc>
        <w:tc>
          <w:tcPr>
            <w:tcW w:type="dxa" w:w="1587"/>
            <w:vAlign w:val="top"/>
          </w:tcPr>
          <w:p>
            <w:r/>
            <w:r>
              <w:rPr>
                <w:b w:val="0"/>
                <w:sz w:val="17"/>
              </w:rPr>
              <w:t>Target Backoffice System</w:t>
            </w:r>
          </w:p>
        </w:tc>
      </w:tr>
      <w:tr>
        <w:tc>
          <w:tcPr>
            <w:tcW w:type="dxa" w:w="567"/>
            <w:vAlign w:val="top"/>
          </w:tcPr>
          <w:p>
            <w:r/>
            <w:r>
              <w:rPr>
                <w:b w:val="0"/>
                <w:sz w:val="17"/>
              </w:rPr>
              <w:t>10</w:t>
            </w:r>
          </w:p>
        </w:tc>
        <w:tc>
          <w:tcPr>
            <w:tcW w:type="dxa" w:w="2098"/>
            <w:vAlign w:val="top"/>
          </w:tcPr>
          <w:p>
            <w:r/>
            <w:r>
              <w:rPr>
                <w:b w:val="0"/>
                <w:sz w:val="17"/>
              </w:rPr>
              <w:t>Record operational supplier ID</w:t>
            </w:r>
          </w:p>
        </w:tc>
        <w:tc>
          <w:tcPr>
            <w:tcW w:type="dxa" w:w="1814"/>
            <w:vAlign w:val="top"/>
          </w:tcPr>
          <w:p>
            <w:r/>
            <w:r>
              <w:rPr>
                <w:b w:val="0"/>
                <w:sz w:val="17"/>
              </w:rPr>
              <w:t>Support Analyst</w:t>
            </w:r>
          </w:p>
        </w:tc>
        <w:tc>
          <w:tcPr>
            <w:tcW w:type="dxa" w:w="1984"/>
            <w:vAlign w:val="top"/>
          </w:tcPr>
          <w:p>
            <w:r/>
            <w:r>
              <w:rPr>
                <w:b w:val="0"/>
                <w:sz w:val="17"/>
              </w:rPr>
              <w:t>Operational ID generated.</w:t>
            </w:r>
          </w:p>
        </w:tc>
        <w:tc>
          <w:tcPr>
            <w:tcW w:type="dxa" w:w="1984"/>
            <w:vAlign w:val="top"/>
          </w:tcPr>
          <w:p>
            <w:r/>
            <w:r>
              <w:rPr>
                <w:b w:val="0"/>
                <w:sz w:val="17"/>
              </w:rPr>
              <w:t>Supplier setup form or tracking record updated.</w:t>
            </w:r>
          </w:p>
        </w:tc>
        <w:tc>
          <w:tcPr>
            <w:tcW w:type="dxa" w:w="1587"/>
            <w:vAlign w:val="top"/>
          </w:tcPr>
          <w:p>
            <w:r/>
            <w:r>
              <w:rPr>
                <w:b w:val="0"/>
                <w:sz w:val="17"/>
              </w:rPr>
              <w:t>Manual / tracking record</w:t>
            </w:r>
          </w:p>
        </w:tc>
      </w:tr>
      <w:tr>
        <w:tc>
          <w:tcPr>
            <w:tcW w:type="dxa" w:w="567"/>
            <w:vAlign w:val="top"/>
          </w:tcPr>
          <w:p>
            <w:r/>
            <w:r>
              <w:rPr>
                <w:b w:val="0"/>
                <w:sz w:val="17"/>
              </w:rPr>
              <w:t>11</w:t>
            </w:r>
          </w:p>
        </w:tc>
        <w:tc>
          <w:tcPr>
            <w:tcW w:type="dxa" w:w="2098"/>
            <w:vAlign w:val="top"/>
          </w:tcPr>
          <w:p>
            <w:r/>
            <w:r>
              <w:rPr>
                <w:b w:val="0"/>
                <w:sz w:val="17"/>
              </w:rPr>
              <w:t>Review and submit supplier master data request</w:t>
            </w:r>
          </w:p>
        </w:tc>
        <w:tc>
          <w:tcPr>
            <w:tcW w:type="dxa" w:w="1814"/>
            <w:vAlign w:val="top"/>
          </w:tcPr>
          <w:p>
            <w:r/>
            <w:r>
              <w:rPr>
                <w:b w:val="0"/>
                <w:sz w:val="17"/>
              </w:rPr>
              <w:t>Support Analyst / Supply Chain Analyst</w:t>
            </w:r>
          </w:p>
        </w:tc>
        <w:tc>
          <w:tcPr>
            <w:tcW w:type="dxa" w:w="1984"/>
            <w:vAlign w:val="top"/>
          </w:tcPr>
          <w:p>
            <w:r/>
            <w:r>
              <w:rPr>
                <w:b w:val="0"/>
                <w:sz w:val="17"/>
              </w:rPr>
              <w:t>Operational supplier ID recorded.</w:t>
            </w:r>
          </w:p>
        </w:tc>
        <w:tc>
          <w:tcPr>
            <w:tcW w:type="dxa" w:w="1984"/>
            <w:vAlign w:val="top"/>
          </w:tcPr>
          <w:p>
            <w:r/>
            <w:r>
              <w:rPr>
                <w:b w:val="0"/>
                <w:sz w:val="17"/>
              </w:rPr>
              <w:t>Supplier master data submitted for validation.</w:t>
            </w:r>
          </w:p>
        </w:tc>
        <w:tc>
          <w:tcPr>
            <w:tcW w:type="dxa" w:w="1587"/>
            <w:vAlign w:val="top"/>
          </w:tcPr>
          <w:p>
            <w:r/>
            <w:r>
              <w:rPr>
                <w:b w:val="0"/>
                <w:sz w:val="17"/>
              </w:rPr>
              <w:t>Email / workflow channel</w:t>
            </w:r>
          </w:p>
        </w:tc>
      </w:tr>
      <w:tr>
        <w:tc>
          <w:tcPr>
            <w:tcW w:type="dxa" w:w="567"/>
            <w:vAlign w:val="top"/>
          </w:tcPr>
          <w:p>
            <w:r/>
            <w:r>
              <w:rPr>
                <w:b w:val="0"/>
                <w:sz w:val="17"/>
              </w:rPr>
              <w:t>12</w:t>
            </w:r>
          </w:p>
        </w:tc>
        <w:tc>
          <w:tcPr>
            <w:tcW w:type="dxa" w:w="2098"/>
            <w:vAlign w:val="top"/>
          </w:tcPr>
          <w:p>
            <w:r/>
            <w:r>
              <w:rPr>
                <w:b w:val="0"/>
                <w:sz w:val="17"/>
              </w:rPr>
              <w:t>Review supplier master data changes</w:t>
            </w:r>
          </w:p>
        </w:tc>
        <w:tc>
          <w:tcPr>
            <w:tcW w:type="dxa" w:w="1814"/>
            <w:vAlign w:val="top"/>
          </w:tcPr>
          <w:p>
            <w:r/>
            <w:r>
              <w:rPr>
                <w:b w:val="0"/>
                <w:sz w:val="17"/>
              </w:rPr>
              <w:t>Finance Master Data Lead</w:t>
            </w:r>
          </w:p>
        </w:tc>
        <w:tc>
          <w:tcPr>
            <w:tcW w:type="dxa" w:w="1984"/>
            <w:vAlign w:val="top"/>
          </w:tcPr>
          <w:p>
            <w:r/>
            <w:r>
              <w:rPr>
                <w:b w:val="0"/>
                <w:sz w:val="17"/>
              </w:rPr>
              <w:t>Supplier master data submitted.</w:t>
            </w:r>
          </w:p>
        </w:tc>
        <w:tc>
          <w:tcPr>
            <w:tcW w:type="dxa" w:w="1984"/>
            <w:vAlign w:val="top"/>
          </w:tcPr>
          <w:p>
            <w:r/>
            <w:r>
              <w:rPr>
                <w:b w:val="0"/>
                <w:sz w:val="17"/>
              </w:rPr>
              <w:t>Changes reviewed and finance mapping requirement confirmed.</w:t>
            </w:r>
          </w:p>
        </w:tc>
        <w:tc>
          <w:tcPr>
            <w:tcW w:type="dxa" w:w="1587"/>
            <w:vAlign w:val="top"/>
          </w:tcPr>
          <w:p>
            <w:r/>
            <w:r>
              <w:rPr>
                <w:b w:val="0"/>
                <w:sz w:val="17"/>
              </w:rPr>
              <w:t>Finance report / controlled view</w:t>
            </w:r>
          </w:p>
        </w:tc>
      </w:tr>
      <w:tr>
        <w:tc>
          <w:tcPr>
            <w:tcW w:type="dxa" w:w="567"/>
            <w:vAlign w:val="top"/>
          </w:tcPr>
          <w:p>
            <w:r/>
            <w:r>
              <w:rPr>
                <w:b w:val="0"/>
                <w:sz w:val="17"/>
              </w:rPr>
              <w:t>13</w:t>
            </w:r>
          </w:p>
        </w:tc>
        <w:tc>
          <w:tcPr>
            <w:tcW w:type="dxa" w:w="2098"/>
            <w:vAlign w:val="top"/>
          </w:tcPr>
          <w:p>
            <w:r/>
            <w:r>
              <w:rPr>
                <w:b w:val="0"/>
                <w:sz w:val="17"/>
              </w:rPr>
              <w:t>Update account mapping</w:t>
            </w:r>
          </w:p>
        </w:tc>
        <w:tc>
          <w:tcPr>
            <w:tcW w:type="dxa" w:w="1814"/>
            <w:vAlign w:val="top"/>
          </w:tcPr>
          <w:p>
            <w:r/>
            <w:r>
              <w:rPr>
                <w:b w:val="0"/>
                <w:sz w:val="17"/>
              </w:rPr>
              <w:t>Finance Master Data Lead</w:t>
            </w:r>
          </w:p>
        </w:tc>
        <w:tc>
          <w:tcPr>
            <w:tcW w:type="dxa" w:w="1984"/>
            <w:vAlign w:val="top"/>
          </w:tcPr>
          <w:p>
            <w:r/>
            <w:r>
              <w:rPr>
                <w:b w:val="0"/>
                <w:sz w:val="17"/>
              </w:rPr>
              <w:t>Operational and finance IDs available.</w:t>
            </w:r>
          </w:p>
        </w:tc>
        <w:tc>
          <w:tcPr>
            <w:tcW w:type="dxa" w:w="1984"/>
            <w:vAlign w:val="top"/>
          </w:tcPr>
          <w:p>
            <w:r/>
            <w:r>
              <w:rPr>
                <w:b w:val="0"/>
                <w:sz w:val="17"/>
              </w:rPr>
              <w:t>Operational ID mapped to finance supplier ID.</w:t>
            </w:r>
          </w:p>
        </w:tc>
        <w:tc>
          <w:tcPr>
            <w:tcW w:type="dxa" w:w="1587"/>
            <w:vAlign w:val="top"/>
          </w:tcPr>
          <w:p>
            <w:r/>
            <w:r>
              <w:rPr>
                <w:b w:val="0"/>
                <w:sz w:val="17"/>
              </w:rPr>
              <w:t>Finance ERP / interface mapping</w:t>
            </w:r>
          </w:p>
        </w:tc>
      </w:tr>
      <w:tr>
        <w:tc>
          <w:tcPr>
            <w:tcW w:type="dxa" w:w="567"/>
            <w:vAlign w:val="top"/>
          </w:tcPr>
          <w:p>
            <w:r/>
            <w:r>
              <w:rPr>
                <w:b w:val="0"/>
                <w:sz w:val="17"/>
              </w:rPr>
              <w:t>14</w:t>
            </w:r>
          </w:p>
        </w:tc>
        <w:tc>
          <w:tcPr>
            <w:tcW w:type="dxa" w:w="2098"/>
            <w:vAlign w:val="top"/>
          </w:tcPr>
          <w:p>
            <w:r/>
            <w:r>
              <w:rPr>
                <w:b w:val="0"/>
                <w:sz w:val="17"/>
              </w:rPr>
              <w:t>Inform relevant stakeholders</w:t>
            </w:r>
          </w:p>
        </w:tc>
        <w:tc>
          <w:tcPr>
            <w:tcW w:type="dxa" w:w="1814"/>
            <w:vAlign w:val="top"/>
          </w:tcPr>
          <w:p>
            <w:r/>
            <w:r>
              <w:rPr>
                <w:b w:val="0"/>
                <w:sz w:val="17"/>
              </w:rPr>
              <w:t>Finance Master Data Lead</w:t>
            </w:r>
          </w:p>
        </w:tc>
        <w:tc>
          <w:tcPr>
            <w:tcW w:type="dxa" w:w="1984"/>
            <w:vAlign w:val="top"/>
          </w:tcPr>
          <w:p>
            <w:r/>
            <w:r>
              <w:rPr>
                <w:b w:val="0"/>
                <w:sz w:val="17"/>
              </w:rPr>
              <w:t>Mapping updated.</w:t>
            </w:r>
          </w:p>
        </w:tc>
        <w:tc>
          <w:tcPr>
            <w:tcW w:type="dxa" w:w="1984"/>
            <w:vAlign w:val="top"/>
          </w:tcPr>
          <w:p>
            <w:r/>
            <w:r>
              <w:rPr>
                <w:b w:val="0"/>
                <w:sz w:val="17"/>
              </w:rPr>
              <w:t>Support and business teams informed.</w:t>
            </w:r>
          </w:p>
        </w:tc>
        <w:tc>
          <w:tcPr>
            <w:tcW w:type="dxa" w:w="1587"/>
            <w:vAlign w:val="top"/>
          </w:tcPr>
          <w:p>
            <w:r/>
            <w:r>
              <w:rPr>
                <w:b w:val="0"/>
                <w:sz w:val="17"/>
              </w:rPr>
              <w:t>Email / workflow channel</w:t>
            </w:r>
          </w:p>
        </w:tc>
      </w:tr>
      <w:tr>
        <w:tc>
          <w:tcPr>
            <w:tcW w:type="dxa" w:w="567"/>
            <w:vAlign w:val="top"/>
          </w:tcPr>
          <w:p>
            <w:r/>
            <w:r>
              <w:rPr>
                <w:b w:val="0"/>
                <w:sz w:val="17"/>
              </w:rPr>
              <w:t>15</w:t>
            </w:r>
          </w:p>
        </w:tc>
        <w:tc>
          <w:tcPr>
            <w:tcW w:type="dxa" w:w="2098"/>
            <w:vAlign w:val="top"/>
          </w:tcPr>
          <w:p>
            <w:r/>
            <w:r>
              <w:rPr>
                <w:b w:val="0"/>
                <w:sz w:val="17"/>
              </w:rPr>
              <w:t>Validate supplier setup or change</w:t>
            </w:r>
          </w:p>
        </w:tc>
        <w:tc>
          <w:tcPr>
            <w:tcW w:type="dxa" w:w="1814"/>
            <w:vAlign w:val="top"/>
          </w:tcPr>
          <w:p>
            <w:r/>
            <w:r>
              <w:rPr>
                <w:b w:val="0"/>
                <w:sz w:val="17"/>
              </w:rPr>
              <w:t>Process Support Lead</w:t>
            </w:r>
          </w:p>
        </w:tc>
        <w:tc>
          <w:tcPr>
            <w:tcW w:type="dxa" w:w="1984"/>
            <w:vAlign w:val="top"/>
          </w:tcPr>
          <w:p>
            <w:r/>
            <w:r>
              <w:rPr>
                <w:b w:val="0"/>
                <w:sz w:val="17"/>
              </w:rPr>
              <w:t>Supplier record and mapping complete.</w:t>
            </w:r>
          </w:p>
        </w:tc>
        <w:tc>
          <w:tcPr>
            <w:tcW w:type="dxa" w:w="1984"/>
            <w:vAlign w:val="top"/>
          </w:tcPr>
          <w:p>
            <w:r/>
            <w:r>
              <w:rPr>
                <w:b w:val="0"/>
                <w:sz w:val="17"/>
              </w:rPr>
              <w:t>Supplier setup/change validated.</w:t>
            </w:r>
          </w:p>
        </w:tc>
        <w:tc>
          <w:tcPr>
            <w:tcW w:type="dxa" w:w="1587"/>
            <w:vAlign w:val="top"/>
          </w:tcPr>
          <w:p>
            <w:r/>
            <w:r>
              <w:rPr>
                <w:b w:val="0"/>
                <w:sz w:val="17"/>
              </w:rPr>
              <w:t>Target Backoffice System</w:t>
            </w:r>
          </w:p>
        </w:tc>
      </w:tr>
      <w:tr>
        <w:tc>
          <w:tcPr>
            <w:tcW w:type="dxa" w:w="567"/>
            <w:vAlign w:val="top"/>
          </w:tcPr>
          <w:p>
            <w:r/>
            <w:r>
              <w:rPr>
                <w:b w:val="0"/>
                <w:sz w:val="17"/>
              </w:rPr>
              <w:t>16</w:t>
            </w:r>
          </w:p>
        </w:tc>
        <w:tc>
          <w:tcPr>
            <w:tcW w:type="dxa" w:w="2098"/>
            <w:vAlign w:val="top"/>
          </w:tcPr>
          <w:p>
            <w:r/>
            <w:r>
              <w:rPr>
                <w:b w:val="0"/>
                <w:sz w:val="17"/>
              </w:rPr>
              <w:t>Handover to downstream process</w:t>
            </w:r>
          </w:p>
        </w:tc>
        <w:tc>
          <w:tcPr>
            <w:tcW w:type="dxa" w:w="1814"/>
            <w:vAlign w:val="top"/>
          </w:tcPr>
          <w:p>
            <w:r/>
            <w:r>
              <w:rPr>
                <w:b w:val="0"/>
                <w:sz w:val="17"/>
              </w:rPr>
              <w:t>Process Support Lead</w:t>
            </w:r>
          </w:p>
        </w:tc>
        <w:tc>
          <w:tcPr>
            <w:tcW w:type="dxa" w:w="1984"/>
            <w:vAlign w:val="top"/>
          </w:tcPr>
          <w:p>
            <w:r/>
            <w:r>
              <w:rPr>
                <w:b w:val="0"/>
                <w:sz w:val="17"/>
              </w:rPr>
              <w:t>Validation complete.</w:t>
            </w:r>
          </w:p>
        </w:tc>
        <w:tc>
          <w:tcPr>
            <w:tcW w:type="dxa" w:w="1984"/>
            <w:vAlign w:val="top"/>
          </w:tcPr>
          <w:p>
            <w:r/>
            <w:r>
              <w:rPr>
                <w:b w:val="0"/>
                <w:sz w:val="17"/>
              </w:rPr>
              <w:t>Supplier available for relevant downstream process.</w:t>
            </w:r>
          </w:p>
        </w:tc>
        <w:tc>
          <w:tcPr>
            <w:tcW w:type="dxa" w:w="1587"/>
            <w:vAlign w:val="top"/>
          </w:tcPr>
          <w:p>
            <w:r/>
            <w:r>
              <w:rPr>
                <w:b w:val="0"/>
                <w:sz w:val="17"/>
              </w:rPr>
              <w:t>Invoice reconciliation / ordering / receiving</w:t>
            </w:r>
          </w:p>
        </w:tc>
      </w:tr>
    </w:tbl>
    <w:p/>
    <w:p>
      <w:pPr>
        <w:pStyle w:val="Heading2"/>
      </w:pPr>
      <w:r>
        <w:t>3.4 Roles and responsibilities</w:t>
      </w:r>
    </w:p>
    <w:tbl>
      <w:tblPr>
        <w:tblStyle w:val="TableGrid"/>
        <w:tblW w:type="auto" w:w="0"/>
        <w:jc w:val="center"/>
        <w:tblLook w:firstColumn="1" w:firstRow="1" w:lastColumn="0" w:lastRow="0" w:noHBand="0" w:noVBand="1" w:val="04A0"/>
      </w:tblPr>
      <w:tblGrid>
        <w:gridCol w:w="5100"/>
        <w:gridCol w:w="5100"/>
      </w:tblGrid>
      <w:tr>
        <w:tc>
          <w:tcPr>
            <w:tcW w:type="dxa" w:w="2268"/>
            <w:vAlign w:val="top"/>
            <w:shd w:fill="D9EAF7"/>
          </w:tcPr>
          <w:p>
            <w:r/>
            <w:r>
              <w:rPr>
                <w:b/>
                <w:sz w:val="17"/>
              </w:rPr>
              <w:t>Anonymised role</w:t>
            </w:r>
          </w:p>
        </w:tc>
        <w:tc>
          <w:tcPr>
            <w:tcW w:type="dxa" w:w="7370"/>
            <w:vAlign w:val="top"/>
            <w:shd w:fill="D9EAF7"/>
          </w:tcPr>
          <w:p>
            <w:r/>
            <w:r>
              <w:rPr>
                <w:b/>
                <w:sz w:val="17"/>
              </w:rPr>
              <w:t>Main responsibility in the process</w:t>
            </w:r>
          </w:p>
        </w:tc>
      </w:tr>
      <w:tr>
        <w:tc>
          <w:tcPr>
            <w:tcW w:type="dxa" w:w="2268"/>
            <w:vAlign w:val="top"/>
          </w:tcPr>
          <w:p>
            <w:r/>
            <w:r>
              <w:rPr>
                <w:b w:val="0"/>
                <w:sz w:val="17"/>
              </w:rPr>
              <w:t>Business Requester</w:t>
            </w:r>
          </w:p>
        </w:tc>
        <w:tc>
          <w:tcPr>
            <w:tcW w:type="dxa" w:w="7370"/>
            <w:vAlign w:val="top"/>
          </w:tcPr>
          <w:p>
            <w:r/>
            <w:r>
              <w:rPr>
                <w:b w:val="0"/>
                <w:sz w:val="17"/>
              </w:rPr>
              <w:t>Identifies the need for a new supplier or supplier detail change and provides the initial supplier setup information.</w:t>
            </w:r>
          </w:p>
        </w:tc>
      </w:tr>
      <w:tr>
        <w:tc>
          <w:tcPr>
            <w:tcW w:type="dxa" w:w="2268"/>
            <w:vAlign w:val="top"/>
          </w:tcPr>
          <w:p>
            <w:r/>
            <w:r>
              <w:rPr>
                <w:b w:val="0"/>
                <w:sz w:val="17"/>
              </w:rPr>
              <w:t>Process Support Lead</w:t>
            </w:r>
          </w:p>
        </w:tc>
        <w:tc>
          <w:tcPr>
            <w:tcW w:type="dxa" w:w="7370"/>
            <w:vAlign w:val="top"/>
          </w:tcPr>
          <w:p>
            <w:r/>
            <w:r>
              <w:rPr>
                <w:b w:val="0"/>
                <w:sz w:val="17"/>
              </w:rPr>
              <w:t>Reviews the request, coordinates checks, ensures required information is complete and validates the final setup.</w:t>
            </w:r>
          </w:p>
        </w:tc>
      </w:tr>
      <w:tr>
        <w:tc>
          <w:tcPr>
            <w:tcW w:type="dxa" w:w="2268"/>
            <w:vAlign w:val="top"/>
          </w:tcPr>
          <w:p>
            <w:r/>
            <w:r>
              <w:rPr>
                <w:b w:val="0"/>
                <w:sz w:val="17"/>
              </w:rPr>
              <w:t>Support Analyst</w:t>
            </w:r>
          </w:p>
        </w:tc>
        <w:tc>
          <w:tcPr>
            <w:tcW w:type="dxa" w:w="7370"/>
            <w:vAlign w:val="top"/>
          </w:tcPr>
          <w:p>
            <w:r/>
            <w:r>
              <w:rPr>
                <w:b w:val="0"/>
                <w:sz w:val="17"/>
              </w:rPr>
              <w:t>Creates or amends the supplier in the target backoffice system and records the generated operational supplier ID.</w:t>
            </w:r>
          </w:p>
        </w:tc>
      </w:tr>
      <w:tr>
        <w:tc>
          <w:tcPr>
            <w:tcW w:type="dxa" w:w="2268"/>
            <w:vAlign w:val="top"/>
          </w:tcPr>
          <w:p>
            <w:r/>
            <w:r>
              <w:rPr>
                <w:b w:val="0"/>
                <w:sz w:val="17"/>
              </w:rPr>
              <w:t>Finance Master Data Lead</w:t>
            </w:r>
          </w:p>
        </w:tc>
        <w:tc>
          <w:tcPr>
            <w:tcW w:type="dxa" w:w="7370"/>
            <w:vAlign w:val="top"/>
          </w:tcPr>
          <w:p>
            <w:r/>
            <w:r>
              <w:rPr>
                <w:b w:val="0"/>
                <w:sz w:val="17"/>
              </w:rPr>
              <w:t>Reviews supplier master data changes and maintains mapping between the operational supplier ID and finance supplier ID.</w:t>
            </w:r>
          </w:p>
        </w:tc>
      </w:tr>
      <w:tr>
        <w:tc>
          <w:tcPr>
            <w:tcW w:type="dxa" w:w="2268"/>
            <w:vAlign w:val="top"/>
          </w:tcPr>
          <w:p>
            <w:r/>
            <w:r>
              <w:rPr>
                <w:b w:val="0"/>
                <w:sz w:val="17"/>
              </w:rPr>
              <w:t>Credit Control Role</w:t>
            </w:r>
          </w:p>
        </w:tc>
        <w:tc>
          <w:tcPr>
            <w:tcW w:type="dxa" w:w="7370"/>
            <w:vAlign w:val="top"/>
          </w:tcPr>
          <w:p>
            <w:r/>
            <w:r>
              <w:rPr>
                <w:b w:val="0"/>
                <w:sz w:val="17"/>
              </w:rPr>
              <w:t>Performs or supports credit checks before supplier onboarding can proceed.</w:t>
            </w:r>
          </w:p>
        </w:tc>
      </w:tr>
      <w:tr>
        <w:tc>
          <w:tcPr>
            <w:tcW w:type="dxa" w:w="2268"/>
            <w:vAlign w:val="top"/>
          </w:tcPr>
          <w:p>
            <w:r/>
            <w:r>
              <w:rPr>
                <w:b w:val="0"/>
                <w:sz w:val="17"/>
              </w:rPr>
              <w:t>Supply Chain Analyst</w:t>
            </w:r>
          </w:p>
        </w:tc>
        <w:tc>
          <w:tcPr>
            <w:tcW w:type="dxa" w:w="7370"/>
            <w:vAlign w:val="top"/>
          </w:tcPr>
          <w:p>
            <w:r/>
            <w:r>
              <w:rPr>
                <w:b w:val="0"/>
                <w:sz w:val="17"/>
              </w:rPr>
              <w:t>Supports review of supplier master data where the supplier record affects supply chain or downstream operational processes.</w:t>
            </w:r>
          </w:p>
        </w:tc>
      </w:tr>
    </w:tbl>
    <w:p/>
    <w:p>
      <w:pPr>
        <w:pStyle w:val="Heading2"/>
      </w:pPr>
      <w:r>
        <w:t>3.5 Business rules for assistant retrieval</w:t>
      </w:r>
    </w:p>
    <w:p>
      <w:pPr>
        <w:pStyle w:val="ListBullet"/>
      </w:pPr>
      <w:r>
        <w:t>A supplier cannot be onboarded if mandatory due diligence or credit checks fail.</w:t>
      </w:r>
    </w:p>
    <w:p>
      <w:pPr>
        <w:pStyle w:val="ListBullet"/>
      </w:pPr>
      <w:r>
        <w:t>Due diligence and credit checks are gating controls for new suppliers, not optional administrative tasks.</w:t>
      </w:r>
    </w:p>
    <w:p>
      <w:pPr>
        <w:pStyle w:val="ListBullet"/>
      </w:pPr>
      <w:r>
        <w:t>Supplier setup is not complete when the operational supplier record is created; finance mapping and validation must also be completed.</w:t>
      </w:r>
    </w:p>
    <w:p>
      <w:pPr>
        <w:pStyle w:val="ListBullet"/>
      </w:pPr>
      <w:r>
        <w:t>The operational supplier ID and finance supplier ID may be different, so mapping between them must be maintained.</w:t>
      </w:r>
    </w:p>
    <w:p>
      <w:pPr>
        <w:pStyle w:val="ListBullet"/>
      </w:pPr>
      <w:r>
        <w:t>If the supplier record is created before all required setup elements are complete, downstream processes may fail or require manual correction.</w:t>
      </w:r>
    </w:p>
    <w:p>
      <w:pPr>
        <w:pStyle w:val="ListBullet"/>
      </w:pPr>
      <w:r>
        <w:t>The future process should define whether operational setup and finance setup happen sequentially or in parallel.</w:t>
      </w:r>
    </w:p>
    <w:p>
      <w:pPr>
        <w:pStyle w:val="ListBullet"/>
      </w:pPr>
      <w:r>
        <w:t>The future process should define the master system for each supplier data field to avoid duplicate manual maintenance.</w:t>
      </w:r>
    </w:p>
    <w:p>
      <w:pPr>
        <w:pStyle w:val="Heading2"/>
      </w:pPr>
      <w:r>
        <w:t>3.6 Open design decisions captured from the workshop</w:t>
      </w:r>
    </w:p>
    <w:tbl>
      <w:tblPr>
        <w:tblStyle w:val="TableGrid"/>
        <w:tblW w:type="auto" w:w="0"/>
        <w:jc w:val="center"/>
        <w:tblLook w:firstColumn="1" w:firstRow="1" w:lastColumn="0" w:lastRow="0" w:noHBand="0" w:noVBand="1" w:val="04A0"/>
      </w:tblPr>
      <w:tblGrid>
        <w:gridCol w:w="3400"/>
        <w:gridCol w:w="3400"/>
        <w:gridCol w:w="3400"/>
      </w:tblGrid>
      <w:tr>
        <w:tc>
          <w:tcPr>
            <w:tcW w:type="dxa" w:w="3005"/>
            <w:vAlign w:val="top"/>
            <w:shd w:fill="D9EAF7"/>
          </w:tcPr>
          <w:p>
            <w:r/>
            <w:r>
              <w:rPr>
                <w:b/>
                <w:sz w:val="17"/>
              </w:rPr>
              <w:t>Open decision</w:t>
            </w:r>
          </w:p>
        </w:tc>
        <w:tc>
          <w:tcPr>
            <w:tcW w:type="dxa" w:w="4139"/>
            <w:vAlign w:val="top"/>
            <w:shd w:fill="D9EAF7"/>
          </w:tcPr>
          <w:p>
            <w:r/>
            <w:r>
              <w:rPr>
                <w:b/>
                <w:sz w:val="17"/>
              </w:rPr>
              <w:t>Why it matters</w:t>
            </w:r>
          </w:p>
        </w:tc>
        <w:tc>
          <w:tcPr>
            <w:tcW w:type="dxa" w:w="2494"/>
            <w:vAlign w:val="top"/>
            <w:shd w:fill="D9EAF7"/>
          </w:tcPr>
          <w:p>
            <w:r/>
            <w:r>
              <w:rPr>
                <w:b/>
                <w:sz w:val="17"/>
              </w:rPr>
              <w:t>Suggested owner for follow-up</w:t>
            </w:r>
          </w:p>
        </w:tc>
      </w:tr>
      <w:tr>
        <w:tc>
          <w:tcPr>
            <w:tcW w:type="dxa" w:w="3005"/>
            <w:vAlign w:val="top"/>
          </w:tcPr>
          <w:p>
            <w:r/>
            <w:r>
              <w:rPr>
                <w:b w:val="0"/>
                <w:sz w:val="17"/>
              </w:rPr>
              <w:t>Which system is the master for each supplier data field?</w:t>
            </w:r>
          </w:p>
        </w:tc>
        <w:tc>
          <w:tcPr>
            <w:tcW w:type="dxa" w:w="4139"/>
            <w:vAlign w:val="top"/>
          </w:tcPr>
          <w:p>
            <w:r/>
            <w:r>
              <w:rPr>
                <w:b w:val="0"/>
                <w:sz w:val="17"/>
              </w:rPr>
              <w:t>Avoids duplicate maintenance between operational and finance systems and reduces data inconsistency risk.</w:t>
            </w:r>
          </w:p>
        </w:tc>
        <w:tc>
          <w:tcPr>
            <w:tcW w:type="dxa" w:w="2494"/>
            <w:vAlign w:val="top"/>
          </w:tcPr>
          <w:p>
            <w:r/>
            <w:r>
              <w:rPr>
                <w:b w:val="0"/>
                <w:sz w:val="17"/>
              </w:rPr>
              <w:t>Business process owner with technology/data architecture support</w:t>
            </w:r>
          </w:p>
        </w:tc>
      </w:tr>
      <w:tr>
        <w:tc>
          <w:tcPr>
            <w:tcW w:type="dxa" w:w="3005"/>
            <w:vAlign w:val="top"/>
          </w:tcPr>
          <w:p>
            <w:r/>
            <w:r>
              <w:rPr>
                <w:b w:val="0"/>
                <w:sz w:val="17"/>
              </w:rPr>
              <w:t>Should supplier setup in the operational system happen before, after or in parallel with finance setup?</w:t>
            </w:r>
          </w:p>
        </w:tc>
        <w:tc>
          <w:tcPr>
            <w:tcW w:type="dxa" w:w="4139"/>
            <w:vAlign w:val="top"/>
          </w:tcPr>
          <w:p>
            <w:r/>
            <w:r>
              <w:rPr>
                <w:b w:val="0"/>
                <w:sz w:val="17"/>
              </w:rPr>
              <w:t>Sequencing affects when identifiers are available and when mapping can be completed.</w:t>
            </w:r>
          </w:p>
        </w:tc>
        <w:tc>
          <w:tcPr>
            <w:tcW w:type="dxa" w:w="2494"/>
            <w:vAlign w:val="top"/>
          </w:tcPr>
          <w:p>
            <w:r/>
            <w:r>
              <w:rPr>
                <w:b w:val="0"/>
                <w:sz w:val="17"/>
              </w:rPr>
              <w:t>Process owner and finance master data lead</w:t>
            </w:r>
          </w:p>
        </w:tc>
      </w:tr>
      <w:tr>
        <w:tc>
          <w:tcPr>
            <w:tcW w:type="dxa" w:w="3005"/>
            <w:vAlign w:val="top"/>
          </w:tcPr>
          <w:p>
            <w:r/>
            <w:r>
              <w:rPr>
                <w:b w:val="0"/>
                <w:sz w:val="17"/>
              </w:rPr>
              <w:t>Can supplier identifiers be generated automatically?</w:t>
            </w:r>
          </w:p>
        </w:tc>
        <w:tc>
          <w:tcPr>
            <w:tcW w:type="dxa" w:w="4139"/>
            <w:vAlign w:val="top"/>
          </w:tcPr>
          <w:p>
            <w:r/>
            <w:r>
              <w:rPr>
                <w:b w:val="0"/>
                <w:sz w:val="17"/>
              </w:rPr>
              <w:t>Manual identifier allocation creates duplication and control risk.</w:t>
            </w:r>
          </w:p>
        </w:tc>
        <w:tc>
          <w:tcPr>
            <w:tcW w:type="dxa" w:w="2494"/>
            <w:vAlign w:val="top"/>
          </w:tcPr>
          <w:p>
            <w:r/>
            <w:r>
              <w:rPr>
                <w:b w:val="0"/>
                <w:sz w:val="17"/>
              </w:rPr>
              <w:t>System configuration lead</w:t>
            </w:r>
          </w:p>
        </w:tc>
      </w:tr>
      <w:tr>
        <w:tc>
          <w:tcPr>
            <w:tcW w:type="dxa" w:w="3005"/>
            <w:vAlign w:val="top"/>
          </w:tcPr>
          <w:p>
            <w:r/>
            <w:r>
              <w:rPr>
                <w:b w:val="0"/>
                <w:sz w:val="17"/>
              </w:rPr>
              <w:t>What is the required turnaround time for due diligence and credit checks?</w:t>
            </w:r>
          </w:p>
        </w:tc>
        <w:tc>
          <w:tcPr>
            <w:tcW w:type="dxa" w:w="4139"/>
            <w:vAlign w:val="top"/>
          </w:tcPr>
          <w:p>
            <w:r/>
            <w:r>
              <w:rPr>
                <w:b w:val="0"/>
                <w:sz w:val="17"/>
              </w:rPr>
              <w:t>Supplier onboarding cannot progress until checks are complete, so the process needs a clear service expectation.</w:t>
            </w:r>
          </w:p>
        </w:tc>
        <w:tc>
          <w:tcPr>
            <w:tcW w:type="dxa" w:w="2494"/>
            <w:vAlign w:val="top"/>
          </w:tcPr>
          <w:p>
            <w:r/>
            <w:r>
              <w:rPr>
                <w:b w:val="0"/>
                <w:sz w:val="17"/>
              </w:rPr>
              <w:t>Process owner and finance/control team</w:t>
            </w:r>
          </w:p>
        </w:tc>
      </w:tr>
      <w:tr>
        <w:tc>
          <w:tcPr>
            <w:tcW w:type="dxa" w:w="3005"/>
            <w:vAlign w:val="top"/>
          </w:tcPr>
          <w:p>
            <w:r/>
            <w:r>
              <w:rPr>
                <w:b w:val="0"/>
                <w:sz w:val="17"/>
              </w:rPr>
              <w:t>What evidence should be retained after setup?</w:t>
            </w:r>
          </w:p>
        </w:tc>
        <w:tc>
          <w:tcPr>
            <w:tcW w:type="dxa" w:w="4139"/>
            <w:vAlign w:val="top"/>
          </w:tcPr>
          <w:p>
            <w:r/>
            <w:r>
              <w:rPr>
                <w:b w:val="0"/>
                <w:sz w:val="17"/>
              </w:rPr>
              <w:t>The process needs a controlled audit trail without storing unnecessary documents in the AI assistant.</w:t>
            </w:r>
          </w:p>
        </w:tc>
        <w:tc>
          <w:tcPr>
            <w:tcW w:type="dxa" w:w="2494"/>
            <w:vAlign w:val="top"/>
          </w:tcPr>
          <w:p>
            <w:r/>
            <w:r>
              <w:rPr>
                <w:b w:val="0"/>
                <w:sz w:val="17"/>
              </w:rPr>
              <w:t>Governance lead / records management owner</w:t>
            </w:r>
          </w:p>
        </w:tc>
      </w:tr>
      <w:tr>
        <w:tc>
          <w:tcPr>
            <w:tcW w:type="dxa" w:w="3005"/>
            <w:vAlign w:val="top"/>
          </w:tcPr>
          <w:p>
            <w:r/>
            <w:r>
              <w:rPr>
                <w:b w:val="0"/>
                <w:sz w:val="17"/>
              </w:rPr>
              <w:t>When should a supplier become active?</w:t>
            </w:r>
          </w:p>
        </w:tc>
        <w:tc>
          <w:tcPr>
            <w:tcW w:type="dxa" w:w="4139"/>
            <w:vAlign w:val="top"/>
          </w:tcPr>
          <w:p>
            <w:r/>
            <w:r>
              <w:rPr>
                <w:b w:val="0"/>
                <w:sz w:val="17"/>
              </w:rPr>
              <w:t>Activation should not happen before mandatory checks, mappings and required operational links are complete.</w:t>
            </w:r>
          </w:p>
        </w:tc>
        <w:tc>
          <w:tcPr>
            <w:tcW w:type="dxa" w:w="2494"/>
            <w:vAlign w:val="top"/>
          </w:tcPr>
          <w:p>
            <w:r/>
            <w:r>
              <w:rPr>
                <w:b w:val="0"/>
                <w:sz w:val="17"/>
              </w:rPr>
              <w:t>Process owner and system configuration lead</w:t>
            </w:r>
          </w:p>
        </w:tc>
      </w:tr>
    </w:tbl>
    <w:p/>
    <w:p>
      <w:pPr>
        <w:pStyle w:val="Heading2"/>
      </w:pPr>
      <w:r>
        <w:t>3.7 Example AI assistant Q&amp;A pairs</w:t>
      </w:r>
    </w:p>
    <w:tbl>
      <w:tblPr>
        <w:tblStyle w:val="TableGrid"/>
        <w:tblW w:type="auto" w:w="0"/>
        <w:jc w:val="center"/>
        <w:tblLook w:firstColumn="1" w:firstRow="1" w:lastColumn="0" w:lastRow="0" w:noHBand="0" w:noVBand="1" w:val="04A0"/>
      </w:tblPr>
      <w:tblGrid>
        <w:gridCol w:w="5100"/>
        <w:gridCol w:w="5100"/>
      </w:tblGrid>
      <w:tr>
        <w:tc>
          <w:tcPr>
            <w:tcW w:type="dxa" w:w="2835"/>
            <w:vAlign w:val="top"/>
            <w:shd w:fill="D9EAF7"/>
          </w:tcPr>
          <w:p>
            <w:r/>
            <w:r>
              <w:rPr>
                <w:b/>
                <w:sz w:val="17"/>
              </w:rPr>
              <w:t>Example user question</w:t>
            </w:r>
          </w:p>
        </w:tc>
        <w:tc>
          <w:tcPr>
            <w:tcW w:type="dxa" w:w="6803"/>
            <w:vAlign w:val="top"/>
            <w:shd w:fill="D9EAF7"/>
          </w:tcPr>
          <w:p>
            <w:r/>
            <w:r>
              <w:rPr>
                <w:b/>
                <w:sz w:val="17"/>
              </w:rPr>
              <w:t>Approved anonymised answer</w:t>
            </w:r>
          </w:p>
        </w:tc>
      </w:tr>
      <w:tr>
        <w:tc>
          <w:tcPr>
            <w:tcW w:type="dxa" w:w="2835"/>
            <w:vAlign w:val="top"/>
          </w:tcPr>
          <w:p>
            <w:r/>
            <w:r>
              <w:rPr>
                <w:b w:val="0"/>
                <w:sz w:val="17"/>
              </w:rPr>
              <w:t>Who starts the supplier setup process?</w:t>
            </w:r>
          </w:p>
        </w:tc>
        <w:tc>
          <w:tcPr>
            <w:tcW w:type="dxa" w:w="6803"/>
            <w:vAlign w:val="top"/>
          </w:tcPr>
          <w:p>
            <w:r/>
            <w:r>
              <w:rPr>
                <w:b w:val="0"/>
                <w:sz w:val="17"/>
              </w:rPr>
              <w:t>The process starts when a business requester decides that a new supplier is needed or that an existing supplier record must be changed. The requester completes a supplier setup form and submits it to the process support team.</w:t>
            </w:r>
          </w:p>
        </w:tc>
      </w:tr>
      <w:tr>
        <w:tc>
          <w:tcPr>
            <w:tcW w:type="dxa" w:w="2835"/>
            <w:vAlign w:val="top"/>
          </w:tcPr>
          <w:p>
            <w:r/>
            <w:r>
              <w:rPr>
                <w:b w:val="0"/>
                <w:sz w:val="17"/>
              </w:rPr>
              <w:t>Can a new supplier be created if due diligence has not passed?</w:t>
            </w:r>
          </w:p>
        </w:tc>
        <w:tc>
          <w:tcPr>
            <w:tcW w:type="dxa" w:w="6803"/>
            <w:vAlign w:val="top"/>
          </w:tcPr>
          <w:p>
            <w:r/>
            <w:r>
              <w:rPr>
                <w:b w:val="0"/>
                <w:sz w:val="17"/>
              </w:rPr>
              <w:t>The supplier should not be enabled for operational use until due diligence and credit checks have been approved. If either check fails, onboarding is rejected and the requester is informed.</w:t>
            </w:r>
          </w:p>
        </w:tc>
      </w:tr>
      <w:tr>
        <w:tc>
          <w:tcPr>
            <w:tcW w:type="dxa" w:w="2835"/>
            <w:vAlign w:val="top"/>
          </w:tcPr>
          <w:p>
            <w:r/>
            <w:r>
              <w:rPr>
                <w:b w:val="0"/>
                <w:sz w:val="17"/>
              </w:rPr>
              <w:t>Why is supplier ID mapping required?</w:t>
            </w:r>
          </w:p>
        </w:tc>
        <w:tc>
          <w:tcPr>
            <w:tcW w:type="dxa" w:w="6803"/>
            <w:vAlign w:val="top"/>
          </w:tcPr>
          <w:p>
            <w:r/>
            <w:r>
              <w:rPr>
                <w:b w:val="0"/>
                <w:sz w:val="17"/>
              </w:rPr>
              <w:t>The target backoffice system and finance system can use different supplier identifiers. Mapping is required so that operational transactions can be linked to the correct finance supplier record for reconciliation, invoicing and payment.</w:t>
            </w:r>
          </w:p>
        </w:tc>
      </w:tr>
      <w:tr>
        <w:tc>
          <w:tcPr>
            <w:tcW w:type="dxa" w:w="2835"/>
            <w:vAlign w:val="top"/>
          </w:tcPr>
          <w:p>
            <w:r/>
            <w:r>
              <w:rPr>
                <w:b w:val="0"/>
                <w:sz w:val="17"/>
              </w:rPr>
              <w:t>Is supplier setup complete once the supplier is created in the target backoffice system?</w:t>
            </w:r>
          </w:p>
        </w:tc>
        <w:tc>
          <w:tcPr>
            <w:tcW w:type="dxa" w:w="6803"/>
            <w:vAlign w:val="top"/>
          </w:tcPr>
          <w:p>
            <w:r/>
            <w:r>
              <w:rPr>
                <w:b w:val="0"/>
                <w:sz w:val="17"/>
              </w:rPr>
              <w:t>No. Creation of the operational supplier record is only one part of the process. The setup also requires finance mapping, review and final validation before downstream processes can rely on it.</w:t>
            </w:r>
          </w:p>
        </w:tc>
      </w:tr>
      <w:tr>
        <w:tc>
          <w:tcPr>
            <w:tcW w:type="dxa" w:w="2835"/>
            <w:vAlign w:val="top"/>
          </w:tcPr>
          <w:p>
            <w:r/>
            <w:r>
              <w:rPr>
                <w:b w:val="0"/>
                <w:sz w:val="17"/>
              </w:rPr>
              <w:t>What should the assistant say if a user asks for the real finance system name?</w:t>
            </w:r>
          </w:p>
        </w:tc>
        <w:tc>
          <w:tcPr>
            <w:tcW w:type="dxa" w:w="6803"/>
            <w:vAlign w:val="top"/>
          </w:tcPr>
          <w:p>
            <w:r/>
            <w:r>
              <w:rPr>
                <w:b w:val="0"/>
                <w:sz w:val="17"/>
              </w:rPr>
              <w:t>The assistant should not disclose real internal system names from anonymised learning data. It should answer using approved generic terms such as “Finance ERP” unless the user is operating inside the approved internal environment and has access to authorised system-specific material.</w:t>
            </w:r>
          </w:p>
        </w:tc>
      </w:tr>
    </w:tbl>
    <w:p/>
    <w:p>
      <w:pPr>
        <w:pStyle w:val="Heading2"/>
      </w:pPr>
      <w:r>
        <w:t>3.8 Example JSON-style records for future ingestion</w:t>
      </w:r>
    </w:p>
    <w:p>
      <w:r>
        <w:rPr>
          <w:b/>
        </w:rPr>
        <w:t xml:space="preserve">Note. </w:t>
      </w:r>
      <w:r>
        <w:t>These examples show the intended structure only. In the real project, equivalent records should be generated and stored inside the organisation’s approved environment, using controlled source documents and approved access controls.</w:t>
      </w:r>
    </w:p>
    <w:p>
      <w:pPr>
        <w:pStyle w:val="CodeBlock"/>
      </w:pPr>
      <w:r>
        <w:rPr>
          <w:rFonts w:ascii="Courier New" w:hAnsi="Courier New" w:eastAsia="Courier New"/>
          <w:sz w:val="16"/>
        </w:rPr>
        <w:t>{</w:t>
      </w:r>
      <w:r>
        <w:br/>
      </w:r>
      <w:r>
        <w:rPr>
          <w:rFonts w:ascii="Courier New" w:hAnsi="Courier New" w:eastAsia="Courier New"/>
          <w:sz w:val="16"/>
        </w:rPr>
        <w:t xml:space="preserve">  "record_id": "PROC-SUP-SETUP-001",</w:t>
      </w:r>
      <w:r>
        <w:br/>
      </w:r>
      <w:r>
        <w:rPr>
          <w:rFonts w:ascii="Courier New" w:hAnsi="Courier New" w:eastAsia="Courier New"/>
          <w:sz w:val="16"/>
        </w:rPr>
        <w:t xml:space="preserve">  "record_type": "process_overview",</w:t>
      </w:r>
      <w:r>
        <w:br/>
      </w:r>
      <w:r>
        <w:rPr>
          <w:rFonts w:ascii="Courier New" w:hAnsi="Courier New" w:eastAsia="Courier New"/>
          <w:sz w:val="16"/>
        </w:rPr>
        <w:t xml:space="preserve">  "title": "Supplier setup and supplier master data maintenance",</w:t>
      </w:r>
      <w:r>
        <w:br/>
      </w:r>
      <w:r>
        <w:rPr>
          <w:rFonts w:ascii="Courier New" w:hAnsi="Courier New" w:eastAsia="Courier New"/>
          <w:sz w:val="16"/>
        </w:rPr>
        <w:t xml:space="preserve">  "confidentiality_status": "anonymised_learning_data",</w:t>
      </w:r>
      <w:r>
        <w:br/>
      </w:r>
      <w:r>
        <w:rPr>
          <w:rFonts w:ascii="Courier New" w:hAnsi="Courier New" w:eastAsia="Courier New"/>
          <w:sz w:val="16"/>
        </w:rPr>
        <w:t xml:space="preserve">  "summary": "Supplier setup begins with a business request, followed by supplier form completion, support team review, due diligence and credit checks, operational supplier creation, finance identifier mapping, validation and handover to downstream processes.",</w:t>
      </w:r>
      <w:r>
        <w:br/>
      </w:r>
      <w:r>
        <w:rPr>
          <w:rFonts w:ascii="Courier New" w:hAnsi="Courier New" w:eastAsia="Courier New"/>
          <w:sz w:val="16"/>
        </w:rPr>
        <w:t xml:space="preserve">  "permitted_use": ["process_clarification", "onboarding", "requirements_support", "test_scenario_design"],</w:t>
      </w:r>
      <w:r>
        <w:br/>
      </w:r>
      <w:r>
        <w:rPr>
          <w:rFonts w:ascii="Courier New" w:hAnsi="Courier New" w:eastAsia="Courier New"/>
          <w:sz w:val="16"/>
        </w:rPr>
        <w:t xml:space="preserve">  "restricted_use": ["live_supplier_decisions", "production_changes", "disclosure_of_real_system_names"]</w:t>
      </w:r>
      <w:r>
        <w:br/>
      </w:r>
      <w:r>
        <w:rPr>
          <w:rFonts w:ascii="Courier New" w:hAnsi="Courier New" w:eastAsia="Courier New"/>
          <w:sz w:val="16"/>
        </w:rPr>
        <w:t>}</w:t>
      </w:r>
      <w:r>
        <w:br/>
      </w:r>
      <w:r>
        <w:rPr>
          <w:rFonts w:ascii="Courier New" w:hAnsi="Courier New" w:eastAsia="Courier New"/>
          <w:sz w:val="16"/>
        </w:rPr>
      </w:r>
      <w:r>
        <w:br/>
      </w:r>
      <w:r>
        <w:rPr>
          <w:rFonts w:ascii="Courier New" w:hAnsi="Courier New" w:eastAsia="Courier New"/>
          <w:sz w:val="16"/>
        </w:rPr>
        <w:t>{</w:t>
      </w:r>
      <w:r>
        <w:br/>
      </w:r>
      <w:r>
        <w:rPr>
          <w:rFonts w:ascii="Courier New" w:hAnsi="Courier New" w:eastAsia="Courier New"/>
          <w:sz w:val="16"/>
        </w:rPr>
        <w:t xml:space="preserve">  "record_id": "PROC-SUP-SETUP-RULE-003",</w:t>
      </w:r>
      <w:r>
        <w:br/>
      </w:r>
      <w:r>
        <w:rPr>
          <w:rFonts w:ascii="Courier New" w:hAnsi="Courier New" w:eastAsia="Courier New"/>
          <w:sz w:val="16"/>
        </w:rPr>
        <w:t xml:space="preserve">  "record_type": "business_rule",</w:t>
      </w:r>
      <w:r>
        <w:br/>
      </w:r>
      <w:r>
        <w:rPr>
          <w:rFonts w:ascii="Courier New" w:hAnsi="Courier New" w:eastAsia="Courier New"/>
          <w:sz w:val="16"/>
        </w:rPr>
        <w:t xml:space="preserve">  "title": "Due diligence and credit checks are mandatory gates",</w:t>
      </w:r>
      <w:r>
        <w:br/>
      </w:r>
      <w:r>
        <w:rPr>
          <w:rFonts w:ascii="Courier New" w:hAnsi="Courier New" w:eastAsia="Courier New"/>
          <w:sz w:val="16"/>
        </w:rPr>
        <w:t xml:space="preserve">  "rule": "A new supplier must not be enabled for operational use until due diligence and credit checks are approved.",</w:t>
      </w:r>
      <w:r>
        <w:br/>
      </w:r>
      <w:r>
        <w:rPr>
          <w:rFonts w:ascii="Courier New" w:hAnsi="Courier New" w:eastAsia="Courier New"/>
          <w:sz w:val="16"/>
        </w:rPr>
        <w:t xml:space="preserve">  "failure_path": "If either check fails, onboarding is rejected and the requester is informed.",</w:t>
      </w:r>
      <w:r>
        <w:br/>
      </w:r>
      <w:r>
        <w:rPr>
          <w:rFonts w:ascii="Courier New" w:hAnsi="Courier New" w:eastAsia="Courier New"/>
          <w:sz w:val="16"/>
        </w:rPr>
        <w:t xml:space="preserve">  "confidence": "derived_from_workshop_process_flow"</w:t>
      </w:r>
      <w:r>
        <w:br/>
      </w:r>
      <w:r>
        <w:rPr>
          <w:rFonts w:ascii="Courier New" w:hAnsi="Courier New" w:eastAsia="Courier New"/>
          <w:sz w:val="16"/>
        </w:rPr>
        <w:t>}</w:t>
      </w:r>
      <w:r>
        <w:br/>
      </w:r>
      <w:r>
        <w:rPr>
          <w:rFonts w:ascii="Courier New" w:hAnsi="Courier New" w:eastAsia="Courier New"/>
          <w:sz w:val="16"/>
        </w:rPr>
      </w:r>
      <w:r>
        <w:br/>
      </w:r>
      <w:r>
        <w:rPr>
          <w:rFonts w:ascii="Courier New" w:hAnsi="Courier New" w:eastAsia="Courier New"/>
          <w:sz w:val="16"/>
        </w:rPr>
        <w:t>{</w:t>
      </w:r>
      <w:r>
        <w:br/>
      </w:r>
      <w:r>
        <w:rPr>
          <w:rFonts w:ascii="Courier New" w:hAnsi="Courier New" w:eastAsia="Courier New"/>
          <w:sz w:val="16"/>
        </w:rPr>
        <w:t xml:space="preserve">  "record_id": "PROC-SUP-SETUP-DECISION-002",</w:t>
      </w:r>
      <w:r>
        <w:br/>
      </w:r>
      <w:r>
        <w:rPr>
          <w:rFonts w:ascii="Courier New" w:hAnsi="Courier New" w:eastAsia="Courier New"/>
          <w:sz w:val="16"/>
        </w:rPr>
        <w:t xml:space="preserve">  "record_type": "open_design_decision",</w:t>
      </w:r>
      <w:r>
        <w:br/>
      </w:r>
      <w:r>
        <w:rPr>
          <w:rFonts w:ascii="Courier New" w:hAnsi="Courier New" w:eastAsia="Courier New"/>
          <w:sz w:val="16"/>
        </w:rPr>
        <w:t xml:space="preserve">  "title": "Define master system for supplier data fields",</w:t>
      </w:r>
      <w:r>
        <w:br/>
      </w:r>
      <w:r>
        <w:rPr>
          <w:rFonts w:ascii="Courier New" w:hAnsi="Courier New" w:eastAsia="Courier New"/>
          <w:sz w:val="16"/>
        </w:rPr>
        <w:t xml:space="preserve">  "issue": "Some supplier data may exist in both the operational backoffice system and the finance ERP. The project must define which system is master for each data field and which systems consume it.",</w:t>
      </w:r>
      <w:r>
        <w:br/>
      </w:r>
      <w:r>
        <w:rPr>
          <w:rFonts w:ascii="Courier New" w:hAnsi="Courier New" w:eastAsia="Courier New"/>
          <w:sz w:val="16"/>
        </w:rPr>
        <w:t xml:space="preserve">  "risk_if_unresolved": "Duplicate manual maintenance, data inconsistency, failed downstream processing and unclear ownership."</w:t>
      </w:r>
      <w:r>
        <w:br/>
      </w:r>
      <w:r>
        <w:rPr>
          <w:rFonts w:ascii="Courier New" w:hAnsi="Courier New" w:eastAsia="Courier New"/>
          <w:sz w:val="16"/>
        </w:rPr>
        <w:t>}</w:t>
      </w:r>
      <w:r>
        <w:br/>
      </w:r>
    </w:p>
    <w:p>
      <w:pPr>
        <w:pStyle w:val="Heading1"/>
      </w:pPr>
      <w:r>
        <w:t>4. How this supports the DT602 ethical proposal</w:t>
      </w:r>
    </w:p>
    <w:p>
      <w:r>
        <w:rPr>
          <w:b/>
        </w:rPr>
        <w:t xml:space="preserve">Data minimisation. </w:t>
      </w:r>
      <w:r>
        <w:t>The example reduces the source material to what is needed for learning and retrieval. It does not include live supplier records, named individuals, real supplier names, commercial values, personal data or raw transcript content.</w:t>
      </w:r>
    </w:p>
    <w:p>
      <w:r>
        <w:rPr>
          <w:b/>
        </w:rPr>
        <w:t xml:space="preserve">Confidentiality by design. </w:t>
      </w:r>
      <w:r>
        <w:t>The artefact separates business logic from sensitive identifiers. It demonstrates that the proposed AI assistant can be trained or populated using controlled, sanitised knowledge objects instead of raw workshop notes.</w:t>
      </w:r>
    </w:p>
    <w:p>
      <w:r>
        <w:rPr>
          <w:b/>
        </w:rPr>
        <w:t xml:space="preserve">Human accountability. </w:t>
      </w:r>
      <w:r>
        <w:t>The assistant is positioned as a support tool for clarification, onboarding and requirements work. It does not approve suppliers, override governance checks or replace accountable business roles.</w:t>
      </w:r>
    </w:p>
    <w:p>
      <w:r>
        <w:rPr>
          <w:b/>
        </w:rPr>
        <w:t xml:space="preserve">Traceability and governance. </w:t>
      </w:r>
      <w:r>
        <w:t>Each record has a purpose, permitted use and restricted use. Open design decisions are captured separately from confirmed process rules, reducing the risk that the assistant presents unresolved issues as approved policy.</w:t>
      </w:r>
    </w:p>
    <w:p>
      <w:r>
        <w:rPr>
          <w:b/>
        </w:rPr>
        <w:t xml:space="preserve">Feasibility for internal implementation. </w:t>
      </w:r>
      <w:r>
        <w:t>The same approach can be applied inside the organisation’s approved environment, where real source documents can be transformed into anonymised or access-controlled knowledge records without transferring confidential content externally.</w:t>
      </w:r>
    </w:p>
    <w:p>
      <w:pPr>
        <w:pStyle w:val="Heading1"/>
      </w:pPr>
      <w:r>
        <w:t>5. Recommended next step for the real project</w:t>
      </w:r>
    </w:p>
    <w:p>
      <w:r>
        <w:t>The next practical step is to create a repeatable internal preparation workflow: source artefact capture, confidentiality screening, anonymisation, process extraction, SME validation, knowledge record creation, approval, indexing and assistant testing. The supplier setup example should be treated as a pilot pattern that can be reused for further process areas, with each record clearly labelled as confirmed requirement, business rule, open decision, system dependency or training/onboarding explanation.</w:t>
      </w:r>
    </w:p>
    <w:sectPr>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DT602 artefact example - anonymised learning data for proposed AI assistant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27"/>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DT602 Anonymised AI Assistant Learning Data Example - Supplier Setup</dc:title>
  <dc:subject>Research ethics artefact</dc:subject>
  <dc:creator/>
  <cp:keywords/>
  <dc:description>Generated as an anonymised example for DT602 planning.</dc:description>
  <cp:lastModifiedBy/>
  <cp:revision>1</cp:revision>
  <dcterms:created xsi:type="dcterms:W3CDTF">2013-12-23T23:15:00Z</dcterms:created>
  <dcterms:modified xsi:type="dcterms:W3CDTF">2013-12-23T23:15:00Z</dcterms:modified>
  <cp:category/>
</cp:coreProperties>
</file>