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E0068" w14:textId="77777777" w:rsidR="00C006DF" w:rsidRDefault="00000000">
      <w:pPr>
        <w:jc w:val="center"/>
      </w:pPr>
      <w:r>
        <w:rPr>
          <w:b/>
          <w:sz w:val="20"/>
        </w:rPr>
        <w:t>DT602 Artefact Framework</w:t>
      </w:r>
    </w:p>
    <w:p w14:paraId="62525F22" w14:textId="77777777" w:rsidR="00C006DF" w:rsidRDefault="00000000">
      <w:pPr>
        <w:pStyle w:val="Title"/>
        <w:jc w:val="center"/>
      </w:pPr>
      <w:r>
        <w:rPr>
          <w:b/>
          <w:sz w:val="36"/>
        </w:rPr>
        <w:t>Anonymised AI Assistant Learning Data Framework</w:t>
      </w:r>
    </w:p>
    <w:p w14:paraId="0D1894E4" w14:textId="77777777" w:rsidR="00C006DF" w:rsidRDefault="00000000">
      <w:pPr>
        <w:pStyle w:val="Subtitle"/>
        <w:jc w:val="center"/>
      </w:pPr>
      <w:r>
        <w:t>Reusable preparation approach for process-based learning data</w:t>
      </w:r>
    </w:p>
    <w:p w14:paraId="031493C6" w14:textId="77777777" w:rsidR="00C006DF" w:rsidRDefault="00C006DF"/>
    <w:p w14:paraId="4775B519" w14:textId="77777777" w:rsidR="00C006DF" w:rsidRDefault="00000000">
      <w:pPr>
        <w:pStyle w:val="Heading1"/>
      </w:pPr>
      <w:r>
        <w:t>1. Purpose and ethical position</w:t>
      </w:r>
    </w:p>
    <w:p w14:paraId="09B15355" w14:textId="06B6C08D" w:rsidR="00C006DF" w:rsidRDefault="00000000">
      <w:r>
        <w:t xml:space="preserve">Purpose. </w:t>
      </w:r>
      <w:r w:rsidR="00596B60" w:rsidRPr="00596B60">
        <w:t xml:space="preserve">This artefact demonstrates how previously captured source material can be converted, within an approved environment, into controlled, </w:t>
      </w:r>
      <w:proofErr w:type="spellStart"/>
      <w:r w:rsidR="00596B60" w:rsidRPr="00596B60">
        <w:t>anonymised</w:t>
      </w:r>
      <w:proofErr w:type="spellEnd"/>
      <w:r w:rsidR="00596B60" w:rsidRPr="00596B60">
        <w:t xml:space="preserve"> learning data for a proposed AI assistant.</w:t>
      </w:r>
      <w:r>
        <w:t xml:space="preserve"> The example is based on a single process area: </w:t>
      </w:r>
      <w:r w:rsidR="00CD2778" w:rsidRPr="00CD2778">
        <w:t xml:space="preserve">supplier setup in a generic future </w:t>
      </w:r>
      <w:proofErr w:type="spellStart"/>
      <w:r w:rsidR="00CD2778" w:rsidRPr="00CD2778">
        <w:t>backoffice</w:t>
      </w:r>
      <w:proofErr w:type="spellEnd"/>
      <w:r w:rsidR="00CD2778" w:rsidRPr="00CD2778">
        <w:t xml:space="preserve"> operating model</w:t>
      </w:r>
      <w:r>
        <w:t xml:space="preserve"> The format is intended to show how the data could be prepared within the organisation’s approved environment before any assistant, search index, retrieval layer or knowledge base is populated.</w:t>
      </w:r>
    </w:p>
    <w:p w14:paraId="72D6A6C9" w14:textId="77777777" w:rsidR="00C006DF" w:rsidRDefault="00000000">
      <w:r>
        <w:t>Ethical position. The example below is not a direct copy of confidential workshop material. It is a sanitised representation that preserves the business logic needed for learning and requirements clarification, while removing or generalising organisation-specific names, system identifiers, process IDs, named individuals, market references and commercially sensitive operating details.</w:t>
      </w:r>
    </w:p>
    <w:p w14:paraId="2FC97517" w14:textId="77777777" w:rsidR="00C006DF" w:rsidRDefault="00000000">
      <w:r>
        <w:t>This framework is intended to sit separately from individual process learning data packs. It defines the approach, controls and intended use pattern. Each process-specific pack should contain only the anonymised business process knowledge needed for retrieval, onboarding, requirements clarification and assistant testing.</w:t>
      </w:r>
    </w:p>
    <w:p w14:paraId="5E9DC7CC" w14:textId="77777777" w:rsidR="00C006DF" w:rsidRDefault="00000000">
      <w:pPr>
        <w:pStyle w:val="Heading1"/>
      </w:pPr>
      <w:r>
        <w:t>2. Source artefact and intended use</w:t>
      </w:r>
    </w:p>
    <w:p w14:paraId="6606D225" w14:textId="77777777" w:rsidR="00C006DF" w:rsidRDefault="00000000">
      <w:r>
        <w:t>Source context. The original workshop content described the end-to-end process for creating or amending a supplier record. It covered initiation by a business requester, completion of a supplier form, review by a support team, due diligence and credit checks, supplier master data setup, finance system mapping, validation and handover to downstream processes. It also captured open design questions around system ownership, sequencing and data duplication.</w:t>
      </w:r>
    </w:p>
    <w:p w14:paraId="2EB8CB01" w14:textId="77777777" w:rsidR="00C006DF" w:rsidRDefault="00000000">
      <w:r>
        <w:t>AI assistant use case. The anonymised data would support a retrieval-based AI assistant that helps implementation vendors, analysts and new staff understand process requirements. Typical questions include: “Who initiates supplier setup?”, “What checks must be completed before setup continues?”, “Which system creates the operational supplier ID?”, “What happens if checks fail?” and “What open decisions still need to be resolved?”</w:t>
      </w:r>
    </w:p>
    <w:tbl>
      <w:tblPr>
        <w:tblStyle w:val="TableGrid"/>
        <w:tblW w:w="0" w:type="auto"/>
        <w:jc w:val="center"/>
        <w:tblLook w:val="04A0" w:firstRow="1" w:lastRow="0" w:firstColumn="1" w:lastColumn="0" w:noHBand="0" w:noVBand="1"/>
      </w:tblPr>
      <w:tblGrid>
        <w:gridCol w:w="5156"/>
        <w:gridCol w:w="5156"/>
      </w:tblGrid>
      <w:tr w:rsidR="00C006DF" w14:paraId="255CD309" w14:textId="77777777">
        <w:trPr>
          <w:jc w:val="center"/>
        </w:trPr>
        <w:tc>
          <w:tcPr>
            <w:tcW w:w="5156" w:type="dxa"/>
            <w:shd w:val="clear" w:color="auto" w:fill="D9EAF7"/>
          </w:tcPr>
          <w:p w14:paraId="0250BEFB" w14:textId="77777777" w:rsidR="00C006DF" w:rsidRDefault="00000000">
            <w:pPr>
              <w:spacing w:after="40"/>
            </w:pPr>
            <w:r>
              <w:rPr>
                <w:b/>
                <w:sz w:val="17"/>
              </w:rPr>
              <w:t>Audience</w:t>
            </w:r>
          </w:p>
        </w:tc>
        <w:tc>
          <w:tcPr>
            <w:tcW w:w="5156" w:type="dxa"/>
            <w:shd w:val="clear" w:color="auto" w:fill="D9EAF7"/>
          </w:tcPr>
          <w:p w14:paraId="6EBB5FF3" w14:textId="77777777" w:rsidR="00C006DF" w:rsidRDefault="00000000">
            <w:pPr>
              <w:spacing w:after="40"/>
            </w:pPr>
            <w:r>
              <w:rPr>
                <w:b/>
                <w:sz w:val="17"/>
              </w:rPr>
              <w:t>How this learning data helps</w:t>
            </w:r>
          </w:p>
        </w:tc>
      </w:tr>
      <w:tr w:rsidR="00C006DF" w14:paraId="6ED6F1F7" w14:textId="77777777">
        <w:trPr>
          <w:jc w:val="center"/>
        </w:trPr>
        <w:tc>
          <w:tcPr>
            <w:tcW w:w="5156" w:type="dxa"/>
          </w:tcPr>
          <w:p w14:paraId="7518BDEF" w14:textId="77777777" w:rsidR="00C006DF" w:rsidRDefault="00000000">
            <w:pPr>
              <w:spacing w:after="40"/>
            </w:pPr>
            <w:r>
              <w:rPr>
                <w:sz w:val="17"/>
              </w:rPr>
              <w:t>Implementation vendor</w:t>
            </w:r>
          </w:p>
        </w:tc>
        <w:tc>
          <w:tcPr>
            <w:tcW w:w="5156" w:type="dxa"/>
          </w:tcPr>
          <w:p w14:paraId="513B6678" w14:textId="77777777" w:rsidR="00C006DF" w:rsidRDefault="00000000">
            <w:pPr>
              <w:spacing w:after="40"/>
            </w:pPr>
            <w:r>
              <w:rPr>
                <w:sz w:val="17"/>
              </w:rPr>
              <w:t>Clarifies process flow, dependencies, gates, expected data hand-offs and open design decisions without exposing confidential source material.</w:t>
            </w:r>
          </w:p>
        </w:tc>
      </w:tr>
      <w:tr w:rsidR="00C006DF" w14:paraId="0A602C1C" w14:textId="77777777">
        <w:trPr>
          <w:jc w:val="center"/>
        </w:trPr>
        <w:tc>
          <w:tcPr>
            <w:tcW w:w="5156" w:type="dxa"/>
          </w:tcPr>
          <w:p w14:paraId="470D91E8" w14:textId="77777777" w:rsidR="00C006DF" w:rsidRDefault="00000000">
            <w:pPr>
              <w:spacing w:after="40"/>
            </w:pPr>
            <w:r>
              <w:rPr>
                <w:sz w:val="17"/>
              </w:rPr>
              <w:t>Business analyst / product owner</w:t>
            </w:r>
          </w:p>
        </w:tc>
        <w:tc>
          <w:tcPr>
            <w:tcW w:w="5156" w:type="dxa"/>
          </w:tcPr>
          <w:p w14:paraId="6EA350D0" w14:textId="77777777" w:rsidR="00C006DF" w:rsidRDefault="00000000">
            <w:pPr>
              <w:spacing w:after="40"/>
            </w:pPr>
            <w:r>
              <w:rPr>
                <w:sz w:val="17"/>
              </w:rPr>
              <w:t>Provides structured process knowledge that can be linked to requirements, user stories, acceptance criteria and risk controls.</w:t>
            </w:r>
          </w:p>
        </w:tc>
      </w:tr>
      <w:tr w:rsidR="00C006DF" w14:paraId="79FE0C0C" w14:textId="77777777">
        <w:trPr>
          <w:jc w:val="center"/>
        </w:trPr>
        <w:tc>
          <w:tcPr>
            <w:tcW w:w="5156" w:type="dxa"/>
          </w:tcPr>
          <w:p w14:paraId="2688DAE8" w14:textId="77777777" w:rsidR="00C006DF" w:rsidRDefault="00000000">
            <w:pPr>
              <w:spacing w:after="40"/>
            </w:pPr>
            <w:r>
              <w:rPr>
                <w:sz w:val="17"/>
              </w:rPr>
              <w:t>New starter / onboarding user</w:t>
            </w:r>
          </w:p>
        </w:tc>
        <w:tc>
          <w:tcPr>
            <w:tcW w:w="5156" w:type="dxa"/>
          </w:tcPr>
          <w:p w14:paraId="6B42BA9D" w14:textId="77777777" w:rsidR="00C006DF" w:rsidRDefault="00000000">
            <w:pPr>
              <w:spacing w:after="40"/>
            </w:pPr>
            <w:r>
              <w:rPr>
                <w:sz w:val="17"/>
              </w:rPr>
              <w:t>Explains the business process in plain language, including roles, systems, decisions and downstream consequences.</w:t>
            </w:r>
          </w:p>
        </w:tc>
      </w:tr>
      <w:tr w:rsidR="00C006DF" w14:paraId="0EF487DF" w14:textId="77777777">
        <w:trPr>
          <w:jc w:val="center"/>
        </w:trPr>
        <w:tc>
          <w:tcPr>
            <w:tcW w:w="5156" w:type="dxa"/>
          </w:tcPr>
          <w:p w14:paraId="222121AC" w14:textId="77777777" w:rsidR="00C006DF" w:rsidRDefault="00000000">
            <w:pPr>
              <w:spacing w:after="40"/>
            </w:pPr>
            <w:r>
              <w:rPr>
                <w:sz w:val="17"/>
              </w:rPr>
              <w:t>Ethics / governance reviewer</w:t>
            </w:r>
          </w:p>
        </w:tc>
        <w:tc>
          <w:tcPr>
            <w:tcW w:w="5156" w:type="dxa"/>
          </w:tcPr>
          <w:p w14:paraId="6C1579F4" w14:textId="77777777" w:rsidR="00C006DF" w:rsidRDefault="00000000">
            <w:pPr>
              <w:spacing w:after="40"/>
            </w:pPr>
            <w:r>
              <w:rPr>
                <w:sz w:val="17"/>
              </w:rPr>
              <w:t>Shows how the learning dataset is minimised, anonymised and separated from live business records.</w:t>
            </w:r>
          </w:p>
        </w:tc>
      </w:tr>
    </w:tbl>
    <w:p w14:paraId="560D1DA6" w14:textId="77777777" w:rsidR="00C006DF" w:rsidRDefault="00000000">
      <w:pPr>
        <w:pStyle w:val="Heading1"/>
      </w:pPr>
      <w:r>
        <w:lastRenderedPageBreak/>
        <w:t>3. Confidentiality and anonymisation rules applied</w:t>
      </w:r>
    </w:p>
    <w:p w14:paraId="50374684" w14:textId="77777777" w:rsidR="00C006DF" w:rsidRDefault="00000000">
      <w:r>
        <w:t>Control principle. The learning value is retained at the level of process logic. Details that could identify the organisation, programme, market, supplier base, internal systems, teams, process IDs or individuals are either removed or replaced with neutral terms. This supports data minimisation and reduces the risk that the AI assistant becomes a channel for accidental disclosure.</w:t>
      </w:r>
    </w:p>
    <w:tbl>
      <w:tblPr>
        <w:tblStyle w:val="TableGrid"/>
        <w:tblW w:w="0" w:type="auto"/>
        <w:jc w:val="center"/>
        <w:tblLook w:val="04A0" w:firstRow="1" w:lastRow="0" w:firstColumn="1" w:lastColumn="0" w:noHBand="0" w:noVBand="1"/>
      </w:tblPr>
      <w:tblGrid>
        <w:gridCol w:w="3437"/>
        <w:gridCol w:w="3437"/>
        <w:gridCol w:w="3437"/>
      </w:tblGrid>
      <w:tr w:rsidR="00C006DF" w14:paraId="72DBDE82" w14:textId="77777777">
        <w:trPr>
          <w:jc w:val="center"/>
        </w:trPr>
        <w:tc>
          <w:tcPr>
            <w:tcW w:w="3437" w:type="dxa"/>
            <w:shd w:val="clear" w:color="auto" w:fill="D9EAF7"/>
          </w:tcPr>
          <w:p w14:paraId="73990E4A" w14:textId="77777777" w:rsidR="00C006DF" w:rsidRDefault="00000000">
            <w:pPr>
              <w:spacing w:after="40"/>
            </w:pPr>
            <w:r>
              <w:rPr>
                <w:b/>
                <w:sz w:val="16"/>
              </w:rPr>
              <w:t>Original content type</w:t>
            </w:r>
          </w:p>
        </w:tc>
        <w:tc>
          <w:tcPr>
            <w:tcW w:w="3437" w:type="dxa"/>
            <w:shd w:val="clear" w:color="auto" w:fill="D9EAF7"/>
          </w:tcPr>
          <w:p w14:paraId="51C63301" w14:textId="77777777" w:rsidR="00C006DF" w:rsidRDefault="00000000">
            <w:pPr>
              <w:spacing w:after="40"/>
            </w:pPr>
            <w:r>
              <w:rPr>
                <w:b/>
                <w:sz w:val="16"/>
              </w:rPr>
              <w:t>Risk</w:t>
            </w:r>
          </w:p>
        </w:tc>
        <w:tc>
          <w:tcPr>
            <w:tcW w:w="3437" w:type="dxa"/>
            <w:shd w:val="clear" w:color="auto" w:fill="D9EAF7"/>
          </w:tcPr>
          <w:p w14:paraId="3B9F8C73" w14:textId="77777777" w:rsidR="00C006DF" w:rsidRDefault="00000000">
            <w:pPr>
              <w:spacing w:after="40"/>
            </w:pPr>
            <w:r>
              <w:rPr>
                <w:b/>
                <w:sz w:val="16"/>
              </w:rPr>
              <w:t>Anonymised treatment used in this artefact</w:t>
            </w:r>
          </w:p>
        </w:tc>
      </w:tr>
      <w:tr w:rsidR="00C006DF" w14:paraId="0AEDE55C" w14:textId="77777777">
        <w:trPr>
          <w:jc w:val="center"/>
        </w:trPr>
        <w:tc>
          <w:tcPr>
            <w:tcW w:w="3437" w:type="dxa"/>
          </w:tcPr>
          <w:p w14:paraId="77F40D0C" w14:textId="77777777" w:rsidR="00C006DF" w:rsidRDefault="00000000">
            <w:pPr>
              <w:spacing w:after="40"/>
            </w:pPr>
            <w:r>
              <w:rPr>
                <w:sz w:val="16"/>
              </w:rPr>
              <w:t>Organisation, programme and market names</w:t>
            </w:r>
          </w:p>
        </w:tc>
        <w:tc>
          <w:tcPr>
            <w:tcW w:w="3437" w:type="dxa"/>
          </w:tcPr>
          <w:p w14:paraId="68A56DE2" w14:textId="77777777" w:rsidR="00C006DF" w:rsidRDefault="00000000">
            <w:pPr>
              <w:spacing w:after="40"/>
            </w:pPr>
            <w:r>
              <w:rPr>
                <w:sz w:val="16"/>
              </w:rPr>
              <w:t>Could identify the enterprise, transformation programme or country-specific implementation.</w:t>
            </w:r>
          </w:p>
        </w:tc>
        <w:tc>
          <w:tcPr>
            <w:tcW w:w="3437" w:type="dxa"/>
          </w:tcPr>
          <w:p w14:paraId="2D755FED" w14:textId="77777777" w:rsidR="00C006DF" w:rsidRDefault="00000000">
            <w:pPr>
              <w:spacing w:after="40"/>
            </w:pPr>
            <w:r>
              <w:rPr>
                <w:sz w:val="16"/>
              </w:rPr>
              <w:t>Replaced with “Organisation A”, “Target Programme” or “Market A”; no real brand or market name retained.</w:t>
            </w:r>
          </w:p>
        </w:tc>
      </w:tr>
      <w:tr w:rsidR="00C006DF" w14:paraId="5F1B257B" w14:textId="77777777">
        <w:trPr>
          <w:jc w:val="center"/>
        </w:trPr>
        <w:tc>
          <w:tcPr>
            <w:tcW w:w="3437" w:type="dxa"/>
          </w:tcPr>
          <w:p w14:paraId="6384C13A" w14:textId="77777777" w:rsidR="00C006DF" w:rsidRDefault="00000000">
            <w:pPr>
              <w:spacing w:after="40"/>
            </w:pPr>
            <w:r>
              <w:rPr>
                <w:sz w:val="16"/>
              </w:rPr>
              <w:t>Internal system and platform names</w:t>
            </w:r>
          </w:p>
        </w:tc>
        <w:tc>
          <w:tcPr>
            <w:tcW w:w="3437" w:type="dxa"/>
          </w:tcPr>
          <w:p w14:paraId="76F5C0DC" w14:textId="77777777" w:rsidR="00C006DF" w:rsidRDefault="00000000">
            <w:pPr>
              <w:spacing w:after="40"/>
            </w:pPr>
            <w:r>
              <w:rPr>
                <w:sz w:val="16"/>
              </w:rPr>
              <w:t>Could reveal technology estate, integration dependencies or supplier/vendor relationships.</w:t>
            </w:r>
          </w:p>
        </w:tc>
        <w:tc>
          <w:tcPr>
            <w:tcW w:w="3437" w:type="dxa"/>
          </w:tcPr>
          <w:p w14:paraId="4CF49C40" w14:textId="77777777" w:rsidR="00C006DF" w:rsidRDefault="00000000">
            <w:pPr>
              <w:spacing w:after="40"/>
            </w:pPr>
            <w:r>
              <w:rPr>
                <w:sz w:val="16"/>
              </w:rPr>
              <w:t>Replaced with generic labels such as “Target Backoffice System”, “Finance ERP”, “Due Diligence Tool”, “Replenishment System” and “Logistics Partner System”.</w:t>
            </w:r>
          </w:p>
        </w:tc>
      </w:tr>
      <w:tr w:rsidR="00C006DF" w14:paraId="6AE988CD" w14:textId="77777777">
        <w:trPr>
          <w:jc w:val="center"/>
        </w:trPr>
        <w:tc>
          <w:tcPr>
            <w:tcW w:w="3437" w:type="dxa"/>
          </w:tcPr>
          <w:p w14:paraId="2F79BE8B" w14:textId="77777777" w:rsidR="00C006DF" w:rsidRDefault="00000000">
            <w:pPr>
              <w:spacing w:after="40"/>
            </w:pPr>
            <w:r>
              <w:rPr>
                <w:sz w:val="16"/>
              </w:rPr>
              <w:t>Named roles or small-team labels</w:t>
            </w:r>
          </w:p>
        </w:tc>
        <w:tc>
          <w:tcPr>
            <w:tcW w:w="3437" w:type="dxa"/>
          </w:tcPr>
          <w:p w14:paraId="6C8FB2AF" w14:textId="77777777" w:rsidR="00C006DF" w:rsidRDefault="00000000">
            <w:pPr>
              <w:spacing w:after="40"/>
            </w:pPr>
            <w:r>
              <w:rPr>
                <w:sz w:val="16"/>
              </w:rPr>
              <w:t>Could reveal internal operating model or identify individuals in a narrow process area.</w:t>
            </w:r>
          </w:p>
        </w:tc>
        <w:tc>
          <w:tcPr>
            <w:tcW w:w="3437" w:type="dxa"/>
          </w:tcPr>
          <w:p w14:paraId="5FC6DBC2" w14:textId="77777777" w:rsidR="00C006DF" w:rsidRDefault="00000000">
            <w:pPr>
              <w:spacing w:after="40"/>
            </w:pPr>
            <w:r>
              <w:rPr>
                <w:sz w:val="16"/>
              </w:rPr>
              <w:t>Converted to functional roles such as “Business Requester”, “Process Support Lead”, “Finance Master Data Lead” and “Support Analyst”.</w:t>
            </w:r>
          </w:p>
        </w:tc>
      </w:tr>
      <w:tr w:rsidR="00C006DF" w14:paraId="2D47013F" w14:textId="77777777">
        <w:trPr>
          <w:jc w:val="center"/>
        </w:trPr>
        <w:tc>
          <w:tcPr>
            <w:tcW w:w="3437" w:type="dxa"/>
          </w:tcPr>
          <w:p w14:paraId="1C320CD2" w14:textId="77777777" w:rsidR="00C006DF" w:rsidRDefault="00000000">
            <w:pPr>
              <w:spacing w:after="40"/>
            </w:pPr>
            <w:r>
              <w:rPr>
                <w:sz w:val="16"/>
              </w:rPr>
              <w:t>Process reference numbers and comments</w:t>
            </w:r>
          </w:p>
        </w:tc>
        <w:tc>
          <w:tcPr>
            <w:tcW w:w="3437" w:type="dxa"/>
          </w:tcPr>
          <w:p w14:paraId="4722A0CA" w14:textId="77777777" w:rsidR="00C006DF" w:rsidRDefault="00000000">
            <w:pPr>
              <w:spacing w:after="40"/>
            </w:pPr>
            <w:r>
              <w:rPr>
                <w:sz w:val="16"/>
              </w:rPr>
              <w:t>Could link the material back to internal process maps or proprietary modelling repositories.</w:t>
            </w:r>
          </w:p>
        </w:tc>
        <w:tc>
          <w:tcPr>
            <w:tcW w:w="3437" w:type="dxa"/>
          </w:tcPr>
          <w:p w14:paraId="167F50AF" w14:textId="77777777" w:rsidR="00C006DF" w:rsidRDefault="00000000">
            <w:pPr>
              <w:spacing w:after="40"/>
            </w:pPr>
            <w:r>
              <w:rPr>
                <w:sz w:val="16"/>
              </w:rPr>
              <w:t>Removed. Open design questions are retained as neutral “design decisions” without original reference numbers.</w:t>
            </w:r>
          </w:p>
        </w:tc>
      </w:tr>
      <w:tr w:rsidR="00C006DF" w14:paraId="7A683DF9" w14:textId="77777777">
        <w:trPr>
          <w:jc w:val="center"/>
        </w:trPr>
        <w:tc>
          <w:tcPr>
            <w:tcW w:w="3437" w:type="dxa"/>
          </w:tcPr>
          <w:p w14:paraId="1807A628" w14:textId="77777777" w:rsidR="00C006DF" w:rsidRDefault="00000000">
            <w:pPr>
              <w:spacing w:after="40"/>
            </w:pPr>
            <w:r>
              <w:rPr>
                <w:sz w:val="16"/>
              </w:rPr>
              <w:t>Commercially sensitive operating details</w:t>
            </w:r>
          </w:p>
        </w:tc>
        <w:tc>
          <w:tcPr>
            <w:tcW w:w="3437" w:type="dxa"/>
          </w:tcPr>
          <w:p w14:paraId="787DFEF4" w14:textId="77777777" w:rsidR="00C006DF" w:rsidRDefault="00000000">
            <w:pPr>
              <w:spacing w:after="40"/>
            </w:pPr>
            <w:r>
              <w:rPr>
                <w:sz w:val="16"/>
              </w:rPr>
              <w:t>Could expose exact internal dependencies, partner relationships or design constraints.</w:t>
            </w:r>
          </w:p>
        </w:tc>
        <w:tc>
          <w:tcPr>
            <w:tcW w:w="3437" w:type="dxa"/>
          </w:tcPr>
          <w:p w14:paraId="14AAE036" w14:textId="77777777" w:rsidR="00C006DF" w:rsidRDefault="00000000">
            <w:pPr>
              <w:spacing w:after="40"/>
            </w:pPr>
            <w:r>
              <w:rPr>
                <w:sz w:val="16"/>
              </w:rPr>
              <w:t>Generalised to process-level requirements and integration considerations only.</w:t>
            </w:r>
          </w:p>
        </w:tc>
      </w:tr>
      <w:tr w:rsidR="00C006DF" w14:paraId="2E0A2648" w14:textId="77777777">
        <w:trPr>
          <w:jc w:val="center"/>
        </w:trPr>
        <w:tc>
          <w:tcPr>
            <w:tcW w:w="3437" w:type="dxa"/>
          </w:tcPr>
          <w:p w14:paraId="0C1E68CE" w14:textId="77777777" w:rsidR="00C006DF" w:rsidRDefault="00000000">
            <w:pPr>
              <w:spacing w:after="40"/>
            </w:pPr>
            <w:r>
              <w:rPr>
                <w:sz w:val="16"/>
              </w:rPr>
              <w:t>Personal data from workshop speakers</w:t>
            </w:r>
          </w:p>
        </w:tc>
        <w:tc>
          <w:tcPr>
            <w:tcW w:w="3437" w:type="dxa"/>
          </w:tcPr>
          <w:p w14:paraId="05A7572B" w14:textId="77777777" w:rsidR="00C006DF" w:rsidRDefault="00000000">
            <w:pPr>
              <w:spacing w:after="40"/>
            </w:pPr>
            <w:r>
              <w:rPr>
                <w:sz w:val="16"/>
              </w:rPr>
              <w:t>Could identify individuals or their views.</w:t>
            </w:r>
          </w:p>
        </w:tc>
        <w:tc>
          <w:tcPr>
            <w:tcW w:w="3437" w:type="dxa"/>
          </w:tcPr>
          <w:p w14:paraId="7FC7C62A" w14:textId="77777777" w:rsidR="00C006DF" w:rsidRDefault="00000000">
            <w:pPr>
              <w:spacing w:after="40"/>
            </w:pPr>
            <w:r>
              <w:rPr>
                <w:sz w:val="16"/>
              </w:rPr>
              <w:t>Speaker names, speaker numbers and personal references removed entirely.</w:t>
            </w:r>
          </w:p>
        </w:tc>
      </w:tr>
    </w:tbl>
    <w:p w14:paraId="566B56B8" w14:textId="77777777" w:rsidR="00C006DF" w:rsidRDefault="00000000">
      <w:pPr>
        <w:pStyle w:val="Heading1"/>
      </w:pPr>
      <w:r>
        <w:t>4. How this supports the DT602 ethical proposal</w:t>
      </w:r>
    </w:p>
    <w:p w14:paraId="6EEAC461" w14:textId="77777777" w:rsidR="00C006DF" w:rsidRDefault="00000000">
      <w:r>
        <w:t>Data minimisation. The example reduces the source material to what is needed for learning and retrieval. It does not include live supplier records, named individuals, real supplier names, commercial values, personal data or raw transcript content.</w:t>
      </w:r>
    </w:p>
    <w:p w14:paraId="3F7CC0E3" w14:textId="4F0A158E" w:rsidR="00C006DF" w:rsidRDefault="00000000">
      <w:r>
        <w:t xml:space="preserve">Confidentiality by design. The artefact separates business logic from sensitive identifiers. </w:t>
      </w:r>
      <w:r w:rsidR="00596B60" w:rsidRPr="00596B60">
        <w:t xml:space="preserve">It demonstrates that the proposed AI assistant can be populated or tested using controlled, </w:t>
      </w:r>
      <w:proofErr w:type="spellStart"/>
      <w:r w:rsidR="00596B60" w:rsidRPr="00596B60">
        <w:t>sanitised</w:t>
      </w:r>
      <w:proofErr w:type="spellEnd"/>
      <w:r w:rsidR="00596B60" w:rsidRPr="00596B60">
        <w:t xml:space="preserve"> knowledge objects instead of raw workshop notes.</w:t>
      </w:r>
    </w:p>
    <w:p w14:paraId="3000A3DA" w14:textId="77777777" w:rsidR="00C006DF" w:rsidRDefault="00000000">
      <w:r>
        <w:t>Human accountability. The assistant is positioned as a support tool for clarification, onboarding and requirements work. It does not approve suppliers, override governance checks or replace accountable business roles.</w:t>
      </w:r>
    </w:p>
    <w:p w14:paraId="239A9E71" w14:textId="77777777" w:rsidR="00C006DF" w:rsidRDefault="00000000">
      <w:r>
        <w:t>Traceability and governance. Each record has a purpose, permitted use and restricted use. Open design decisions are captured separately from confirmed process rules, reducing the risk that the assistant presents unresolved issues as approved policy.</w:t>
      </w:r>
    </w:p>
    <w:p w14:paraId="7DBD0A06" w14:textId="77777777" w:rsidR="00C006DF" w:rsidRDefault="00000000">
      <w:r>
        <w:t>Feasibility for internal implementation. The same approach can be applied inside the organisation’s approved environment, where real source documents can be transformed into anonymised or access-controlled knowledge records without transferring confidential content externally.</w:t>
      </w:r>
    </w:p>
    <w:p w14:paraId="58367221" w14:textId="77777777" w:rsidR="00C006DF" w:rsidRDefault="00000000">
      <w:pPr>
        <w:pStyle w:val="Heading1"/>
      </w:pPr>
      <w:r>
        <w:t>5. Recommended next step for the real project</w:t>
      </w:r>
    </w:p>
    <w:p w14:paraId="3BC52FAF" w14:textId="346C1E66" w:rsidR="00C006DF" w:rsidRDefault="00000000">
      <w:r>
        <w:t xml:space="preserve">The next practical step is to create a repeatable internal preparation workflow: </w:t>
      </w:r>
      <w:r w:rsidR="00596B60" w:rsidRPr="00596B60">
        <w:t xml:space="preserve">source artefact capture, confidentiality screening, </w:t>
      </w:r>
      <w:proofErr w:type="spellStart"/>
      <w:r w:rsidR="00596B60" w:rsidRPr="00596B60">
        <w:t>anonymisation</w:t>
      </w:r>
      <w:proofErr w:type="spellEnd"/>
      <w:r w:rsidR="00596B60" w:rsidRPr="00596B60">
        <w:t xml:space="preserve">, process extraction, optional </w:t>
      </w:r>
      <w:proofErr w:type="spellStart"/>
      <w:r w:rsidR="00596B60" w:rsidRPr="00596B60">
        <w:t>authorised</w:t>
      </w:r>
      <w:proofErr w:type="spellEnd"/>
      <w:r w:rsidR="00596B60" w:rsidRPr="00596B60">
        <w:t xml:space="preserve"> SME/process-owner review within approved governance, knowledge record creation, approval, indexing and assistant testing.</w:t>
      </w:r>
      <w:r>
        <w:t xml:space="preserve"> The supplier setup example should be treated as a pilot pattern that can be reused for further process areas, with each record </w:t>
      </w:r>
      <w:r>
        <w:lastRenderedPageBreak/>
        <w:t>clearly labelled as confirmed requirement, business rule, open decision, system dependency or training/onboarding explanation.</w:t>
      </w:r>
    </w:p>
    <w:sectPr w:rsidR="00C006DF" w:rsidSect="00034616">
      <w:footerReference w:type="default" r:id="rId8"/>
      <w:pgSz w:w="12240" w:h="15840"/>
      <w:pgMar w:top="964"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01D41" w14:textId="77777777" w:rsidR="00F9043F" w:rsidRDefault="00F9043F">
      <w:pPr>
        <w:spacing w:after="0" w:line="240" w:lineRule="auto"/>
      </w:pPr>
      <w:r>
        <w:separator/>
      </w:r>
    </w:p>
  </w:endnote>
  <w:endnote w:type="continuationSeparator" w:id="0">
    <w:p w14:paraId="27CB9497" w14:textId="77777777" w:rsidR="00F9043F" w:rsidRDefault="00F904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EF83C" w14:textId="77777777" w:rsidR="00C006DF" w:rsidRDefault="00000000">
    <w:pPr>
      <w:pStyle w:val="Footer"/>
      <w:jc w:val="center"/>
    </w:pPr>
    <w:r>
      <w:rPr>
        <w:sz w:val="16"/>
      </w:rPr>
      <w:t xml:space="preserve">DT602 framework - </w:t>
    </w:r>
    <w:proofErr w:type="spellStart"/>
    <w:r>
      <w:rPr>
        <w:sz w:val="16"/>
      </w:rPr>
      <w:t>anonymised</w:t>
    </w:r>
    <w:proofErr w:type="spellEnd"/>
    <w:r>
      <w:rPr>
        <w:sz w:val="16"/>
      </w:rPr>
      <w:t xml:space="preserve"> learning data preparation approach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22011" w14:textId="77777777" w:rsidR="00F9043F" w:rsidRDefault="00F9043F">
      <w:pPr>
        <w:spacing w:after="0" w:line="240" w:lineRule="auto"/>
      </w:pPr>
      <w:r>
        <w:separator/>
      </w:r>
    </w:p>
  </w:footnote>
  <w:footnote w:type="continuationSeparator" w:id="0">
    <w:p w14:paraId="1B1BFFAB" w14:textId="77777777" w:rsidR="00F9043F" w:rsidRDefault="00F904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9822656">
    <w:abstractNumId w:val="8"/>
  </w:num>
  <w:num w:numId="2" w16cid:durableId="409235881">
    <w:abstractNumId w:val="6"/>
  </w:num>
  <w:num w:numId="3" w16cid:durableId="1952785745">
    <w:abstractNumId w:val="5"/>
  </w:num>
  <w:num w:numId="4" w16cid:durableId="1914925091">
    <w:abstractNumId w:val="4"/>
  </w:num>
  <w:num w:numId="5" w16cid:durableId="384258409">
    <w:abstractNumId w:val="7"/>
  </w:num>
  <w:num w:numId="6" w16cid:durableId="1617447936">
    <w:abstractNumId w:val="3"/>
  </w:num>
  <w:num w:numId="7" w16cid:durableId="461583057">
    <w:abstractNumId w:val="2"/>
  </w:num>
  <w:num w:numId="8" w16cid:durableId="66222154">
    <w:abstractNumId w:val="1"/>
  </w:num>
  <w:num w:numId="9" w16cid:durableId="1457138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6B60"/>
    <w:rsid w:val="00712107"/>
    <w:rsid w:val="00AA1D8D"/>
    <w:rsid w:val="00B47730"/>
    <w:rsid w:val="00C006DF"/>
    <w:rsid w:val="00CB0664"/>
    <w:rsid w:val="00CD2778"/>
    <w:rsid w:val="00F904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6C8FF"/>
  <w14:defaultImageDpi w14:val="300"/>
  <w15:docId w15:val="{43BCA13F-BE2C-B943-BB85-EA2BE0700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eastAsia="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Krzysztof Pochopien</cp:lastModifiedBy>
  <cp:revision>3</cp:revision>
  <dcterms:created xsi:type="dcterms:W3CDTF">2013-12-23T23:15:00Z</dcterms:created>
  <dcterms:modified xsi:type="dcterms:W3CDTF">2026-06-12T16:07:00Z</dcterms:modified>
  <cp:category/>
</cp:coreProperties>
</file>