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0B2545"/>
          <w:sz w:val="44"/>
          <w:szCs w:val="44"/>
        </w:rPr>
        <w:t xml:space="preserve">Rate Right - Conversation Review Pack</w:t>
      </w:r>
    </w:p>
    <w:p>
      <w:pPr>
        <w:spacing w:after="80"/>
        <w:jc w:val="center"/>
      </w:pPr>
      <w:r>
        <w:rPr>
          <w:b/>
          <w:bCs/>
          <w:color w:val="0B2545"/>
          <w:sz w:val="32"/>
          <w:szCs w:val="32"/>
        </w:rPr>
        <w:t xml:space="preserve">Review Pack 8 - OPC (Level 2)</w:t>
      </w:r>
    </w:p>
    <w:p>
      <w:pPr>
        <w:spacing w:after="400"/>
        <w:jc w:val="center"/>
      </w:pPr>
      <w:r>
        <w:rPr>
          <w:color w:val="5A6472"/>
          <w:sz w:val="24"/>
          <w:szCs w:val="24"/>
        </w:rPr>
        <w:t xml:space="preserve">Rounds 16-20</w:t>
      </w:r>
    </w:p>
    <w:p>
      <w:pPr>
        <w:spacing w:after="60"/>
        <w:jc w:val="center"/>
      </w:pPr>
      <w:r>
        <w:rPr>
          <w:color w:val="5A6472"/>
          <w:sz w:val="20"/>
          <w:szCs w:val="20"/>
        </w:rPr>
        <w:t xml:space="preserve">5 scenarios - priority partner per scenario</w:t>
      </w:r>
    </w:p>
    <w:p>
      <w:pPr>
        <w:jc w:val="center"/>
      </w:pPr>
      <w:r>
        <w:rPr>
          <w:i/>
          <w:iCs/>
          <w:color w:val="5A6472"/>
          <w:sz w:val="18"/>
          <w:szCs w:val="18"/>
        </w:rPr>
        <w:t xml:space="preserve">Contains every learner-facing screen (copy + on-screen data) and the full priority partner conversation for each scenario.</w:t>
      </w:r>
    </w:p>
    <w:p>
      <w:pPr>
        <w:spacing w:after="80" w:before="500"/>
      </w:pPr>
      <w:r>
        <w:rPr>
          <w:b/>
          <w:bCs/>
          <w:color w:val="0B2545"/>
          <w:sz w:val="24"/>
          <w:szCs w:val="24"/>
        </w:rPr>
        <w:t xml:space="preserve">How to read this pack</w:t>
      </w:r>
    </w:p>
    <w:p>
      <w:pPr>
        <w:pStyle w:val="ListParagraph"/>
        <w:numPr>
          <w:ilvl w:val="0"/>
          <w:numId w:val="1"/>
        </w:numPr>
        <w:spacing w:after="80"/>
      </w:pPr>
      <w:r>
        <w:rPr>
          <w:sz w:val="20"/>
          <w:szCs w:val="20"/>
        </w:rPr>
        <w:t xml:space="preserve">Each scenario shows the priority partner exactly as the learner encounters them: the Portfolio card, the Partner Detail screen (all visible metrics and data), the four persona coaching lenses, the prescribed Pricing Diagnostic to Pitch Flow, and the full branching conversation.</w:t>
      </w:r>
    </w:p>
    <w:p>
      <w:pPr>
        <w:pStyle w:val="ListParagraph"/>
        <w:numPr>
          <w:ilvl w:val="0"/>
          <w:numId w:val="1"/>
        </w:numPr>
        <w:spacing w:after="80"/>
      </w:pPr>
      <w:r>
        <w:rPr>
          <w:sz w:val="20"/>
          <w:szCs w:val="20"/>
        </w:rPr>
        <w:t xml:space="preserve">Every conversation step lists all three response options. The option marked [OPTIMAL] is the SME-preferred (correct) pick. Each option shows the exact words the learner would say, the partner’s scripted reply, and the compliance tag (SAFE / BORDERLINE / RISKY) that drives grading.</w:t>
      </w:r>
    </w:p>
    <w:p>
      <w:pPr>
        <w:pStyle w:val="ListParagraph"/>
        <w:numPr>
          <w:ilvl w:val="0"/>
          <w:numId w:val="1"/>
        </w:numPr>
        <w:spacing w:after="80"/>
      </w:pPr>
      <w:r>
        <w:rPr>
          <w:sz w:val="20"/>
          <w:szCs w:val="20"/>
        </w:rPr>
        <w:t xml:space="preserve">Metric values are shown as they render on screen. eRPD shows the percentage and the month-on-month change in brackets. Secondary and comparator metrics show the value with the vs-peer / vs-last-year delta in brackets.</w:t>
      </w:r>
    </w:p>
    <w:p>
      <w:r>
        <w:br w:type="page"/>
      </w:r>
    </w:p>
    <w:p>
      <w:pPr>
        <w:shd w:fill="0B2545" w:val="clear"/>
        <w:spacing w:after="60" w:before="120"/>
      </w:pPr>
      <w:r>
        <w:rPr>
          <w:b/>
          <w:bCs/>
          <w:color w:val="FFFFFF"/>
          <w:sz w:val="30"/>
          <w:szCs w:val="30"/>
        </w:rPr>
        <w:t xml:space="preserve">  ROUND 16  -  Oceanfront Bliss Lodge  -  No Parity  </w:t>
      </w:r>
    </w:p>
    <w:p>
      <w:pPr>
        <w:pBdr>
          <w:bottom w:val="single" w:color="F4B400" w:sz="6"/>
        </w:pBdr>
        <w:spacing w:after="120" w:before="120"/>
      </w:pPr>
    </w:p>
    <w:p>
      <w:pPr>
        <w:pStyle w:val="Heading2"/>
        <w:spacing w:after="100" w:before="240"/>
      </w:pPr>
      <w:r>
        <w:rPr>
          <w:b/>
          <w:bCs/>
          <w:color w:val="0B2545"/>
          <w:sz w:val="24"/>
          <w:szCs w:val="24"/>
        </w:rPr>
        <w:t xml:space="preserve">1. Scenario overview</w:t>
      </w:r>
    </w:p>
    <w:p>
      <w:pPr>
        <w:spacing w:after="40"/>
      </w:pPr>
      <w:r>
        <w:rPr>
          <w:b/>
          <w:bCs/>
          <w:color w:val="0B2545"/>
          <w:sz w:val="20"/>
          <w:szCs w:val="20"/>
        </w:rPr>
        <w:t xml:space="preserve">Property: </w:t>
      </w:r>
      <w:r>
        <w:rPr>
          <w:sz w:val="20"/>
          <w:szCs w:val="20"/>
        </w:rPr>
        <w:t xml:space="preserve">Oceanfront Bliss Lodge</w:t>
      </w:r>
    </w:p>
    <w:p>
      <w:pPr>
        <w:spacing w:after="40"/>
      </w:pPr>
      <w:r>
        <w:rPr>
          <w:b/>
          <w:bCs/>
          <w:color w:val="0B2545"/>
          <w:sz w:val="20"/>
          <w:szCs w:val="20"/>
        </w:rPr>
        <w:t xml:space="preserve">Point of contact: </w:t>
      </w:r>
      <w:r>
        <w:rPr>
          <w:sz w:val="20"/>
          <w:szCs w:val="20"/>
        </w:rPr>
        <w:t xml:space="preserve">Priya Singh</w:t>
      </w:r>
    </w:p>
    <w:p>
      <w:pPr>
        <w:spacing w:after="40"/>
      </w:pPr>
      <w:r>
        <w:rPr>
          <w:b/>
          <w:bCs/>
          <w:color w:val="0B2545"/>
          <w:sz w:val="20"/>
          <w:szCs w:val="20"/>
        </w:rPr>
        <w:t xml:space="preserve">Property type: </w:t>
      </w:r>
      <w:r>
        <w:rPr>
          <w:sz w:val="20"/>
          <w:szCs w:val="20"/>
        </w:rPr>
        <w:t xml:space="preserve">Lodge</w:t>
      </w:r>
    </w:p>
    <w:p>
      <w:pPr>
        <w:spacing w:after="40"/>
      </w:pPr>
      <w:r>
        <w:rPr>
          <w:b/>
          <w:bCs/>
          <w:color w:val="0B2545"/>
          <w:sz w:val="20"/>
          <w:szCs w:val="20"/>
        </w:rPr>
        <w:t xml:space="preserve">Location: </w:t>
      </w:r>
      <w:r>
        <w:rPr>
          <w:sz w:val="20"/>
          <w:szCs w:val="20"/>
        </w:rPr>
        <w:t xml:space="preserve">Nusa Merah, Republic of Nusantara</w:t>
      </w:r>
    </w:p>
    <w:p>
      <w:pPr>
        <w:spacing w:after="40"/>
      </w:pPr>
      <w:r>
        <w:rPr>
          <w:b/>
          <w:bCs/>
          <w:color w:val="0B2545"/>
          <w:sz w:val="20"/>
          <w:szCs w:val="20"/>
        </w:rPr>
        <w:t xml:space="preserve">Size: </w:t>
      </w:r>
      <w:r>
        <w:rPr>
          <w:sz w:val="20"/>
          <w:szCs w:val="20"/>
        </w:rPr>
        <w:t xml:space="preserve">309 rooms</w:t>
      </w:r>
    </w:p>
    <w:p>
      <w:pPr>
        <w:spacing w:after="40"/>
      </w:pPr>
      <w:r>
        <w:rPr>
          <w:b/>
          <w:bCs/>
          <w:color w:val="0B2545"/>
          <w:sz w:val="20"/>
          <w:szCs w:val="20"/>
        </w:rPr>
        <w:t xml:space="preserve">Communication style: </w:t>
      </w:r>
      <w:r>
        <w:rPr>
          <w:sz w:val="20"/>
          <w:szCs w:val="20"/>
        </w:rPr>
        <w:t xml:space="preserve">Thinker (blue) primary, Director (red) secondary</w:t>
      </w:r>
    </w:p>
    <w:p>
      <w:pPr>
        <w:spacing w:after="40"/>
      </w:pPr>
      <w:r>
        <w:rPr>
          <w:b/>
          <w:bCs/>
          <w:color w:val="0B2545"/>
          <w:sz w:val="20"/>
          <w:szCs w:val="20"/>
        </w:rPr>
        <w:t xml:space="preserve">Parity regime: </w:t>
      </w:r>
      <w:r>
        <w:rPr>
          <w:sz w:val="20"/>
          <w:szCs w:val="20"/>
        </w:rPr>
        <w:t xml:space="preserve">No Parity</w:t>
      </w:r>
    </w:p>
    <w:p>
      <w:pPr>
        <w:spacing w:after="60" w:before="180"/>
      </w:pPr>
      <w:r>
        <w:rPr>
          <w:b/>
          <w:bCs/>
          <w:caps/>
          <w:color w:val="5A6472"/>
          <w:sz w:val="20"/>
          <w:szCs w:val="20"/>
        </w:rPr>
        <w:t xml:space="preserve">Profile</w:t>
      </w:r>
    </w:p>
    <w:p>
      <w:pPr>
        <w:spacing w:after="80"/>
      </w:pPr>
      <w:r>
        <w:rPr>
          <w:sz w:val="20"/>
          <w:szCs w:val="20"/>
        </w:rPr>
        <w:t xml:space="preserve">Owner of an independent lodge with full local autonomy - she sets rates and distribution herself, values simple ROI and occupancy, and is quick to act on a clear commercial incentive. Protects her direct channel and caps OTA share at 30%, but she's persuadable: land the acquisition-cost math and she'll move fast.</w:t>
      </w:r>
    </w:p>
    <w:p>
      <w:pPr>
        <w:spacing w:after="60" w:before="180"/>
      </w:pPr>
      <w:r>
        <w:rPr>
          <w:b/>
          <w:bCs/>
          <w:caps/>
          <w:color w:val="5A6472"/>
          <w:sz w:val="20"/>
          <w:szCs w:val="20"/>
        </w:rPr>
        <w:t xml:space="preserve">Commercial goal</w:t>
      </w:r>
    </w:p>
    <w:p>
      <w:pPr>
        <w:spacing w:after="80"/>
      </w:pPr>
      <w:r>
        <w:rPr>
          <w:sz w:val="20"/>
          <w:szCs w:val="20"/>
        </w:rPr>
        <w:t xml:space="preserve">Maximize ROI and occupancy across channels while protecting the direct-booking base</w:t>
      </w:r>
    </w:p>
    <w:p>
      <w:pPr>
        <w:pStyle w:val="Heading2"/>
        <w:spacing w:after="100" w:before="240"/>
      </w:pPr>
      <w:r>
        <w:rPr>
          <w:b/>
          <w:bCs/>
          <w:color w:val="0B2545"/>
          <w:sz w:val="24"/>
          <w:szCs w:val="24"/>
        </w:rPr>
        <w:t xml:space="preserve">2. Portfolio card (what the learner sees before opening)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Name</w:t>
            </w:r>
          </w:p>
        </w:tc>
        <w:tc>
          <w:tcPr>
            <w:tcW w:type="pct" w:w="55%"/>
            <w:shd w:fill="EEF2F7" w:val="clear"/>
            <w:tcMar>
              <w:top w:type="dxa" w:w="40"/>
              <w:left w:type="dxa" w:w="90"/>
              <w:bottom w:type="dxa" w:w="40"/>
              <w:right w:type="dxa" w:w="90"/>
            </w:tcMar>
          </w:tcPr>
          <w:p>
            <w:r>
              <w:rPr>
                <w:b w:val="false"/>
                <w:bCs w:val="false"/>
                <w:color w:val="000000"/>
                <w:sz w:val="20"/>
                <w:szCs w:val="20"/>
              </w:rPr>
              <w:t xml:space="preserve">Oceanfront Bliss Lodge</w:t>
            </w:r>
          </w:p>
        </w:tc>
      </w:tr>
      <w:tr>
        <w:tc>
          <w:tcPr>
            <w:tcW w:type="pct" w:w="45%"/>
            <w:tcMar>
              <w:top w:type="dxa" w:w="40"/>
              <w:left w:type="dxa" w:w="90"/>
              <w:bottom w:type="dxa" w:w="40"/>
              <w:right w:type="dxa" w:w="90"/>
            </w:tcMar>
          </w:tcPr>
          <w:p>
            <w:r>
              <w:rPr>
                <w:b/>
                <w:bCs/>
                <w:color w:val="000000"/>
                <w:sz w:val="20"/>
                <w:szCs w:val="20"/>
              </w:rPr>
              <w:t xml:space="preserve">Property type</w:t>
            </w:r>
          </w:p>
        </w:tc>
        <w:tc>
          <w:tcPr>
            <w:tcW w:type="pct" w:w="55%"/>
            <w:tcMar>
              <w:top w:type="dxa" w:w="40"/>
              <w:left w:type="dxa" w:w="90"/>
              <w:bottom w:type="dxa" w:w="40"/>
              <w:right w:type="dxa" w:w="90"/>
            </w:tcMar>
          </w:tcPr>
          <w:p>
            <w:r>
              <w:rPr>
                <w:b w:val="false"/>
                <w:bCs w:val="false"/>
                <w:color w:val="000000"/>
                <w:sz w:val="20"/>
                <w:szCs w:val="20"/>
              </w:rPr>
              <w:t xml:space="preserve">Lodge</w:t>
            </w:r>
          </w:p>
        </w:tc>
      </w:tr>
      <w:tr>
        <w:tc>
          <w:tcPr>
            <w:tcW w:type="pct" w:w="45%"/>
            <w:shd w:fill="EEF2F7" w:val="clear"/>
            <w:tcMar>
              <w:top w:type="dxa" w:w="40"/>
              <w:left w:type="dxa" w:w="90"/>
              <w:bottom w:type="dxa" w:w="40"/>
              <w:right w:type="dxa" w:w="90"/>
            </w:tcMar>
          </w:tcPr>
          <w:p>
            <w:r>
              <w:rPr>
                <w:b/>
                <w:bCs/>
                <w:color w:val="000000"/>
                <w:sz w:val="20"/>
                <w:szCs w:val="20"/>
              </w:rPr>
              <w:t xml:space="preserve">Rooms</w:t>
            </w:r>
          </w:p>
        </w:tc>
        <w:tc>
          <w:tcPr>
            <w:tcW w:type="pct" w:w="55%"/>
            <w:shd w:fill="EEF2F7" w:val="clear"/>
            <w:tcMar>
              <w:top w:type="dxa" w:w="40"/>
              <w:left w:type="dxa" w:w="90"/>
              <w:bottom w:type="dxa" w:w="40"/>
              <w:right w:type="dxa" w:w="90"/>
            </w:tcMar>
          </w:tcPr>
          <w:p>
            <w:r>
              <w:rPr>
                <w:b w:val="false"/>
                <w:bCs w:val="false"/>
                <w:color w:val="000000"/>
                <w:sz w:val="20"/>
                <w:szCs w:val="20"/>
              </w:rPr>
              <w:t xml:space="preserve">309 rooms</w:t>
            </w:r>
          </w:p>
        </w:tc>
      </w:tr>
      <w:tr>
        <w:tc>
          <w:tcPr>
            <w:tcW w:type="pct" w:w="45%"/>
            <w:tcMar>
              <w:top w:type="dxa" w:w="40"/>
              <w:left w:type="dxa" w:w="90"/>
              <w:bottom w:type="dxa" w:w="40"/>
              <w:right w:type="dxa" w:w="90"/>
            </w:tcMar>
          </w:tcPr>
          <w:p>
            <w:r>
              <w:rPr>
                <w:b/>
                <w:bCs/>
                <w:color w:val="000000"/>
                <w:sz w:val="20"/>
                <w:szCs w:val="20"/>
              </w:rPr>
              <w:t xml:space="preserve">Communication style</w:t>
            </w:r>
          </w:p>
        </w:tc>
        <w:tc>
          <w:tcPr>
            <w:tcW w:type="pct" w:w="55%"/>
            <w:tcMar>
              <w:top w:type="dxa" w:w="40"/>
              <w:left w:type="dxa" w:w="90"/>
              <w:bottom w:type="dxa" w:w="40"/>
              <w:right w:type="dxa" w:w="90"/>
            </w:tcMar>
          </w:tcPr>
          <w:p>
            <w:r>
              <w:rPr>
                <w:b w:val="false"/>
                <w:bCs w:val="false"/>
                <w:color w:val="000000"/>
                <w:sz w:val="20"/>
                <w:szCs w:val="20"/>
              </w:rPr>
              <w:t xml:space="preserve">Thinker (blue)</w:t>
            </w:r>
          </w:p>
        </w:tc>
      </w:tr>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+9.6% (-2.69)</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6,000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+9.6%</w:t>
            </w:r>
          </w:p>
        </w:tc>
      </w:tr>
      <w:tr>
        <w:tc>
          <w:tcPr>
            <w:tcW w:type="pct" w:w="45%"/>
            <w:tcMar>
              <w:top w:type="dxa" w:w="40"/>
              <w:left w:type="dxa" w:w="90"/>
              <w:bottom w:type="dxa" w:w="40"/>
              <w:right w:type="dxa" w:w="90"/>
            </w:tcMar>
          </w:tcPr>
          <w:p>
            <w:r>
              <w:rPr>
                <w:b/>
                <w:bCs/>
                <w:color w:val="000000"/>
                <w:sz w:val="20"/>
                <w:szCs w:val="20"/>
              </w:rPr>
              <w:t xml:space="preserve">Lose Price</w:t>
            </w:r>
          </w:p>
        </w:tc>
        <w:tc>
          <w:tcPr>
            <w:tcW w:type="pct" w:w="55%"/>
            <w:tcMar>
              <w:top w:type="dxa" w:w="40"/>
              <w:left w:type="dxa" w:w="90"/>
              <w:bottom w:type="dxa" w:w="40"/>
              <w:right w:type="dxa" w:w="90"/>
            </w:tcMar>
          </w:tcPr>
          <w:p>
            <w:r>
              <w:rPr>
                <w:b w:val="false"/>
                <w:bCs w:val="false"/>
                <w:color w:val="000000"/>
                <w:sz w:val="20"/>
                <w:szCs w:val="20"/>
              </w:rPr>
              <w:t xml:space="preserve">66%</w:t>
            </w:r>
          </w:p>
        </w:tc>
      </w:tr>
    </w:tbl>
    <w:p>
      <w:pPr>
        <w:pStyle w:val="Heading2"/>
        <w:spacing w:after="100" w:before="240"/>
      </w:pPr>
      <w:r>
        <w:rPr>
          <w:b/>
          <w:bCs/>
          <w:color w:val="0B2545"/>
          <w:sz w:val="24"/>
          <w:szCs w:val="24"/>
        </w:rPr>
        <w:t xml:space="preserve">3. Partner Detail screen</w:t>
      </w:r>
    </w:p>
    <w:p>
      <w:pPr>
        <w:spacing w:after="60" w:before="180"/>
      </w:pPr>
      <w:r>
        <w:rPr>
          <w:b/>
          <w:bCs/>
          <w:caps/>
          <w:color w:val="5A6472"/>
          <w:sz w:val="20"/>
          <w:szCs w:val="20"/>
        </w:rPr>
        <w:t xml:space="preserve">Driving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+9.6% (-2.69)</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6,000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+9.6%</w:t>
            </w:r>
          </w:p>
        </w:tc>
      </w:tr>
      <w:tr>
        <w:tc>
          <w:tcPr>
            <w:tcW w:type="pct" w:w="45%"/>
            <w:tcMar>
              <w:top w:type="dxa" w:w="40"/>
              <w:left w:type="dxa" w:w="90"/>
              <w:bottom w:type="dxa" w:w="40"/>
              <w:right w:type="dxa" w:w="90"/>
            </w:tcMar>
          </w:tcPr>
          <w:p>
            <w:r>
              <w:rPr>
                <w:b/>
                <w:bCs/>
                <w:color w:val="000000"/>
                <w:sz w:val="20"/>
                <w:szCs w:val="20"/>
              </w:rPr>
              <w:t xml:space="preserve">RPD Loyal</w:t>
            </w:r>
          </w:p>
        </w:tc>
        <w:tc>
          <w:tcPr>
            <w:tcW w:type="pct" w:w="55%"/>
            <w:tcMar>
              <w:top w:type="dxa" w:w="40"/>
              <w:left w:type="dxa" w:w="90"/>
              <w:bottom w:type="dxa" w:w="40"/>
              <w:right w:type="dxa" w:w="90"/>
            </w:tcMar>
          </w:tcPr>
          <w:p>
            <w:r>
              <w:rPr>
                <w:b w:val="false"/>
                <w:bCs w:val="false"/>
                <w:color w:val="000000"/>
                <w:sz w:val="20"/>
                <w:szCs w:val="20"/>
              </w:rPr>
              <w:t xml:space="preserve">+9.6%</w:t>
            </w:r>
          </w:p>
        </w:tc>
      </w:tr>
      <w:tr>
        <w:tc>
          <w:tcPr>
            <w:tcW w:type="pct" w:w="45%"/>
            <w:shd w:fill="EEF2F7" w:val="clear"/>
            <w:tcMar>
              <w:top w:type="dxa" w:w="40"/>
              <w:left w:type="dxa" w:w="90"/>
              <w:bottom w:type="dxa" w:w="40"/>
              <w:right w:type="dxa" w:w="90"/>
            </w:tcMar>
          </w:tcPr>
          <w:p>
            <w:r>
              <w:rPr>
                <w:b/>
                <w:bCs/>
                <w:color w:val="000000"/>
                <w:sz w:val="20"/>
                <w:szCs w:val="20"/>
              </w:rPr>
              <w:t xml:space="preserve">Lose Price</w:t>
            </w:r>
          </w:p>
        </w:tc>
        <w:tc>
          <w:tcPr>
            <w:tcW w:type="pct" w:w="55%"/>
            <w:shd w:fill="EEF2F7" w:val="clear"/>
            <w:tcMar>
              <w:top w:type="dxa" w:w="40"/>
              <w:left w:type="dxa" w:w="90"/>
              <w:bottom w:type="dxa" w:w="40"/>
              <w:right w:type="dxa" w:w="90"/>
            </w:tcMar>
          </w:tcPr>
          <w:p>
            <w:r>
              <w:rPr>
                <w:b w:val="false"/>
                <w:bCs w:val="false"/>
                <w:color w:val="000000"/>
                <w:sz w:val="20"/>
                <w:szCs w:val="20"/>
              </w:rPr>
              <w:t xml:space="preserve">66%</w:t>
            </w:r>
          </w:p>
        </w:tc>
      </w:tr>
      <w:tr>
        <w:tc>
          <w:tcPr>
            <w:tcW w:type="pct" w:w="45%"/>
            <w:tcMar>
              <w:top w:type="dxa" w:w="40"/>
              <w:left w:type="dxa" w:w="90"/>
              <w:bottom w:type="dxa" w:w="40"/>
              <w:right w:type="dxa" w:w="90"/>
            </w:tcMar>
          </w:tcPr>
          <w:p>
            <w:r>
              <w:rPr>
                <w:b/>
                <w:bCs/>
                <w:color w:val="000000"/>
                <w:sz w:val="20"/>
                <w:szCs w:val="20"/>
              </w:rPr>
              <w:t xml:space="preserve">Scenarios</w:t>
            </w:r>
          </w:p>
        </w:tc>
        <w:tc>
          <w:tcPr>
            <w:tcW w:type="pct" w:w="55%"/>
            <w:tcMar>
              <w:top w:type="dxa" w:w="40"/>
              <w:left w:type="dxa" w:w="90"/>
              <w:bottom w:type="dxa" w:w="40"/>
              <w:right w:type="dxa" w:w="90"/>
            </w:tcMar>
          </w:tcPr>
          <w:p>
            <w:r>
              <w:rPr>
                <w:b w:val="false"/>
                <w:bCs w:val="false"/>
                <w:color w:val="000000"/>
                <w:sz w:val="20"/>
                <w:szCs w:val="20"/>
              </w:rPr>
              <w:t xml:space="preserve">1</w:t>
            </w:r>
          </w:p>
        </w:tc>
      </w:tr>
      <w:tr>
        <w:tc>
          <w:tcPr>
            <w:tcW w:type="pct" w:w="45%"/>
            <w:shd w:fill="EEF2F7" w:val="clear"/>
            <w:tcMar>
              <w:top w:type="dxa" w:w="40"/>
              <w:left w:type="dxa" w:w="90"/>
              <w:bottom w:type="dxa" w:w="40"/>
              <w:right w:type="dxa" w:w="90"/>
            </w:tcMar>
          </w:tcPr>
          <w:p>
            <w:r>
              <w:rPr>
                <w:b/>
                <w:bCs/>
                <w:color w:val="000000"/>
                <w:sz w:val="20"/>
                <w:szCs w:val="20"/>
              </w:rPr>
              <w:t xml:space="preserve">Competitor</w:t>
            </w:r>
          </w:p>
        </w:tc>
        <w:tc>
          <w:tcPr>
            <w:tcW w:type="pct" w:w="55%"/>
            <w:shd w:fill="EEF2F7" w:val="clear"/>
            <w:tcMar>
              <w:top w:type="dxa" w:w="40"/>
              <w:left w:type="dxa" w:w="90"/>
              <w:bottom w:type="dxa" w:w="40"/>
              <w:right w:type="dxa" w:w="90"/>
            </w:tcMar>
          </w:tcPr>
          <w:p>
            <w:r>
              <w:rPr>
                <w:b w:val="false"/>
                <w:bCs w:val="false"/>
                <w:color w:val="000000"/>
                <w:sz w:val="20"/>
                <w:szCs w:val="20"/>
              </w:rPr>
              <w:t xml:space="preserve">Brand.com</w:t>
            </w:r>
          </w:p>
        </w:tc>
      </w:tr>
    </w:tbl>
    <w:p>
      <w:pPr>
        <w:spacing w:after="60" w:before="180"/>
      </w:pPr>
      <w:r>
        <w:rPr>
          <w:b/>
          <w:bCs/>
          <w:caps/>
          <w:color w:val="5A6472"/>
          <w:sz w:val="20"/>
          <w:szCs w:val="20"/>
        </w:rPr>
        <w:t xml:space="preserve">eRPD Price Bucket strip</w:t>
      </w:r>
    </w:p>
    <w:p>
      <w:pPr>
        <w:spacing w:after="80"/>
      </w:pPr>
      <w:r>
        <w:rPr>
          <w:b/>
          <w:bCs/>
          <w:color w:val="0B2545"/>
          <w:sz w:val="20"/>
          <w:szCs w:val="20"/>
        </w:rPr>
        <w:t xml:space="preserve">On-screen marker: </w:t>
      </w:r>
      <w:r>
        <w:rPr>
          <w:sz w:val="20"/>
          <w:szCs w:val="20"/>
        </w:rPr>
        <w:t xml:space="preserve">eRPD +9.6%</w:t>
      </w:r>
    </w:p>
    <w:p>
      <w:pPr>
        <w:spacing w:after="80"/>
      </w:pPr>
      <w:r>
        <w:rPr>
          <w:i/>
          <w:iCs/>
          <w:color w:val="5A6472"/>
          <w:sz w:val="18"/>
          <w:szCs w:val="18"/>
        </w:rPr>
        <w:t xml:space="preserve">Shown as a 7-segment green (most competitive) to red (least competitive) strip, with the marker over this partner’s segment. The bucket number is not shown on screen.</w:t>
      </w:r>
    </w:p>
    <w:p>
      <w:pPr>
        <w:spacing w:after="60" w:before="180"/>
      </w:pPr>
      <w:r>
        <w:rPr>
          <w:b/>
          <w:bCs/>
          <w:caps/>
          <w:color w:val="5A6472"/>
          <w:sz w:val="20"/>
          <w:szCs w:val="20"/>
        </w:rPr>
        <w:t xml:space="preserve">Secondary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30D ABRN (vs last year)</w:t>
            </w:r>
          </w:p>
        </w:tc>
        <w:tc>
          <w:tcPr>
            <w:tcW w:type="pct" w:w="55%"/>
            <w:shd w:fill="EEF2F7" w:val="clear"/>
            <w:tcMar>
              <w:top w:type="dxa" w:w="40"/>
              <w:left w:type="dxa" w:w="90"/>
              <w:bottom w:type="dxa" w:w="40"/>
              <w:right w:type="dxa" w:w="90"/>
            </w:tcMar>
          </w:tcPr>
          <w:p>
            <w:r>
              <w:rPr>
                <w:b w:val="false"/>
                <w:bCs w:val="false"/>
                <w:color w:val="000000"/>
                <w:sz w:val="20"/>
                <w:szCs w:val="20"/>
              </w:rPr>
              <w:t xml:space="preserve">13 (-84%)</w:t>
            </w:r>
          </w:p>
        </w:tc>
      </w:tr>
      <w:tr>
        <w:tc>
          <w:tcPr>
            <w:tcW w:type="pct" w:w="45%"/>
            <w:tcMar>
              <w:top w:type="dxa" w:w="40"/>
              <w:left w:type="dxa" w:w="90"/>
              <w:bottom w:type="dxa" w:w="40"/>
              <w:right w:type="dxa" w:w="90"/>
            </w:tcMar>
          </w:tcPr>
          <w:p>
            <w:r>
              <w:rPr>
                <w:b/>
                <w:bCs/>
                <w:color w:val="000000"/>
                <w:sz w:val="20"/>
                <w:szCs w:val="20"/>
              </w:rPr>
              <w:t xml:space="preserve">Last 30D Room Nights (vs peer)</w:t>
            </w:r>
          </w:p>
        </w:tc>
        <w:tc>
          <w:tcPr>
            <w:tcW w:type="pct" w:w="55%"/>
            <w:tcMar>
              <w:top w:type="dxa" w:w="40"/>
              <w:left w:type="dxa" w:w="90"/>
              <w:bottom w:type="dxa" w:w="40"/>
              <w:right w:type="dxa" w:w="90"/>
            </w:tcMar>
          </w:tcPr>
          <w:p>
            <w:r>
              <w:rPr>
                <w:b w:val="false"/>
                <w:bCs w:val="false"/>
                <w:color w:val="000000"/>
                <w:sz w:val="20"/>
                <w:szCs w:val="20"/>
              </w:rPr>
              <w:t xml:space="preserve">71 (-34%)</w:t>
            </w:r>
          </w:p>
        </w:tc>
      </w:tr>
      <w:tr>
        <w:tc>
          <w:tcPr>
            <w:tcW w:type="pct" w:w="45%"/>
            <w:shd w:fill="EEF2F7" w:val="clear"/>
            <w:tcMar>
              <w:top w:type="dxa" w:w="40"/>
              <w:left w:type="dxa" w:w="90"/>
              <w:bottom w:type="dxa" w:w="40"/>
              <w:right w:type="dxa" w:w="90"/>
            </w:tcMar>
          </w:tcPr>
          <w:p>
            <w:r>
              <w:rPr>
                <w:b/>
                <w:bCs/>
                <w:color w:val="000000"/>
                <w:sz w:val="20"/>
                <w:szCs w:val="20"/>
              </w:rPr>
              <w:t xml:space="preserve">Last 30D ADR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159 (+23%)</w:t>
            </w:r>
          </w:p>
        </w:tc>
      </w:tr>
      <w:tr>
        <w:tc>
          <w:tcPr>
            <w:tcW w:type="pct" w:w="45%"/>
            <w:tcMar>
              <w:top w:type="dxa" w:w="40"/>
              <w:left w:type="dxa" w:w="90"/>
              <w:bottom w:type="dxa" w:w="40"/>
              <w:right w:type="dxa" w:w="90"/>
            </w:tcMar>
          </w:tcPr>
          <w:p>
            <w:r>
              <w:rPr>
                <w:b/>
                <w:bCs/>
                <w:color w:val="000000"/>
                <w:sz w:val="20"/>
                <w:szCs w:val="20"/>
              </w:rPr>
              <w:t xml:space="preserve">Last 30D Page Views (vs peer)</w:t>
            </w:r>
          </w:p>
        </w:tc>
        <w:tc>
          <w:tcPr>
            <w:tcW w:type="pct" w:w="55%"/>
            <w:tcMar>
              <w:top w:type="dxa" w:w="40"/>
              <w:left w:type="dxa" w:w="90"/>
              <w:bottom w:type="dxa" w:w="40"/>
              <w:right w:type="dxa" w:w="90"/>
            </w:tcMar>
          </w:tcPr>
          <w:p>
            <w:r>
              <w:rPr>
                <w:b w:val="false"/>
                <w:bCs w:val="false"/>
                <w:color w:val="000000"/>
                <w:sz w:val="20"/>
                <w:szCs w:val="20"/>
              </w:rPr>
              <w:t xml:space="preserve">2448 (-89%)</w:t>
            </w:r>
          </w:p>
        </w:tc>
      </w:tr>
      <w:tr>
        <w:tc>
          <w:tcPr>
            <w:tcW w:type="pct" w:w="45%"/>
            <w:shd w:fill="EEF2F7" w:val="clear"/>
            <w:tcMar>
              <w:top w:type="dxa" w:w="40"/>
              <w:left w:type="dxa" w:w="90"/>
              <w:bottom w:type="dxa" w:w="40"/>
              <w:right w:type="dxa" w:w="90"/>
            </w:tcMar>
          </w:tcPr>
          <w:p>
            <w:r>
              <w:rPr>
                <w:b/>
                <w:bCs/>
                <w:color w:val="000000"/>
                <w:sz w:val="20"/>
                <w:szCs w:val="20"/>
              </w:rPr>
              <w:t xml:space="preserve">Last 30D Conversion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4.8 (+17%)</w:t>
            </w:r>
          </w:p>
        </w:tc>
      </w:tr>
      <w:tr>
        <w:tc>
          <w:tcPr>
            <w:tcW w:type="pct" w:w="45%"/>
            <w:tcMar>
              <w:top w:type="dxa" w:w="40"/>
              <w:left w:type="dxa" w:w="90"/>
              <w:bottom w:type="dxa" w:w="40"/>
              <w:right w:type="dxa" w:w="90"/>
            </w:tcMar>
          </w:tcPr>
          <w:p>
            <w:r>
              <w:rPr>
                <w:b/>
                <w:bCs/>
                <w:color w:val="000000"/>
                <w:sz w:val="20"/>
                <w:szCs w:val="20"/>
              </w:rPr>
              <w:t xml:space="preserve">Next 3M Room Nights (vs peer)</w:t>
            </w:r>
          </w:p>
        </w:tc>
        <w:tc>
          <w:tcPr>
            <w:tcW w:type="pct" w:w="55%"/>
            <w:tcMar>
              <w:top w:type="dxa" w:w="40"/>
              <w:left w:type="dxa" w:w="90"/>
              <w:bottom w:type="dxa" w:w="40"/>
              <w:right w:type="dxa" w:w="90"/>
            </w:tcMar>
          </w:tcPr>
          <w:p>
            <w:r>
              <w:rPr>
                <w:b w:val="false"/>
                <w:bCs w:val="false"/>
                <w:color w:val="000000"/>
                <w:sz w:val="20"/>
                <w:szCs w:val="20"/>
              </w:rPr>
              <w:t xml:space="preserve">113 (-56%)</w:t>
            </w:r>
          </w:p>
        </w:tc>
      </w:tr>
    </w:tbl>
    <w:p>
      <w:pPr>
        <w:spacing w:after="60" w:before="180"/>
      </w:pPr>
      <w:r>
        <w:rPr>
          <w:b/>
          <w:bCs/>
          <w:caps/>
          <w:color w:val="5A6472"/>
          <w:sz w:val="20"/>
          <w:szCs w:val="20"/>
        </w:rPr>
        <w:t xml:space="preserve">On Platform Competitiveness tab (OPC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Unsold Rooms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17</w:t>
            </w:r>
          </w:p>
        </w:tc>
      </w:tr>
      <w:tr>
        <w:tc>
          <w:tcPr>
            <w:tcW w:type="pct" w:w="45%"/>
            <w:tcMar>
              <w:top w:type="dxa" w:w="40"/>
              <w:left w:type="dxa" w:w="90"/>
              <w:bottom w:type="dxa" w:w="40"/>
              <w:right w:type="dxa" w:w="90"/>
            </w:tcMar>
          </w:tcPr>
          <w:p>
            <w:r>
              <w:rPr>
                <w:b/>
                <w:bCs/>
                <w:color w:val="000000"/>
                <w:sz w:val="20"/>
                <w:szCs w:val="20"/>
              </w:rPr>
              <w:t xml:space="preserve">Sell Through Rate (vs peer)</w:t>
            </w:r>
          </w:p>
        </w:tc>
        <w:tc>
          <w:tcPr>
            <w:tcW w:type="pct" w:w="55%"/>
            <w:tcMar>
              <w:top w:type="dxa" w:w="40"/>
              <w:left w:type="dxa" w:w="90"/>
              <w:bottom w:type="dxa" w:w="40"/>
              <w:right w:type="dxa" w:w="90"/>
            </w:tcMar>
          </w:tcPr>
          <w:p>
            <w:r>
              <w:rPr>
                <w:b w:val="false"/>
                <w:bCs w:val="false"/>
                <w:color w:val="000000"/>
                <w:sz w:val="20"/>
                <w:szCs w:val="20"/>
              </w:rPr>
              <w:t xml:space="preserve">-12</w:t>
            </w:r>
          </w:p>
        </w:tc>
      </w:tr>
      <w:tr>
        <w:tc>
          <w:tcPr>
            <w:tcW w:type="pct" w:w="45%"/>
            <w:shd w:fill="EEF2F7" w:val="clear"/>
            <w:tcMar>
              <w:top w:type="dxa" w:w="40"/>
              <w:left w:type="dxa" w:w="90"/>
              <w:bottom w:type="dxa" w:w="40"/>
              <w:right w:type="dxa" w:w="90"/>
            </w:tcMar>
          </w:tcPr>
          <w:p>
            <w:r>
              <w:rPr>
                <w:b/>
                <w:bCs/>
                <w:color w:val="000000"/>
                <w:sz w:val="20"/>
                <w:szCs w:val="20"/>
              </w:rPr>
              <w:t xml:space="preserve">Distribution of Search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Visibility Share (vs peer)</w:t>
            </w:r>
          </w:p>
        </w:tc>
        <w:tc>
          <w:tcPr>
            <w:tcW w:type="pct" w:w="55%"/>
            <w:tcMar>
              <w:top w:type="dxa" w:w="40"/>
              <w:left w:type="dxa" w:w="90"/>
              <w:bottom w:type="dxa" w:w="40"/>
              <w:right w:type="dxa" w:w="90"/>
            </w:tcMar>
          </w:tcPr>
          <w:p>
            <w:r>
              <w:rPr>
                <w:b w:val="false"/>
                <w:bCs w:val="false"/>
                <w:color w:val="000000"/>
                <w:sz w:val="20"/>
                <w:szCs w:val="20"/>
              </w:rPr>
              <w:t xml:space="preserve">17 vs 25 peer</w:t>
            </w:r>
          </w:p>
        </w:tc>
      </w:tr>
      <w:tr>
        <w:tc>
          <w:tcPr>
            <w:tcW w:type="pct" w:w="45%"/>
            <w:shd w:fill="EEF2F7" w:val="clear"/>
            <w:tcMar>
              <w:top w:type="dxa" w:w="40"/>
              <w:left w:type="dxa" w:w="90"/>
              <w:bottom w:type="dxa" w:w="40"/>
              <w:right w:type="dxa" w:w="90"/>
            </w:tcMar>
          </w:tcPr>
          <w:p>
            <w:r>
              <w:rPr>
                <w:b/>
                <w:bCs/>
                <w:color w:val="000000"/>
                <w:sz w:val="20"/>
                <w:szCs w:val="20"/>
              </w:rPr>
              <w:t xml:space="preserve">Click Through Rate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Conversion (vs peer)</w:t>
            </w:r>
          </w:p>
        </w:tc>
        <w:tc>
          <w:tcPr>
            <w:tcW w:type="pct" w:w="55%"/>
            <w:tcMar>
              <w:top w:type="dxa" w:w="40"/>
              <w:left w:type="dxa" w:w="90"/>
              <w:bottom w:type="dxa" w:w="40"/>
              <w:right w:type="dxa" w:w="90"/>
            </w:tcMar>
          </w:tcPr>
          <w:p>
            <w:r>
              <w:rPr>
                <w:b w:val="false"/>
                <w:bCs w:val="false"/>
                <w:color w:val="000000"/>
                <w:sz w:val="20"/>
                <w:szCs w:val="20"/>
              </w:rPr>
              <w:t xml:space="preserve">Data pending</w:t>
            </w:r>
          </w:p>
        </w:tc>
      </w:tr>
      <w:tr>
        <w:tc>
          <w:tcPr>
            <w:tcW w:type="pct" w:w="45%"/>
            <w:shd w:fill="EEF2F7" w:val="clear"/>
            <w:tcMar>
              <w:top w:type="dxa" w:w="40"/>
              <w:left w:type="dxa" w:w="90"/>
              <w:bottom w:type="dxa" w:w="40"/>
              <w:right w:type="dxa" w:w="90"/>
            </w:tcMar>
          </w:tcPr>
          <w:p>
            <w:r>
              <w:rPr>
                <w:b/>
                <w:bCs/>
                <w:color w:val="000000"/>
                <w:sz w:val="20"/>
                <w:szCs w:val="20"/>
              </w:rPr>
              <w:t xml:space="preserve">Search Price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4</w:t>
            </w:r>
          </w:p>
        </w:tc>
      </w:tr>
    </w:tbl>
    <w:p>
      <w:pPr>
        <w:spacing w:after="80"/>
      </w:pPr>
      <w:r>
        <w:rPr>
          <w:i/>
          <w:iCs/>
          <w:color w:val="5A6472"/>
          <w:sz w:val="18"/>
          <w:szCs w:val="18"/>
        </w:rPr>
        <w:t xml:space="preserve">On screen, OPC metrics without a peer figure display a "(xx)" comparator placeholder (peer data still pending SME sign-off).</w:t>
      </w:r>
    </w:p>
    <w:p>
      <w:pPr>
        <w:spacing w:after="60" w:before="180"/>
      </w:pPr>
      <w:r>
        <w:rPr>
          <w:b/>
          <w:bCs/>
          <w:caps/>
          <w:color w:val="5A6472"/>
          <w:sz w:val="20"/>
          <w:szCs w:val="20"/>
        </w:rPr>
        <w:t xml:space="preserve">Profile meta</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Pricing Contact</w:t>
            </w:r>
          </w:p>
        </w:tc>
        <w:tc>
          <w:tcPr>
            <w:tcW w:type="pct" w:w="55%"/>
            <w:shd w:fill="EEF2F7" w:val="clear"/>
            <w:tcMar>
              <w:top w:type="dxa" w:w="40"/>
              <w:left w:type="dxa" w:w="90"/>
              <w:bottom w:type="dxa" w:w="40"/>
              <w:right w:type="dxa" w:w="90"/>
            </w:tcMar>
          </w:tcPr>
          <w:p>
            <w:r>
              <w:rPr>
                <w:b w:val="false"/>
                <w:bCs w:val="false"/>
                <w:color w:val="000000"/>
                <w:sz w:val="20"/>
                <w:szCs w:val="20"/>
              </w:rPr>
              <w:t xml:space="preserve">146 days ago</w:t>
            </w:r>
          </w:p>
        </w:tc>
      </w:tr>
      <w:tr>
        <w:tc>
          <w:tcPr>
            <w:tcW w:type="pct" w:w="45%"/>
            <w:tcMar>
              <w:top w:type="dxa" w:w="40"/>
              <w:left w:type="dxa" w:w="90"/>
              <w:bottom w:type="dxa" w:w="40"/>
              <w:right w:type="dxa" w:w="90"/>
            </w:tcMar>
          </w:tcPr>
          <w:p>
            <w:r>
              <w:rPr>
                <w:b/>
                <w:bCs/>
                <w:color w:val="000000"/>
                <w:sz w:val="20"/>
                <w:szCs w:val="20"/>
              </w:rPr>
              <w:t xml:space="preserve">Pricing Coverage (QTD)</w:t>
            </w:r>
          </w:p>
        </w:tc>
        <w:tc>
          <w:tcPr>
            <w:tcW w:type="pct" w:w="55%"/>
            <w:tcMar>
              <w:top w:type="dxa" w:w="40"/>
              <w:left w:type="dxa" w:w="90"/>
              <w:bottom w:type="dxa" w:w="40"/>
              <w:right w:type="dxa" w:w="90"/>
            </w:tcMar>
          </w:tcPr>
          <w:p>
            <w:r>
              <w:rPr>
                <w:b w:val="false"/>
                <w:bCs w:val="false"/>
                <w:color w:val="000000"/>
                <w:sz w:val="20"/>
                <w:szCs w:val="20"/>
              </w:rPr>
              <w:t xml:space="preserve">0%</w:t>
            </w:r>
          </w:p>
        </w:tc>
      </w:tr>
    </w:tbl>
    <w:p>
      <w:pPr>
        <w:spacing w:after="60" w:before="180"/>
      </w:pPr>
      <w:r>
        <w:rPr>
          <w:b/>
          <w:bCs/>
          <w:caps/>
          <w:color w:val="5A6472"/>
          <w:sz w:val="20"/>
          <w:szCs w:val="20"/>
        </w:rPr>
        <w:t xml:space="preserve">Discount products</w:t>
      </w:r>
    </w:p>
    <w:p>
      <w:pPr>
        <w:spacing w:after="20" w:before="60"/>
      </w:pPr>
      <w:r>
        <w:rPr>
          <w:b/>
          <w:bCs/>
          <w:color w:val="5A6472"/>
          <w:sz w:val="19"/>
          <w:szCs w:val="19"/>
        </w:rPr>
        <w:t xml:space="preserve">Public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Mobile Rates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Country Rates</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Portfolio Deals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Campaigns</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Genius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Genius Program</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Genius 15%</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Genius 20%</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Genius dynamic pricing</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Foundations &amp; Payments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Base Rate Plan</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Family rates</w:t>
            </w:r>
          </w:p>
        </w:tc>
        <w:tc>
          <w:tcPr>
            <w:tcW w:type="pct" w:w="55%"/>
            <w:tcMar>
              <w:top w:type="dxa" w:w="40"/>
              <w:left w:type="dxa" w:w="90"/>
              <w:bottom w:type="dxa" w:w="40"/>
              <w:right w:type="dxa" w:w="90"/>
            </w:tcMar>
          </w:tcPr>
          <w:p>
            <w:r>
              <w:rPr>
                <w:b w:val="false"/>
                <w:bCs w:val="false"/>
                <w:color w:val="000000"/>
                <w:sz w:val="20"/>
                <w:szCs w:val="20"/>
              </w:rPr>
              <w:t xml:space="preserve">Active</w:t>
            </w:r>
          </w:p>
        </w:tc>
      </w:tr>
      <w:tr>
        <w:tc>
          <w:tcPr>
            <w:tcW w:type="pct" w:w="45%"/>
            <w:shd w:fill="EEF2F7" w:val="clear"/>
            <w:tcMar>
              <w:top w:type="dxa" w:w="40"/>
              <w:left w:type="dxa" w:w="90"/>
              <w:bottom w:type="dxa" w:w="40"/>
              <w:right w:type="dxa" w:w="90"/>
            </w:tcMar>
          </w:tcPr>
          <w:p>
            <w:r>
              <w:rPr>
                <w:b/>
                <w:bCs/>
                <w:color w:val="000000"/>
                <w:sz w:val="20"/>
                <w:szCs w:val="20"/>
              </w:rPr>
              <w:t xml:space="preserve">Payments</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bl>
    <w:p>
      <w:pPr>
        <w:pStyle w:val="Heading2"/>
        <w:spacing w:after="100" w:before="240"/>
      </w:pPr>
      <w:r>
        <w:rPr>
          <w:b/>
          <w:bCs/>
          <w:color w:val="0B2545"/>
          <w:sz w:val="24"/>
          <w:szCs w:val="24"/>
        </w:rPr>
        <w:t xml:space="preserve">4. Persona coaching lenses</w:t>
      </w:r>
    </w:p>
    <w:p>
      <w:pPr>
        <w:spacing w:after="80"/>
      </w:pPr>
      <w:r>
        <w:rPr>
          <w:i/>
          <w:iCs/>
          <w:color w:val="5A6472"/>
          <w:sz w:val="18"/>
          <w:szCs w:val="18"/>
        </w:rPr>
        <w:t xml:space="preserve">One chip shown on Partner Detail depending on the learner’s chosen super power. Informational only - does not change grading.</w:t>
      </w:r>
    </w:p>
    <w:p>
      <w:pPr>
        <w:spacing w:after="40"/>
      </w:pPr>
      <w:r>
        <w:rPr>
          <w:b/>
          <w:bCs/>
          <w:color w:val="0B2545"/>
          <w:sz w:val="20"/>
          <w:szCs w:val="20"/>
        </w:rPr>
        <w:t xml:space="preserve">Conversation Architect: </w:t>
      </w:r>
      <w:r>
        <w:rPr>
          <w:sz w:val="20"/>
          <w:szCs w:val="20"/>
        </w:rPr>
        <w:t xml:space="preserve">Priya's blue/red: credit last time's trial, probe whether she wants visibility from anywhere, then land the US Country Rate. She'll defer - set the follow-up.</w:t>
      </w:r>
    </w:p>
    <w:p>
      <w:pPr>
        <w:spacing w:after="40"/>
      </w:pPr>
      <w:r>
        <w:rPr>
          <w:b/>
          <w:bCs/>
          <w:color w:val="0B2545"/>
          <w:sz w:val="20"/>
          <w:szCs w:val="20"/>
        </w:rPr>
        <w:t xml:space="preserve">Objection Navigator: </w:t>
      </w:r>
      <w:r>
        <w:rPr>
          <w:sz w:val="20"/>
          <w:szCs w:val="20"/>
        </w:rPr>
        <w:t xml:space="preserve">She'll say occupancy is where she expects and OTAs aren't her focus - use the billboard reframe, don't dictate her marketing.</w:t>
      </w:r>
    </w:p>
    <w:p>
      <w:pPr>
        <w:spacing w:after="40"/>
      </w:pPr>
      <w:r>
        <w:rPr>
          <w:b/>
          <w:bCs/>
          <w:color w:val="0B2545"/>
          <w:sz w:val="20"/>
          <w:szCs w:val="20"/>
        </w:rPr>
        <w:t xml:space="preserve">Storyteller: </w:t>
      </w:r>
      <w:r>
        <w:rPr>
          <w:sz w:val="20"/>
          <w:szCs w:val="20"/>
        </w:rPr>
        <w:t xml:space="preserve">Loyalty-first owner leaving US demand on the table: a 4% search gap loses around 25% of US share to nearby competitors.</w:t>
      </w:r>
    </w:p>
    <w:p>
      <w:pPr>
        <w:spacing w:after="40"/>
      </w:pPr>
      <w:r>
        <w:rPr>
          <w:b/>
          <w:bCs/>
          <w:color w:val="0B2545"/>
          <w:sz w:val="20"/>
          <w:szCs w:val="20"/>
        </w:rPr>
        <w:t xml:space="preserve">Data Detective: </w:t>
      </w:r>
      <w:r>
        <w:rPr>
          <w:sz w:val="20"/>
          <w:szCs w:val="20"/>
        </w:rPr>
        <w:t xml:space="preserve">Anomaly: sell-through -12% and a ~25% US-share loss tied to a +4% search gap, while a fenced US rate leaves domestic rates untouched.</w:t>
      </w:r>
    </w:p>
    <w:p>
      <w:pPr>
        <w:pStyle w:val="Heading2"/>
        <w:spacing w:after="100" w:before="240"/>
      </w:pPr>
      <w:r>
        <w:rPr>
          <w:b/>
          <w:bCs/>
          <w:color w:val="0B2545"/>
          <w:sz w:val="24"/>
          <w:szCs w:val="24"/>
        </w:rPr>
        <w:t xml:space="preserve">5. Prescribed Pricing Diagnostic to Pitch Flow (Coach answer key)</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Trigger</w:t>
            </w:r>
          </w:p>
        </w:tc>
        <w:tc>
          <w:tcPr>
            <w:tcW w:type="pct" w:w="55%"/>
            <w:shd w:fill="EEF2F7" w:val="clear"/>
            <w:tcMar>
              <w:top w:type="dxa" w:w="40"/>
              <w:left w:type="dxa" w:w="90"/>
              <w:bottom w:type="dxa" w:w="40"/>
              <w:right w:type="dxa" w:w="90"/>
            </w:tcMar>
          </w:tcPr>
          <w:p>
            <w:r>
              <w:rPr>
                <w:b w:val="false"/>
                <w:bCs w:val="false"/>
                <w:color w:val="000000"/>
                <w:sz w:val="20"/>
                <w:szCs w:val="20"/>
              </w:rPr>
              <w:t xml:space="preserve">pricing-signal</w:t>
            </w:r>
          </w:p>
        </w:tc>
      </w:tr>
      <w:tr>
        <w:tc>
          <w:tcPr>
            <w:tcW w:type="pct" w:w="45%"/>
            <w:tcMar>
              <w:top w:type="dxa" w:w="40"/>
              <w:left w:type="dxa" w:w="90"/>
              <w:bottom w:type="dxa" w:w="40"/>
              <w:right w:type="dxa" w:w="90"/>
            </w:tcMar>
          </w:tcPr>
          <w:p>
            <w:r>
              <w:rPr>
                <w:b/>
                <w:bCs/>
                <w:color w:val="000000"/>
                <w:sz w:val="20"/>
                <w:szCs w:val="20"/>
              </w:rPr>
              <w:t xml:space="preserve">Issue</w:t>
            </w:r>
          </w:p>
        </w:tc>
        <w:tc>
          <w:tcPr>
            <w:tcW w:type="pct" w:w="55%"/>
            <w:tcMar>
              <w:top w:type="dxa" w:w="40"/>
              <w:left w:type="dxa" w:w="90"/>
              <w:bottom w:type="dxa" w:w="40"/>
              <w:right w:type="dxa" w:w="90"/>
            </w:tcMar>
          </w:tcPr>
          <w:p>
            <w:r>
              <w:rPr>
                <w:b w:val="false"/>
                <w:bCs w:val="false"/>
                <w:color w:val="000000"/>
                <w:sz w:val="20"/>
                <w:szCs w:val="20"/>
              </w:rPr>
              <w:t xml:space="preserve">brand-com-erpd-not-competitive</w:t>
            </w:r>
          </w:p>
        </w:tc>
      </w:tr>
      <w:tr>
        <w:tc>
          <w:tcPr>
            <w:tcW w:type="pct" w:w="45%"/>
            <w:shd w:fill="EEF2F7" w:val="clear"/>
            <w:tcMar>
              <w:top w:type="dxa" w:w="40"/>
              <w:left w:type="dxa" w:w="90"/>
              <w:bottom w:type="dxa" w:w="40"/>
              <w:right w:type="dxa" w:w="90"/>
            </w:tcMar>
          </w:tcPr>
          <w:p>
            <w:r>
              <w:rPr>
                <w:b/>
                <w:bCs/>
                <w:color w:val="000000"/>
                <w:sz w:val="20"/>
                <w:szCs w:val="20"/>
              </w:rPr>
              <w:t xml:space="preserve">Intent</w:t>
            </w:r>
          </w:p>
        </w:tc>
        <w:tc>
          <w:tcPr>
            <w:tcW w:type="pct" w:w="55%"/>
            <w:shd w:fill="EEF2F7" w:val="clear"/>
            <w:tcMar>
              <w:top w:type="dxa" w:w="40"/>
              <w:left w:type="dxa" w:w="90"/>
              <w:bottom w:type="dxa" w:w="40"/>
              <w:right w:type="dxa" w:w="90"/>
            </w:tcMar>
          </w:tcPr>
          <w:p>
            <w:r>
              <w:rPr>
                <w:b w:val="false"/>
                <w:bCs w:val="false"/>
                <w:color w:val="000000"/>
                <w:sz w:val="20"/>
                <w:szCs w:val="20"/>
              </w:rPr>
              <w:t xml:space="preserve">intentional</w:t>
            </w:r>
          </w:p>
        </w:tc>
      </w:tr>
      <w:tr>
        <w:tc>
          <w:tcPr>
            <w:tcW w:type="pct" w:w="45%"/>
            <w:tcMar>
              <w:top w:type="dxa" w:w="40"/>
              <w:left w:type="dxa" w:w="90"/>
              <w:bottom w:type="dxa" w:w="40"/>
              <w:right w:type="dxa" w:w="90"/>
            </w:tcMar>
          </w:tcPr>
          <w:p>
            <w:r>
              <w:rPr>
                <w:b/>
                <w:bCs/>
                <w:color w:val="000000"/>
                <w:sz w:val="20"/>
                <w:szCs w:val="20"/>
              </w:rPr>
              <w:t xml:space="preserve">Root cause</w:t>
            </w:r>
          </w:p>
        </w:tc>
        <w:tc>
          <w:tcPr>
            <w:tcW w:type="pct" w:w="55%"/>
            <w:tcMar>
              <w:top w:type="dxa" w:w="40"/>
              <w:left w:type="dxa" w:w="90"/>
              <w:bottom w:type="dxa" w:w="40"/>
              <w:right w:type="dxa" w:w="90"/>
            </w:tcMar>
          </w:tcPr>
          <w:p>
            <w:r>
              <w:rPr>
                <w:b w:val="false"/>
                <w:bCs w:val="false"/>
                <w:color w:val="000000"/>
                <w:sz w:val="20"/>
                <w:szCs w:val="20"/>
              </w:rPr>
              <w:t xml:space="preserve">structural-brand-first</w:t>
            </w:r>
          </w:p>
        </w:tc>
      </w:tr>
      <w:tr>
        <w:tc>
          <w:tcPr>
            <w:tcW w:type="pct" w:w="45%"/>
            <w:shd w:fill="EEF2F7" w:val="clear"/>
            <w:tcMar>
              <w:top w:type="dxa" w:w="40"/>
              <w:left w:type="dxa" w:w="90"/>
              <w:bottom w:type="dxa" w:w="40"/>
              <w:right w:type="dxa" w:w="90"/>
            </w:tcMar>
          </w:tcPr>
          <w:p>
            <w:r>
              <w:rPr>
                <w:b/>
                <w:bCs/>
                <w:color w:val="000000"/>
                <w:sz w:val="20"/>
                <w:szCs w:val="20"/>
              </w:rPr>
              <w:t xml:space="preserve">Metric insight</w:t>
            </w:r>
          </w:p>
        </w:tc>
        <w:tc>
          <w:tcPr>
            <w:tcW w:type="pct" w:w="55%"/>
            <w:shd w:fill="EEF2F7" w:val="clear"/>
            <w:tcMar>
              <w:top w:type="dxa" w:w="40"/>
              <w:left w:type="dxa" w:w="90"/>
              <w:bottom w:type="dxa" w:w="40"/>
              <w:right w:type="dxa" w:w="90"/>
            </w:tcMar>
          </w:tcPr>
          <w:p>
            <w:r>
              <w:rPr>
                <w:b w:val="false"/>
                <w:bCs w:val="false"/>
                <w:color w:val="000000"/>
                <w:sz w:val="20"/>
                <w:szCs w:val="20"/>
              </w:rPr>
              <w:t xml:space="preserve">structural-constant-non-competitive-erpd</w:t>
            </w:r>
          </w:p>
        </w:tc>
      </w:tr>
      <w:tr>
        <w:tc>
          <w:tcPr>
            <w:tcW w:type="pct" w:w="45%"/>
            <w:tcMar>
              <w:top w:type="dxa" w:w="40"/>
              <w:left w:type="dxa" w:w="90"/>
              <w:bottom w:type="dxa" w:w="40"/>
              <w:right w:type="dxa" w:w="90"/>
            </w:tcMar>
          </w:tcPr>
          <w:p>
            <w:r>
              <w:rPr>
                <w:b/>
                <w:bCs/>
                <w:color w:val="000000"/>
                <w:sz w:val="20"/>
                <w:szCs w:val="20"/>
              </w:rPr>
              <w:t xml:space="preserve">Hook</w:t>
            </w:r>
          </w:p>
        </w:tc>
        <w:tc>
          <w:tcPr>
            <w:tcW w:type="pct" w:w="55%"/>
            <w:tcMar>
              <w:top w:type="dxa" w:w="40"/>
              <w:left w:type="dxa" w:w="90"/>
              <w:bottom w:type="dxa" w:w="40"/>
              <w:right w:type="dxa" w:w="90"/>
            </w:tcMar>
          </w:tcPr>
          <w:p>
            <w:r>
              <w:rPr>
                <w:b w:val="false"/>
                <w:bCs w:val="false"/>
                <w:color w:val="000000"/>
                <w:sz w:val="20"/>
                <w:szCs w:val="20"/>
              </w:rPr>
              <w:t xml:space="preserve">base-rate-misalignment</w:t>
            </w:r>
          </w:p>
        </w:tc>
      </w:tr>
    </w:tbl>
    <w:p>
      <w:pPr>
        <w:pStyle w:val="Heading2"/>
        <w:spacing w:after="100" w:before="240"/>
      </w:pPr>
      <w:r>
        <w:rPr>
          <w:b/>
          <w:bCs/>
          <w:color w:val="0B2545"/>
          <w:sz w:val="24"/>
          <w:szCs w:val="24"/>
        </w:rPr>
        <w:t xml:space="preserve">6. Conversation (priority partner)</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“Hi Priya, great to connect with you again! How have things been running at the property lately?”</w:t>
      </w:r>
    </w:p>
    <w:p>
      <w:pPr>
        <w:spacing w:after="60" w:before="200"/>
      </w:pPr>
      <w:r>
        <w:rPr>
          <w:b/>
          <w:bCs/>
          <w:color w:val="F4B400"/>
          <w:sz w:val="22"/>
          <w:szCs w:val="22"/>
        </w:rPr>
        <w:t xml:space="preserve">Step 1</w:t>
      </w:r>
    </w:p>
    <w:p>
      <w:pPr>
        <w:spacing w:after="40"/>
      </w:pPr>
      <w:r>
        <w:rPr>
          <w:b/>
          <w:bCs/>
          <w:color w:val="5A6472"/>
          <w:sz w:val="19"/>
          <w:szCs w:val="19"/>
        </w:rPr>
        <w:t xml:space="preserve">Priya Singh says:</w:t>
      </w:r>
    </w:p>
    <w:p>
      <w:pPr>
        <w:spacing w:after="100"/>
        <w:ind w:left="360"/>
      </w:pPr>
      <w:r>
        <w:rPr>
          <w:i/>
          <w:iCs/>
          <w:color w:val="0B2545"/>
          <w:sz w:val="20"/>
          <w:szCs w:val="20"/>
        </w:rPr>
        <w:t xml:space="preserve">“Hey Kai! Busy as always, honestly. We've been really focused on some marketing campaigns and going over our internal reports. Things look ok on our end, so I'm curious to see what you wanted to run through today!”</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“First, I want to acknowledge that the trial last time had a genuinely impressive outcome - offering your best price here clearly lifted your conversion. Building on that, when I look at the next 3 months, your sell-through is pacing about 12% behind your peer group.”</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“Okay, but that isn't alarming for us during low-demand periods. Honestly, we'd rather keep those rooms unbooked for a few extra days than do anything that compromises our rates on OTAs.”</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“Let's get straight to it today, because the number that matters is this: your sell-through is running about 12% behind your peer group over the next quarter, and that pacing gap is really the whole reason I wanted to talk. That's the shortfall we need to work through together right now.”</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“Straight to the shortfall, then. We tried something for you last time - I'd hoped we'd start there.”</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pace is running behind, so honestly the cleanest fix here is to bring your public rates down a little and get yourself more competitive on the platform. If we shave a bit off those rates now, I'd expect those rooms to start moving and the whole gap to close up fairly quickly.”</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“Lower our public rates? That's the one thing I've said we won't do to protect our direct guests. No.”</w:t>
      </w:r>
    </w:p>
    <w:p>
      <w:pPr>
        <w:spacing w:after="60" w:before="200"/>
      </w:pPr>
      <w:r>
        <w:rPr>
          <w:b/>
          <w:bCs/>
          <w:color w:val="F4B400"/>
          <w:sz w:val="22"/>
          <w:szCs w:val="22"/>
        </w:rPr>
        <w:t xml:space="preserve">Step 2</w:t>
      </w:r>
    </w:p>
    <w:p>
      <w:pPr>
        <w:spacing w:after="40"/>
      </w:pPr>
      <w:r>
        <w:rPr>
          <w:b/>
          <w:bCs/>
          <w:color w:val="5A6472"/>
          <w:sz w:val="19"/>
          <w:szCs w:val="19"/>
        </w:rPr>
        <w:t xml:space="preserve">Priya Singh says:</w:t>
      </w:r>
    </w:p>
    <w:p>
      <w:pPr>
        <w:spacing w:after="100"/>
        <w:ind w:left="360"/>
      </w:pPr>
      <w:r>
        <w:rPr>
          <w:i/>
          <w:iCs/>
          <w:color w:val="0B2545"/>
          <w:sz w:val="20"/>
          <w:szCs w:val="20"/>
        </w:rPr>
        <w:t xml:space="preserve">“Sure, we can look. But to be honest, Kai, our reports show our occupancy is exactly where we expect it to be. Our brand loyalty programme is our main engine, and we really don't feel the need to alter our strategy on OTAs just to chase extra room nights. What are your numbers showing?”</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 respect that. Let me ask you this, though - the marketing campaigns you mentioned: are they strictly to grow your own website, or are you really after a general increase in visibility, no matter where the guest first finds you?”</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“Well, we run ads in a few key overseas markets, and our loyalty programme captures the repeat visitors. I'm not chasing visibility on OTAs, to be honest - I'd like to see our own website growing right now.”</w:t>
      </w:r>
    </w:p>
    <w:p>
      <w:pPr>
        <w:spacing w:after="30" w:before="120"/>
      </w:pPr>
      <w:r>
        <w:rPr>
          <w:b/>
          <w:bCs/>
          <w:color w:val="0B2545"/>
          <w:sz w:val="20"/>
          <w:szCs w:val="20"/>
        </w:rPr>
        <w:t xml:space="preserve">Option B</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those overseas ad campaigns are wasted spend, and you'd see far more return by pulling that budget out of them and putting it into building up your presence on our platform instead. That's where I'd redirect the marketing money if I were you.”</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“My marketing budget is my business, Kai. I didn't ask you to redraw it.”</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“That's completely fair, and I understand where you're coming from - if the priority right now is growing your own website, then I get that OTAs simply aren't where you want to put your energy at the moment, and I won't push you on that today.”</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“Right, exactly. So I'm not sure there's much for us to change here today.”</w:t>
      </w:r>
    </w:p>
    <w:p>
      <w:pPr>
        <w:spacing w:after="60" w:before="200"/>
      </w:pPr>
      <w:r>
        <w:rPr>
          <w:b/>
          <w:bCs/>
          <w:color w:val="F4B400"/>
          <w:sz w:val="22"/>
          <w:szCs w:val="22"/>
        </w:rPr>
        <w:t xml:space="preserve">Step 3</w:t>
      </w:r>
    </w:p>
    <w:p>
      <w:pPr>
        <w:spacing w:after="40"/>
      </w:pPr>
      <w:r>
        <w:rPr>
          <w:b/>
          <w:bCs/>
          <w:color w:val="5A6472"/>
          <w:sz w:val="19"/>
          <w:szCs w:val="19"/>
        </w:rPr>
        <w:t xml:space="preserve">Priya Singh says:</w:t>
      </w:r>
    </w:p>
    <w:p>
      <w:pPr>
        <w:spacing w:after="100"/>
        <w:ind w:left="360"/>
      </w:pPr>
      <w:r>
        <w:rPr>
          <w:i/>
          <w:iCs/>
          <w:color w:val="0B2545"/>
          <w:sz w:val="20"/>
          <w:szCs w:val="20"/>
        </w:rPr>
        <w:t xml:space="preserve">“Well, we run ads in a few key overseas markets, and our loyalty programme captures the repeat visitors. I'm not chasing visibility on OTAs - I'd like to see our own website growing right now.”</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“That marketing push definitely builds awareness. But consider this: exposure on our platform costs you nothing in marketing spend. We act as a global search engine where up to 90% of travelers discover a property first - and you can use that discovery to serve your own revenue goals, not just ours.”</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“I know, but we also want to be the ones who are discovered first, so we can attract guests with our loyalty programme and exclusive member value-adds.”</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honest truth here is that those campaigns of yours just aren't really moving the needle for you the way you think they are - and that's exactly why those rooms are sitting empty at the end of the day. What you actually need is our reach behind you, not more of your own advertising.”</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“Our campaigns are doing exactly what we built them to do. I won't have them written off like that.”</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you should really be leaning into us a lot more than you are - we have enormous global reach and an audience that's far, far bigger than anything you could ever hope to reach on your own. There's a whole world of travelers out there and we're the ones who can put you in front of them.”</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“Every platform tells me they're the biggest. That on its own doesn't change my plan.”</w:t>
      </w:r>
    </w:p>
    <w:p>
      <w:pPr>
        <w:spacing w:after="60" w:before="200"/>
      </w:pPr>
      <w:r>
        <w:rPr>
          <w:b/>
          <w:bCs/>
          <w:color w:val="F4B400"/>
          <w:sz w:val="22"/>
          <w:szCs w:val="22"/>
        </w:rPr>
        <w:t xml:space="preserve">Step 4</w:t>
      </w:r>
    </w:p>
    <w:p>
      <w:pPr>
        <w:spacing w:after="40"/>
      </w:pPr>
      <w:r>
        <w:rPr>
          <w:b/>
          <w:bCs/>
          <w:color w:val="5A6472"/>
          <w:sz w:val="19"/>
          <w:szCs w:val="19"/>
        </w:rPr>
        <w:t xml:space="preserve">Priya Singh says:</w:t>
      </w:r>
    </w:p>
    <w:p>
      <w:pPr>
        <w:spacing w:after="100"/>
        <w:ind w:left="360"/>
      </w:pPr>
      <w:r>
        <w:rPr>
          <w:i/>
          <w:iCs/>
          <w:color w:val="0B2545"/>
          <w:sz w:val="20"/>
          <w:szCs w:val="20"/>
        </w:rPr>
        <w:t xml:space="preserve">“I know, but we also want to be the ones who are discovered first, so we can attract guests with our loyalty programme and exclusive member value-adds.”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“Here's where it gets concrete. Zoom into your international traffic for the next 3 months, specifically US travelers: a search price about 4% above your peer group is likely costing you around 25% of that share. These are guests actively searching your area.”</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“Wait - so those are actual US travelers booking other properties nearby, just because they don't see our page?”</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“When you look across the board, that price gap is costing you bookings all over the place - bookings you really should be winning here. It's a broad drag weighing on your whole performance on the platform, and it's showing up everywhere I look, not in any one corner of your business.”</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“'Across the board' just sounds like the general discount case again. I need something more specific than that.”</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“Look, the reality is you're basically losing the entire US market right now - we're talking close to half of all those travelers booking somewhere else instead of with you. It's a genuine haemorrhage of business that only gets worse the longer you leave it.”</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“Half? That's not what your own data said a moment ago. Let's stick to the real number.”</w:t>
      </w:r>
    </w:p>
    <w:p>
      <w:pPr>
        <w:spacing w:after="60" w:before="200"/>
      </w:pPr>
      <w:r>
        <w:rPr>
          <w:b/>
          <w:bCs/>
          <w:color w:val="F4B400"/>
          <w:sz w:val="22"/>
          <w:szCs w:val="22"/>
        </w:rPr>
        <w:t xml:space="preserve">Step 5</w:t>
      </w:r>
    </w:p>
    <w:p>
      <w:pPr>
        <w:spacing w:after="40"/>
      </w:pPr>
      <w:r>
        <w:rPr>
          <w:b/>
          <w:bCs/>
          <w:color w:val="5A6472"/>
          <w:sz w:val="19"/>
          <w:szCs w:val="19"/>
        </w:rPr>
        <w:t xml:space="preserve">Priya Singh says:</w:t>
      </w:r>
    </w:p>
    <w:p>
      <w:pPr>
        <w:spacing w:after="100"/>
        <w:ind w:left="360"/>
      </w:pPr>
      <w:r>
        <w:rPr>
          <w:i/>
          <w:iCs/>
          <w:color w:val="0B2545"/>
          <w:sz w:val="20"/>
          <w:szCs w:val="20"/>
        </w:rPr>
        <w:t xml:space="preserve">“Wait - so those are actual US travelers booking other properties nearby, just because they don't see our page?”</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“Here's the key: we can capture those US searchers without touching your rates. A US Country Rate applies a closed incentive strictly to travelers searching from the US, while your domestic market - and your direct guests - keep seeing your standard rate exactly as it is.”</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“Okay, that sounds nice, but what are the guaranteed results? We've tried promotional tags before and it honestly felt like we just gave away margin without any clear surge in net revenue.”</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“Let's keep this simple and just put a small discount on your public rates - modest enough to protect your margin but still enough to win those US travelers back onto your page. A little movement on the headline price is honestly the quickest way to get those searchers converting again.”</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“A public discount is visible to my direct guests, Kai. That's precisely what I told you I won't do.”</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 can promise you this one will absolutely deliver - a guaranteed lift in net revenue coming straight from that US segment, no question about it whatsoever. Put it live and you'll see the return; honestly, this is one you can take right to the bank and count on.”</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“The last people who 'guaranteed' me a lift cost me margin. A promise like that makes me trust it less, not more.”</w:t>
      </w:r>
    </w:p>
    <w:p>
      <w:pPr>
        <w:spacing w:after="60" w:before="200"/>
      </w:pPr>
      <w:r>
        <w:rPr>
          <w:b/>
          <w:bCs/>
          <w:color w:val="F4B400"/>
          <w:sz w:val="22"/>
          <w:szCs w:val="22"/>
        </w:rPr>
        <w:t xml:space="preserve">Step 6</w:t>
      </w:r>
    </w:p>
    <w:p>
      <w:pPr>
        <w:spacing w:after="40"/>
      </w:pPr>
      <w:r>
        <w:rPr>
          <w:b/>
          <w:bCs/>
          <w:color w:val="5A6472"/>
          <w:sz w:val="19"/>
          <w:szCs w:val="19"/>
        </w:rPr>
        <w:t xml:space="preserve">Priya Singh says:</w:t>
      </w:r>
    </w:p>
    <w:p>
      <w:pPr>
        <w:spacing w:after="100"/>
        <w:ind w:left="360"/>
      </w:pPr>
      <w:r>
        <w:rPr>
          <w:i/>
          <w:iCs/>
          <w:color w:val="0B2545"/>
          <w:sz w:val="20"/>
          <w:szCs w:val="20"/>
        </w:rPr>
        <w:t xml:space="preserve">“Okay, that sounds nice, but what are the guaranteed results? We've tried promotional tags before and it felt like we just gave away margin without any clear surge in net revenue.”</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“No guarantees - but we'd set three clear KPIs to judge it on: your conversion among US travelers, your visibility-share recovery, and your sell-through. I'll pull together the revenue projections you're after and bring them to our next conversation so you can decide with the numbers in front of you.”</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“Look, I appreciate the data on the US market, I really do... I'm still not fully convinced. But send me those projections of how the country rate would impact revenue, and we'll take a proper look next time.”</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“I'd really rather not walk out of here today without some kind of decision from you - so can we just agree to switch the US rate on right now and then review how it's performing together once it's been running for a little while? I'm confident enough in this that I'd like to get it started today.”</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“I asked to see the numbers first, Kai. Pushing me to commit now is only going to make me more cautious, not less.”</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“No problem at all, honestly - let's just keep the lines open between us and pick this whole thing back up again whenever the timing happens to suit you better. There's no rush on my end, so whenever you feel ready to revisit it, you know where to find me and we'll take it from there.”</w:t>
      </w:r>
    </w:p>
    <w:p>
      <w:pPr>
        <w:spacing w:after="20"/>
        <w:ind w:left="360"/>
      </w:pPr>
      <w:r>
        <w:rPr>
          <w:b/>
          <w:bCs/>
          <w:color w:val="5A6472"/>
          <w:sz w:val="18"/>
          <w:szCs w:val="18"/>
        </w:rPr>
        <w:t xml:space="preserve">Priya Singh responds:</w:t>
      </w:r>
    </w:p>
    <w:p>
      <w:pPr>
        <w:spacing w:after="100"/>
        <w:ind w:left="360"/>
      </w:pPr>
      <w:r>
        <w:rPr>
          <w:i/>
          <w:iCs/>
          <w:color w:val="0B2545"/>
          <w:sz w:val="20"/>
          <w:szCs w:val="20"/>
        </w:rPr>
        <w:t xml:space="preserve">“I did ask for projections, though. Without those there's nothing for me to actually look at, is there?”</w:t>
      </w:r>
    </w:p>
    <w:p>
      <w:r>
        <w:br w:type="page"/>
      </w:r>
    </w:p>
    <w:p>
      <w:pPr>
        <w:shd w:fill="0B2545" w:val="clear"/>
        <w:spacing w:after="60" w:before="120"/>
      </w:pPr>
      <w:r>
        <w:rPr>
          <w:b/>
          <w:bCs/>
          <w:color w:val="FFFFFF"/>
          <w:sz w:val="30"/>
          <w:szCs w:val="30"/>
        </w:rPr>
        <w:t xml:space="preserve">  ROUND 17  -  Palace Grand Resort  -  No Parity  </w:t>
      </w:r>
    </w:p>
    <w:p>
      <w:pPr>
        <w:pBdr>
          <w:bottom w:val="single" w:color="F4B400" w:sz="6"/>
        </w:pBdr>
        <w:spacing w:after="120" w:before="120"/>
      </w:pPr>
    </w:p>
    <w:p>
      <w:pPr>
        <w:pStyle w:val="Heading2"/>
        <w:spacing w:after="100" w:before="240"/>
      </w:pPr>
      <w:r>
        <w:rPr>
          <w:b/>
          <w:bCs/>
          <w:color w:val="0B2545"/>
          <w:sz w:val="24"/>
          <w:szCs w:val="24"/>
        </w:rPr>
        <w:t xml:space="preserve">1. Scenario overview</w:t>
      </w:r>
    </w:p>
    <w:p>
      <w:pPr>
        <w:spacing w:after="40"/>
      </w:pPr>
      <w:r>
        <w:rPr>
          <w:b/>
          <w:bCs/>
          <w:color w:val="0B2545"/>
          <w:sz w:val="20"/>
          <w:szCs w:val="20"/>
        </w:rPr>
        <w:t xml:space="preserve">Property: </w:t>
      </w:r>
      <w:r>
        <w:rPr>
          <w:sz w:val="20"/>
          <w:szCs w:val="20"/>
        </w:rPr>
        <w:t xml:space="preserve">Palace Grand Resort</w:t>
      </w:r>
    </w:p>
    <w:p>
      <w:pPr>
        <w:spacing w:after="40"/>
      </w:pPr>
      <w:r>
        <w:rPr>
          <w:b/>
          <w:bCs/>
          <w:color w:val="0B2545"/>
          <w:sz w:val="20"/>
          <w:szCs w:val="20"/>
        </w:rPr>
        <w:t xml:space="preserve">Point of contact: </w:t>
      </w:r>
      <w:r>
        <w:rPr>
          <w:sz w:val="20"/>
          <w:szCs w:val="20"/>
        </w:rPr>
        <w:t xml:space="preserve">Ethan Nkosi</w:t>
      </w:r>
    </w:p>
    <w:p>
      <w:pPr>
        <w:spacing w:after="40"/>
      </w:pPr>
      <w:r>
        <w:rPr>
          <w:b/>
          <w:bCs/>
          <w:color w:val="0B2545"/>
          <w:sz w:val="20"/>
          <w:szCs w:val="20"/>
        </w:rPr>
        <w:t xml:space="preserve">Property type: </w:t>
      </w:r>
      <w:r>
        <w:rPr>
          <w:sz w:val="20"/>
          <w:szCs w:val="20"/>
        </w:rPr>
        <w:t xml:space="preserve">Resort</w:t>
      </w:r>
    </w:p>
    <w:p>
      <w:pPr>
        <w:spacing w:after="40"/>
      </w:pPr>
      <w:r>
        <w:rPr>
          <w:b/>
          <w:bCs/>
          <w:color w:val="0B2545"/>
          <w:sz w:val="20"/>
          <w:szCs w:val="20"/>
        </w:rPr>
        <w:t xml:space="preserve">Location: </w:t>
      </w:r>
      <w:r>
        <w:rPr>
          <w:sz w:val="20"/>
          <w:szCs w:val="20"/>
        </w:rPr>
        <w:t xml:space="preserve">Mont Bellerive, Grand Duchy of Valence</w:t>
      </w:r>
    </w:p>
    <w:p>
      <w:pPr>
        <w:spacing w:after="40"/>
      </w:pPr>
      <w:r>
        <w:rPr>
          <w:b/>
          <w:bCs/>
          <w:color w:val="0B2545"/>
          <w:sz w:val="20"/>
          <w:szCs w:val="20"/>
        </w:rPr>
        <w:t xml:space="preserve">Size: </w:t>
      </w:r>
      <w:r>
        <w:rPr>
          <w:sz w:val="20"/>
          <w:szCs w:val="20"/>
        </w:rPr>
        <w:t xml:space="preserve">70 rooms</w:t>
      </w:r>
    </w:p>
    <w:p>
      <w:pPr>
        <w:spacing w:after="40"/>
      </w:pPr>
      <w:r>
        <w:rPr>
          <w:b/>
          <w:bCs/>
          <w:color w:val="0B2545"/>
          <w:sz w:val="20"/>
          <w:szCs w:val="20"/>
        </w:rPr>
        <w:t xml:space="preserve">Communication style: </w:t>
      </w:r>
      <w:r>
        <w:rPr>
          <w:sz w:val="20"/>
          <w:szCs w:val="20"/>
        </w:rPr>
        <w:t xml:space="preserve">Nurturer (green) primary, Thinker (blue) secondary</w:t>
      </w:r>
    </w:p>
    <w:p>
      <w:pPr>
        <w:spacing w:after="40"/>
      </w:pPr>
      <w:r>
        <w:rPr>
          <w:b/>
          <w:bCs/>
          <w:color w:val="0B2545"/>
          <w:sz w:val="20"/>
          <w:szCs w:val="20"/>
        </w:rPr>
        <w:t xml:space="preserve">Parity regime: </w:t>
      </w:r>
      <w:r>
        <w:rPr>
          <w:sz w:val="20"/>
          <w:szCs w:val="20"/>
        </w:rPr>
        <w:t xml:space="preserve">No Parity</w:t>
      </w:r>
    </w:p>
    <w:p>
      <w:pPr>
        <w:spacing w:after="60" w:before="180"/>
      </w:pPr>
      <w:r>
        <w:rPr>
          <w:b/>
          <w:bCs/>
          <w:caps/>
          <w:color w:val="5A6472"/>
          <w:sz w:val="20"/>
          <w:szCs w:val="20"/>
        </w:rPr>
        <w:t xml:space="preserve">Profile</w:t>
      </w:r>
    </w:p>
    <w:p>
      <w:pPr>
        <w:spacing w:after="80"/>
      </w:pPr>
      <w:r>
        <w:rPr>
          <w:sz w:val="20"/>
          <w:szCs w:val="20"/>
        </w:rPr>
        <w:t xml:space="preserve">Operations Manager at an independent resort with full local autonomy - practical, ROI-minded, and collaborative. He gives every channel the same net rate to keep things simple, and he weighs every recommendation against the operational load on his front desk. Persuade him it's an easy, low-friction fix backed by the numbers and he'll set it up with you on the spot.</w:t>
      </w:r>
    </w:p>
    <w:p>
      <w:pPr>
        <w:spacing w:after="60" w:before="180"/>
      </w:pPr>
      <w:r>
        <w:rPr>
          <w:b/>
          <w:bCs/>
          <w:caps/>
          <w:color w:val="5A6472"/>
          <w:sz w:val="20"/>
          <w:szCs w:val="20"/>
        </w:rPr>
        <w:t xml:space="preserve">Commercial goal</w:t>
      </w:r>
    </w:p>
    <w:p>
      <w:pPr>
        <w:spacing w:after="80"/>
      </w:pPr>
      <w:r>
        <w:rPr>
          <w:sz w:val="20"/>
          <w:szCs w:val="20"/>
        </w:rPr>
        <w:t xml:space="preserve">Recover on-platform visibility and occupancy through low-friction setup fixes, without a price war</w:t>
      </w:r>
    </w:p>
    <w:p>
      <w:pPr>
        <w:pStyle w:val="Heading2"/>
        <w:spacing w:after="100" w:before="240"/>
      </w:pPr>
      <w:r>
        <w:rPr>
          <w:b/>
          <w:bCs/>
          <w:color w:val="0B2545"/>
          <w:sz w:val="24"/>
          <w:szCs w:val="24"/>
        </w:rPr>
        <w:t xml:space="preserve">2. Portfolio card (what the learner sees before opening)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Name</w:t>
            </w:r>
          </w:p>
        </w:tc>
        <w:tc>
          <w:tcPr>
            <w:tcW w:type="pct" w:w="55%"/>
            <w:shd w:fill="EEF2F7" w:val="clear"/>
            <w:tcMar>
              <w:top w:type="dxa" w:w="40"/>
              <w:left w:type="dxa" w:w="90"/>
              <w:bottom w:type="dxa" w:w="40"/>
              <w:right w:type="dxa" w:w="90"/>
            </w:tcMar>
          </w:tcPr>
          <w:p>
            <w:r>
              <w:rPr>
                <w:b w:val="false"/>
                <w:bCs w:val="false"/>
                <w:color w:val="000000"/>
                <w:sz w:val="20"/>
                <w:szCs w:val="20"/>
              </w:rPr>
              <w:t xml:space="preserve">Palace Grand Resort</w:t>
            </w:r>
          </w:p>
        </w:tc>
      </w:tr>
      <w:tr>
        <w:tc>
          <w:tcPr>
            <w:tcW w:type="pct" w:w="45%"/>
            <w:tcMar>
              <w:top w:type="dxa" w:w="40"/>
              <w:left w:type="dxa" w:w="90"/>
              <w:bottom w:type="dxa" w:w="40"/>
              <w:right w:type="dxa" w:w="90"/>
            </w:tcMar>
          </w:tcPr>
          <w:p>
            <w:r>
              <w:rPr>
                <w:b/>
                <w:bCs/>
                <w:color w:val="000000"/>
                <w:sz w:val="20"/>
                <w:szCs w:val="20"/>
              </w:rPr>
              <w:t xml:space="preserve">Property type</w:t>
            </w:r>
          </w:p>
        </w:tc>
        <w:tc>
          <w:tcPr>
            <w:tcW w:type="pct" w:w="55%"/>
            <w:tcMar>
              <w:top w:type="dxa" w:w="40"/>
              <w:left w:type="dxa" w:w="90"/>
              <w:bottom w:type="dxa" w:w="40"/>
              <w:right w:type="dxa" w:w="90"/>
            </w:tcMar>
          </w:tcPr>
          <w:p>
            <w:r>
              <w:rPr>
                <w:b w:val="false"/>
                <w:bCs w:val="false"/>
                <w:color w:val="000000"/>
                <w:sz w:val="20"/>
                <w:szCs w:val="20"/>
              </w:rPr>
              <w:t xml:space="preserve">Resort</w:t>
            </w:r>
          </w:p>
        </w:tc>
      </w:tr>
      <w:tr>
        <w:tc>
          <w:tcPr>
            <w:tcW w:type="pct" w:w="45%"/>
            <w:shd w:fill="EEF2F7" w:val="clear"/>
            <w:tcMar>
              <w:top w:type="dxa" w:w="40"/>
              <w:left w:type="dxa" w:w="90"/>
              <w:bottom w:type="dxa" w:w="40"/>
              <w:right w:type="dxa" w:w="90"/>
            </w:tcMar>
          </w:tcPr>
          <w:p>
            <w:r>
              <w:rPr>
                <w:b/>
                <w:bCs/>
                <w:color w:val="000000"/>
                <w:sz w:val="20"/>
                <w:szCs w:val="20"/>
              </w:rPr>
              <w:t xml:space="preserve">Rooms</w:t>
            </w:r>
          </w:p>
        </w:tc>
        <w:tc>
          <w:tcPr>
            <w:tcW w:type="pct" w:w="55%"/>
            <w:shd w:fill="EEF2F7" w:val="clear"/>
            <w:tcMar>
              <w:top w:type="dxa" w:w="40"/>
              <w:left w:type="dxa" w:w="90"/>
              <w:bottom w:type="dxa" w:w="40"/>
              <w:right w:type="dxa" w:w="90"/>
            </w:tcMar>
          </w:tcPr>
          <w:p>
            <w:r>
              <w:rPr>
                <w:b w:val="false"/>
                <w:bCs w:val="false"/>
                <w:color w:val="000000"/>
                <w:sz w:val="20"/>
                <w:szCs w:val="20"/>
              </w:rPr>
              <w:t xml:space="preserve">70 rooms</w:t>
            </w:r>
          </w:p>
        </w:tc>
      </w:tr>
      <w:tr>
        <w:tc>
          <w:tcPr>
            <w:tcW w:type="pct" w:w="45%"/>
            <w:tcMar>
              <w:top w:type="dxa" w:w="40"/>
              <w:left w:type="dxa" w:w="90"/>
              <w:bottom w:type="dxa" w:w="40"/>
              <w:right w:type="dxa" w:w="90"/>
            </w:tcMar>
          </w:tcPr>
          <w:p>
            <w:r>
              <w:rPr>
                <w:b/>
                <w:bCs/>
                <w:color w:val="000000"/>
                <w:sz w:val="20"/>
                <w:szCs w:val="20"/>
              </w:rPr>
              <w:t xml:space="preserve">Communication style</w:t>
            </w:r>
          </w:p>
        </w:tc>
        <w:tc>
          <w:tcPr>
            <w:tcW w:type="pct" w:w="55%"/>
            <w:tcMar>
              <w:top w:type="dxa" w:w="40"/>
              <w:left w:type="dxa" w:w="90"/>
              <w:bottom w:type="dxa" w:w="40"/>
              <w:right w:type="dxa" w:w="90"/>
            </w:tcMar>
          </w:tcPr>
          <w:p>
            <w:r>
              <w:rPr>
                <w:b w:val="false"/>
                <w:bCs w:val="false"/>
                <w:color w:val="000000"/>
                <w:sz w:val="20"/>
                <w:szCs w:val="20"/>
              </w:rPr>
              <w:t xml:space="preserve">Nurturer (green)</w:t>
            </w:r>
          </w:p>
        </w:tc>
      </w:tr>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+7.2% (+10.95)</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6,800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+8.9%</w:t>
            </w:r>
          </w:p>
        </w:tc>
      </w:tr>
      <w:tr>
        <w:tc>
          <w:tcPr>
            <w:tcW w:type="pct" w:w="45%"/>
            <w:tcMar>
              <w:top w:type="dxa" w:w="40"/>
              <w:left w:type="dxa" w:w="90"/>
              <w:bottom w:type="dxa" w:w="40"/>
              <w:right w:type="dxa" w:w="90"/>
            </w:tcMar>
          </w:tcPr>
          <w:p>
            <w:r>
              <w:rPr>
                <w:b/>
                <w:bCs/>
                <w:color w:val="000000"/>
                <w:sz w:val="20"/>
                <w:szCs w:val="20"/>
              </w:rPr>
              <w:t xml:space="preserve">Lose Price</w:t>
            </w:r>
          </w:p>
        </w:tc>
        <w:tc>
          <w:tcPr>
            <w:tcW w:type="pct" w:w="55%"/>
            <w:tcMar>
              <w:top w:type="dxa" w:w="40"/>
              <w:left w:type="dxa" w:w="90"/>
              <w:bottom w:type="dxa" w:w="40"/>
              <w:right w:type="dxa" w:w="90"/>
            </w:tcMar>
          </w:tcPr>
          <w:p>
            <w:r>
              <w:rPr>
                <w:b w:val="false"/>
                <w:bCs w:val="false"/>
                <w:color w:val="000000"/>
                <w:sz w:val="20"/>
                <w:szCs w:val="20"/>
              </w:rPr>
              <w:t xml:space="preserve">60%</w:t>
            </w:r>
          </w:p>
        </w:tc>
      </w:tr>
    </w:tbl>
    <w:p>
      <w:pPr>
        <w:pStyle w:val="Heading2"/>
        <w:spacing w:after="100" w:before="240"/>
      </w:pPr>
      <w:r>
        <w:rPr>
          <w:b/>
          <w:bCs/>
          <w:color w:val="0B2545"/>
          <w:sz w:val="24"/>
          <w:szCs w:val="24"/>
        </w:rPr>
        <w:t xml:space="preserve">3. Partner Detail screen</w:t>
      </w:r>
    </w:p>
    <w:p>
      <w:pPr>
        <w:spacing w:after="60" w:before="180"/>
      </w:pPr>
      <w:r>
        <w:rPr>
          <w:b/>
          <w:bCs/>
          <w:caps/>
          <w:color w:val="5A6472"/>
          <w:sz w:val="20"/>
          <w:szCs w:val="20"/>
        </w:rPr>
        <w:t xml:space="preserve">Driving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+7.2% (+10.95)</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6,800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+8.9%</w:t>
            </w:r>
          </w:p>
        </w:tc>
      </w:tr>
      <w:tr>
        <w:tc>
          <w:tcPr>
            <w:tcW w:type="pct" w:w="45%"/>
            <w:tcMar>
              <w:top w:type="dxa" w:w="40"/>
              <w:left w:type="dxa" w:w="90"/>
              <w:bottom w:type="dxa" w:w="40"/>
              <w:right w:type="dxa" w:w="90"/>
            </w:tcMar>
          </w:tcPr>
          <w:p>
            <w:r>
              <w:rPr>
                <w:b/>
                <w:bCs/>
                <w:color w:val="000000"/>
                <w:sz w:val="20"/>
                <w:szCs w:val="20"/>
              </w:rPr>
              <w:t xml:space="preserve">RPD Loyal</w:t>
            </w:r>
          </w:p>
        </w:tc>
        <w:tc>
          <w:tcPr>
            <w:tcW w:type="pct" w:w="55%"/>
            <w:tcMar>
              <w:top w:type="dxa" w:w="40"/>
              <w:left w:type="dxa" w:w="90"/>
              <w:bottom w:type="dxa" w:w="40"/>
              <w:right w:type="dxa" w:w="90"/>
            </w:tcMar>
          </w:tcPr>
          <w:p>
            <w:r>
              <w:rPr>
                <w:b w:val="false"/>
                <w:bCs w:val="false"/>
                <w:color w:val="000000"/>
                <w:sz w:val="20"/>
                <w:szCs w:val="20"/>
              </w:rPr>
              <w:t xml:space="preserve">-1.3%</w:t>
            </w:r>
          </w:p>
        </w:tc>
      </w:tr>
      <w:tr>
        <w:tc>
          <w:tcPr>
            <w:tcW w:type="pct" w:w="45%"/>
            <w:shd w:fill="EEF2F7" w:val="clear"/>
            <w:tcMar>
              <w:top w:type="dxa" w:w="40"/>
              <w:left w:type="dxa" w:w="90"/>
              <w:bottom w:type="dxa" w:w="40"/>
              <w:right w:type="dxa" w:w="90"/>
            </w:tcMar>
          </w:tcPr>
          <w:p>
            <w:r>
              <w:rPr>
                <w:b/>
                <w:bCs/>
                <w:color w:val="000000"/>
                <w:sz w:val="20"/>
                <w:szCs w:val="20"/>
              </w:rPr>
              <w:t xml:space="preserve">Lose Price</w:t>
            </w:r>
          </w:p>
        </w:tc>
        <w:tc>
          <w:tcPr>
            <w:tcW w:type="pct" w:w="55%"/>
            <w:shd w:fill="EEF2F7" w:val="clear"/>
            <w:tcMar>
              <w:top w:type="dxa" w:w="40"/>
              <w:left w:type="dxa" w:w="90"/>
              <w:bottom w:type="dxa" w:w="40"/>
              <w:right w:type="dxa" w:w="90"/>
            </w:tcMar>
          </w:tcPr>
          <w:p>
            <w:r>
              <w:rPr>
                <w:b w:val="false"/>
                <w:bCs w:val="false"/>
                <w:color w:val="000000"/>
                <w:sz w:val="20"/>
                <w:szCs w:val="20"/>
              </w:rPr>
              <w:t xml:space="preserve">60%</w:t>
            </w:r>
          </w:p>
        </w:tc>
      </w:tr>
      <w:tr>
        <w:tc>
          <w:tcPr>
            <w:tcW w:type="pct" w:w="45%"/>
            <w:tcMar>
              <w:top w:type="dxa" w:w="40"/>
              <w:left w:type="dxa" w:w="90"/>
              <w:bottom w:type="dxa" w:w="40"/>
              <w:right w:type="dxa" w:w="90"/>
            </w:tcMar>
          </w:tcPr>
          <w:p>
            <w:r>
              <w:rPr>
                <w:b/>
                <w:bCs/>
                <w:color w:val="000000"/>
                <w:sz w:val="20"/>
                <w:szCs w:val="20"/>
              </w:rPr>
              <w:t xml:space="preserve">Scenarios</w:t>
            </w:r>
          </w:p>
        </w:tc>
        <w:tc>
          <w:tcPr>
            <w:tcW w:type="pct" w:w="55%"/>
            <w:tcMar>
              <w:top w:type="dxa" w:w="40"/>
              <w:left w:type="dxa" w:w="90"/>
              <w:bottom w:type="dxa" w:w="40"/>
              <w:right w:type="dxa" w:w="90"/>
            </w:tcMar>
          </w:tcPr>
          <w:p>
            <w:r>
              <w:rPr>
                <w:b w:val="false"/>
                <w:bCs w:val="false"/>
                <w:color w:val="000000"/>
                <w:sz w:val="20"/>
                <w:szCs w:val="20"/>
              </w:rPr>
              <w:t xml:space="preserve">3</w:t>
            </w:r>
          </w:p>
        </w:tc>
      </w:tr>
      <w:tr>
        <w:tc>
          <w:tcPr>
            <w:tcW w:type="pct" w:w="45%"/>
            <w:shd w:fill="EEF2F7" w:val="clear"/>
            <w:tcMar>
              <w:top w:type="dxa" w:w="40"/>
              <w:left w:type="dxa" w:w="90"/>
              <w:bottom w:type="dxa" w:w="40"/>
              <w:right w:type="dxa" w:w="90"/>
            </w:tcMar>
          </w:tcPr>
          <w:p>
            <w:r>
              <w:rPr>
                <w:b/>
                <w:bCs/>
                <w:color w:val="000000"/>
                <w:sz w:val="20"/>
                <w:szCs w:val="20"/>
              </w:rPr>
              <w:t xml:space="preserve">Competitor</w:t>
            </w:r>
          </w:p>
        </w:tc>
        <w:tc>
          <w:tcPr>
            <w:tcW w:type="pct" w:w="55%"/>
            <w:shd w:fill="EEF2F7" w:val="clear"/>
            <w:tcMar>
              <w:top w:type="dxa" w:w="40"/>
              <w:left w:type="dxa" w:w="90"/>
              <w:bottom w:type="dxa" w:w="40"/>
              <w:right w:type="dxa" w:w="90"/>
            </w:tcMar>
          </w:tcPr>
          <w:p>
            <w:r>
              <w:rPr>
                <w:b w:val="false"/>
                <w:bCs w:val="false"/>
                <w:color w:val="000000"/>
                <w:sz w:val="20"/>
                <w:szCs w:val="20"/>
              </w:rPr>
              <w:t xml:space="preserve">Key OTA</w:t>
            </w:r>
          </w:p>
        </w:tc>
      </w:tr>
    </w:tbl>
    <w:p>
      <w:pPr>
        <w:spacing w:after="60" w:before="180"/>
      </w:pPr>
      <w:r>
        <w:rPr>
          <w:b/>
          <w:bCs/>
          <w:caps/>
          <w:color w:val="5A6472"/>
          <w:sz w:val="20"/>
          <w:szCs w:val="20"/>
        </w:rPr>
        <w:t xml:space="preserve">eRPD Price Bucket strip</w:t>
      </w:r>
    </w:p>
    <w:p>
      <w:pPr>
        <w:spacing w:after="80"/>
      </w:pPr>
      <w:r>
        <w:rPr>
          <w:b/>
          <w:bCs/>
          <w:color w:val="0B2545"/>
          <w:sz w:val="20"/>
          <w:szCs w:val="20"/>
        </w:rPr>
        <w:t xml:space="preserve">On-screen marker: </w:t>
      </w:r>
      <w:r>
        <w:rPr>
          <w:sz w:val="20"/>
          <w:szCs w:val="20"/>
        </w:rPr>
        <w:t xml:space="preserve">eRPD +7.2%</w:t>
      </w:r>
    </w:p>
    <w:p>
      <w:pPr>
        <w:spacing w:after="80"/>
      </w:pPr>
      <w:r>
        <w:rPr>
          <w:i/>
          <w:iCs/>
          <w:color w:val="5A6472"/>
          <w:sz w:val="18"/>
          <w:szCs w:val="18"/>
        </w:rPr>
        <w:t xml:space="preserve">Shown as a 7-segment green (most competitive) to red (least competitive) strip, with the marker over this partner’s segment. The bucket number is not shown on screen.</w:t>
      </w:r>
    </w:p>
    <w:p>
      <w:pPr>
        <w:spacing w:after="60" w:before="180"/>
      </w:pPr>
      <w:r>
        <w:rPr>
          <w:b/>
          <w:bCs/>
          <w:caps/>
          <w:color w:val="5A6472"/>
          <w:sz w:val="20"/>
          <w:szCs w:val="20"/>
        </w:rPr>
        <w:t xml:space="preserve">Secondary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30D ABRN (vs last year)</w:t>
            </w:r>
          </w:p>
        </w:tc>
        <w:tc>
          <w:tcPr>
            <w:tcW w:type="pct" w:w="55%"/>
            <w:shd w:fill="EEF2F7" w:val="clear"/>
            <w:tcMar>
              <w:top w:type="dxa" w:w="40"/>
              <w:left w:type="dxa" w:w="90"/>
              <w:bottom w:type="dxa" w:w="40"/>
              <w:right w:type="dxa" w:w="90"/>
            </w:tcMar>
          </w:tcPr>
          <w:p>
            <w:r>
              <w:rPr>
                <w:b w:val="false"/>
                <w:bCs w:val="false"/>
                <w:color w:val="000000"/>
                <w:sz w:val="20"/>
                <w:szCs w:val="20"/>
              </w:rPr>
              <w:t xml:space="preserve">267 (-46%)</w:t>
            </w:r>
          </w:p>
        </w:tc>
      </w:tr>
      <w:tr>
        <w:tc>
          <w:tcPr>
            <w:tcW w:type="pct" w:w="45%"/>
            <w:tcMar>
              <w:top w:type="dxa" w:w="40"/>
              <w:left w:type="dxa" w:w="90"/>
              <w:bottom w:type="dxa" w:w="40"/>
              <w:right w:type="dxa" w:w="90"/>
            </w:tcMar>
          </w:tcPr>
          <w:p>
            <w:r>
              <w:rPr>
                <w:b/>
                <w:bCs/>
                <w:color w:val="000000"/>
                <w:sz w:val="20"/>
                <w:szCs w:val="20"/>
              </w:rPr>
              <w:t xml:space="preserve">Last 30D Room Nights (vs peer)</w:t>
            </w:r>
          </w:p>
        </w:tc>
        <w:tc>
          <w:tcPr>
            <w:tcW w:type="pct" w:w="55%"/>
            <w:tcMar>
              <w:top w:type="dxa" w:w="40"/>
              <w:left w:type="dxa" w:w="90"/>
              <w:bottom w:type="dxa" w:w="40"/>
              <w:right w:type="dxa" w:w="90"/>
            </w:tcMar>
          </w:tcPr>
          <w:p>
            <w:r>
              <w:rPr>
                <w:b w:val="false"/>
                <w:bCs w:val="false"/>
                <w:color w:val="000000"/>
                <w:sz w:val="20"/>
                <w:szCs w:val="20"/>
              </w:rPr>
              <w:t xml:space="preserve">349 (+49%)</w:t>
            </w:r>
          </w:p>
        </w:tc>
      </w:tr>
      <w:tr>
        <w:tc>
          <w:tcPr>
            <w:tcW w:type="pct" w:w="45%"/>
            <w:shd w:fill="EEF2F7" w:val="clear"/>
            <w:tcMar>
              <w:top w:type="dxa" w:w="40"/>
              <w:left w:type="dxa" w:w="90"/>
              <w:bottom w:type="dxa" w:w="40"/>
              <w:right w:type="dxa" w:w="90"/>
            </w:tcMar>
          </w:tcPr>
          <w:p>
            <w:r>
              <w:rPr>
                <w:b/>
                <w:bCs/>
                <w:color w:val="000000"/>
                <w:sz w:val="20"/>
                <w:szCs w:val="20"/>
              </w:rPr>
              <w:t xml:space="preserve">Last 30D ADR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216 (+6%)</w:t>
            </w:r>
          </w:p>
        </w:tc>
      </w:tr>
      <w:tr>
        <w:tc>
          <w:tcPr>
            <w:tcW w:type="pct" w:w="45%"/>
            <w:tcMar>
              <w:top w:type="dxa" w:w="40"/>
              <w:left w:type="dxa" w:w="90"/>
              <w:bottom w:type="dxa" w:w="40"/>
              <w:right w:type="dxa" w:w="90"/>
            </w:tcMar>
          </w:tcPr>
          <w:p>
            <w:r>
              <w:rPr>
                <w:b/>
                <w:bCs/>
                <w:color w:val="000000"/>
                <w:sz w:val="20"/>
                <w:szCs w:val="20"/>
              </w:rPr>
              <w:t xml:space="preserve">Last 30D Page Views (vs peer)</w:t>
            </w:r>
          </w:p>
        </w:tc>
        <w:tc>
          <w:tcPr>
            <w:tcW w:type="pct" w:w="55%"/>
            <w:tcMar>
              <w:top w:type="dxa" w:w="40"/>
              <w:left w:type="dxa" w:w="90"/>
              <w:bottom w:type="dxa" w:w="40"/>
              <w:right w:type="dxa" w:w="90"/>
            </w:tcMar>
          </w:tcPr>
          <w:p>
            <w:r>
              <w:rPr>
                <w:b w:val="false"/>
                <w:bCs w:val="false"/>
                <w:color w:val="000000"/>
                <w:sz w:val="20"/>
                <w:szCs w:val="20"/>
              </w:rPr>
              <w:t xml:space="preserve">6553 (-53%)</w:t>
            </w:r>
          </w:p>
        </w:tc>
      </w:tr>
      <w:tr>
        <w:tc>
          <w:tcPr>
            <w:tcW w:type="pct" w:w="45%"/>
            <w:shd w:fill="EEF2F7" w:val="clear"/>
            <w:tcMar>
              <w:top w:type="dxa" w:w="40"/>
              <w:left w:type="dxa" w:w="90"/>
              <w:bottom w:type="dxa" w:w="40"/>
              <w:right w:type="dxa" w:w="90"/>
            </w:tcMar>
          </w:tcPr>
          <w:p>
            <w:r>
              <w:rPr>
                <w:b/>
                <w:bCs/>
                <w:color w:val="000000"/>
                <w:sz w:val="20"/>
                <w:szCs w:val="20"/>
              </w:rPr>
              <w:t xml:space="preserve">Last 30D Conversion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4 (+45%)</w:t>
            </w:r>
          </w:p>
        </w:tc>
      </w:tr>
      <w:tr>
        <w:tc>
          <w:tcPr>
            <w:tcW w:type="pct" w:w="45%"/>
            <w:tcMar>
              <w:top w:type="dxa" w:w="40"/>
              <w:left w:type="dxa" w:w="90"/>
              <w:bottom w:type="dxa" w:w="40"/>
              <w:right w:type="dxa" w:w="90"/>
            </w:tcMar>
          </w:tcPr>
          <w:p>
            <w:r>
              <w:rPr>
                <w:b/>
                <w:bCs/>
                <w:color w:val="000000"/>
                <w:sz w:val="20"/>
                <w:szCs w:val="20"/>
              </w:rPr>
              <w:t xml:space="preserve">Next 3M Room Nights (vs peer)</w:t>
            </w:r>
          </w:p>
        </w:tc>
        <w:tc>
          <w:tcPr>
            <w:tcW w:type="pct" w:w="55%"/>
            <w:tcMar>
              <w:top w:type="dxa" w:w="40"/>
              <w:left w:type="dxa" w:w="90"/>
              <w:bottom w:type="dxa" w:w="40"/>
              <w:right w:type="dxa" w:w="90"/>
            </w:tcMar>
          </w:tcPr>
          <w:p>
            <w:r>
              <w:rPr>
                <w:b w:val="false"/>
                <w:bCs w:val="false"/>
                <w:color w:val="000000"/>
                <w:sz w:val="20"/>
                <w:szCs w:val="20"/>
              </w:rPr>
              <w:t xml:space="preserve">435 (-9%)</w:t>
            </w:r>
          </w:p>
        </w:tc>
      </w:tr>
    </w:tbl>
    <w:p>
      <w:pPr>
        <w:spacing w:after="60" w:before="180"/>
      </w:pPr>
      <w:r>
        <w:rPr>
          <w:b/>
          <w:bCs/>
          <w:caps/>
          <w:color w:val="5A6472"/>
          <w:sz w:val="20"/>
          <w:szCs w:val="20"/>
        </w:rPr>
        <w:t xml:space="preserve">On Platform Competitiveness tab (OPC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Unsold Rooms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21</w:t>
            </w:r>
          </w:p>
        </w:tc>
      </w:tr>
      <w:tr>
        <w:tc>
          <w:tcPr>
            <w:tcW w:type="pct" w:w="45%"/>
            <w:tcMar>
              <w:top w:type="dxa" w:w="40"/>
              <w:left w:type="dxa" w:w="90"/>
              <w:bottom w:type="dxa" w:w="40"/>
              <w:right w:type="dxa" w:w="90"/>
            </w:tcMar>
          </w:tcPr>
          <w:p>
            <w:r>
              <w:rPr>
                <w:b/>
                <w:bCs/>
                <w:color w:val="000000"/>
                <w:sz w:val="20"/>
                <w:szCs w:val="20"/>
              </w:rPr>
              <w:t xml:space="preserve">Sell Through Rate (vs peer)</w:t>
            </w:r>
          </w:p>
        </w:tc>
        <w:tc>
          <w:tcPr>
            <w:tcW w:type="pct" w:w="55%"/>
            <w:tcMar>
              <w:top w:type="dxa" w:w="40"/>
              <w:left w:type="dxa" w:w="90"/>
              <w:bottom w:type="dxa" w:w="40"/>
              <w:right w:type="dxa" w:w="90"/>
            </w:tcMar>
          </w:tcPr>
          <w:p>
            <w:r>
              <w:rPr>
                <w:b w:val="false"/>
                <w:bCs w:val="false"/>
                <w:color w:val="000000"/>
                <w:sz w:val="20"/>
                <w:szCs w:val="20"/>
              </w:rPr>
              <w:t xml:space="preserve">-13</w:t>
            </w:r>
          </w:p>
        </w:tc>
      </w:tr>
      <w:tr>
        <w:tc>
          <w:tcPr>
            <w:tcW w:type="pct" w:w="45%"/>
            <w:shd w:fill="EEF2F7" w:val="clear"/>
            <w:tcMar>
              <w:top w:type="dxa" w:w="40"/>
              <w:left w:type="dxa" w:w="90"/>
              <w:bottom w:type="dxa" w:w="40"/>
              <w:right w:type="dxa" w:w="90"/>
            </w:tcMar>
          </w:tcPr>
          <w:p>
            <w:r>
              <w:rPr>
                <w:b/>
                <w:bCs/>
                <w:color w:val="000000"/>
                <w:sz w:val="20"/>
                <w:szCs w:val="20"/>
              </w:rPr>
              <w:t xml:space="preserve">Distribution of Search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Visibility Share (vs peer)</w:t>
            </w:r>
          </w:p>
        </w:tc>
        <w:tc>
          <w:tcPr>
            <w:tcW w:type="pct" w:w="55%"/>
            <w:tcMar>
              <w:top w:type="dxa" w:w="40"/>
              <w:left w:type="dxa" w:w="90"/>
              <w:bottom w:type="dxa" w:w="40"/>
              <w:right w:type="dxa" w:w="90"/>
            </w:tcMar>
          </w:tcPr>
          <w:p>
            <w:r>
              <w:rPr>
                <w:b w:val="false"/>
                <w:bCs w:val="false"/>
                <w:color w:val="000000"/>
                <w:sz w:val="20"/>
                <w:szCs w:val="20"/>
              </w:rPr>
              <w:t xml:space="preserve">17 vs 16 peer</w:t>
            </w:r>
          </w:p>
        </w:tc>
      </w:tr>
      <w:tr>
        <w:tc>
          <w:tcPr>
            <w:tcW w:type="pct" w:w="45%"/>
            <w:shd w:fill="EEF2F7" w:val="clear"/>
            <w:tcMar>
              <w:top w:type="dxa" w:w="40"/>
              <w:left w:type="dxa" w:w="90"/>
              <w:bottom w:type="dxa" w:w="40"/>
              <w:right w:type="dxa" w:w="90"/>
            </w:tcMar>
          </w:tcPr>
          <w:p>
            <w:r>
              <w:rPr>
                <w:b/>
                <w:bCs/>
                <w:color w:val="000000"/>
                <w:sz w:val="20"/>
                <w:szCs w:val="20"/>
              </w:rPr>
              <w:t xml:space="preserve">Click Through Rate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Conversion (vs peer)</w:t>
            </w:r>
          </w:p>
        </w:tc>
        <w:tc>
          <w:tcPr>
            <w:tcW w:type="pct" w:w="55%"/>
            <w:tcMar>
              <w:top w:type="dxa" w:w="40"/>
              <w:left w:type="dxa" w:w="90"/>
              <w:bottom w:type="dxa" w:w="40"/>
              <w:right w:type="dxa" w:w="90"/>
            </w:tcMar>
          </w:tcPr>
          <w:p>
            <w:r>
              <w:rPr>
                <w:b w:val="false"/>
                <w:bCs w:val="false"/>
                <w:color w:val="000000"/>
                <w:sz w:val="20"/>
                <w:szCs w:val="20"/>
              </w:rPr>
              <w:t xml:space="preserve">0.53</w:t>
            </w:r>
          </w:p>
        </w:tc>
      </w:tr>
      <w:tr>
        <w:tc>
          <w:tcPr>
            <w:tcW w:type="pct" w:w="45%"/>
            <w:shd w:fill="EEF2F7" w:val="clear"/>
            <w:tcMar>
              <w:top w:type="dxa" w:w="40"/>
              <w:left w:type="dxa" w:w="90"/>
              <w:bottom w:type="dxa" w:w="40"/>
              <w:right w:type="dxa" w:w="90"/>
            </w:tcMar>
          </w:tcPr>
          <w:p>
            <w:r>
              <w:rPr>
                <w:b/>
                <w:bCs/>
                <w:color w:val="000000"/>
                <w:sz w:val="20"/>
                <w:szCs w:val="20"/>
              </w:rPr>
              <w:t xml:space="preserve">Search Price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4</w:t>
            </w:r>
          </w:p>
        </w:tc>
      </w:tr>
    </w:tbl>
    <w:p>
      <w:pPr>
        <w:spacing w:after="80"/>
      </w:pPr>
      <w:r>
        <w:rPr>
          <w:i/>
          <w:iCs/>
          <w:color w:val="5A6472"/>
          <w:sz w:val="18"/>
          <w:szCs w:val="18"/>
        </w:rPr>
        <w:t xml:space="preserve">On screen, OPC metrics without a peer figure display a "(xx)" comparator placeholder (peer data still pending SME sign-off).</w:t>
      </w:r>
    </w:p>
    <w:p>
      <w:pPr>
        <w:spacing w:after="60" w:before="180"/>
      </w:pPr>
      <w:r>
        <w:rPr>
          <w:b/>
          <w:bCs/>
          <w:caps/>
          <w:color w:val="5A6472"/>
          <w:sz w:val="20"/>
          <w:szCs w:val="20"/>
        </w:rPr>
        <w:t xml:space="preserve">Profile meta</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Pricing Contact</w:t>
            </w:r>
          </w:p>
        </w:tc>
        <w:tc>
          <w:tcPr>
            <w:tcW w:type="pct" w:w="55%"/>
            <w:shd w:fill="EEF2F7" w:val="clear"/>
            <w:tcMar>
              <w:top w:type="dxa" w:w="40"/>
              <w:left w:type="dxa" w:w="90"/>
              <w:bottom w:type="dxa" w:w="40"/>
              <w:right w:type="dxa" w:w="90"/>
            </w:tcMar>
          </w:tcPr>
          <w:p>
            <w:r>
              <w:rPr>
                <w:b w:val="false"/>
                <w:bCs w:val="false"/>
                <w:color w:val="000000"/>
                <w:sz w:val="20"/>
                <w:szCs w:val="20"/>
              </w:rPr>
              <w:t xml:space="preserve">175 days ago</w:t>
            </w:r>
          </w:p>
        </w:tc>
      </w:tr>
      <w:tr>
        <w:tc>
          <w:tcPr>
            <w:tcW w:type="pct" w:w="45%"/>
            <w:tcMar>
              <w:top w:type="dxa" w:w="40"/>
              <w:left w:type="dxa" w:w="90"/>
              <w:bottom w:type="dxa" w:w="40"/>
              <w:right w:type="dxa" w:w="90"/>
            </w:tcMar>
          </w:tcPr>
          <w:p>
            <w:r>
              <w:rPr>
                <w:b/>
                <w:bCs/>
                <w:color w:val="000000"/>
                <w:sz w:val="20"/>
                <w:szCs w:val="20"/>
              </w:rPr>
              <w:t xml:space="preserve">Pricing Coverage (QTD)</w:t>
            </w:r>
          </w:p>
        </w:tc>
        <w:tc>
          <w:tcPr>
            <w:tcW w:type="pct" w:w="55%"/>
            <w:tcMar>
              <w:top w:type="dxa" w:w="40"/>
              <w:left w:type="dxa" w:w="90"/>
              <w:bottom w:type="dxa" w:w="40"/>
              <w:right w:type="dxa" w:w="90"/>
            </w:tcMar>
          </w:tcPr>
          <w:p>
            <w:r>
              <w:rPr>
                <w:b w:val="false"/>
                <w:bCs w:val="false"/>
                <w:color w:val="000000"/>
                <w:sz w:val="20"/>
                <w:szCs w:val="20"/>
              </w:rPr>
              <w:t xml:space="preserve">0%</w:t>
            </w:r>
          </w:p>
        </w:tc>
      </w:tr>
    </w:tbl>
    <w:p>
      <w:pPr>
        <w:spacing w:after="60" w:before="180"/>
      </w:pPr>
      <w:r>
        <w:rPr>
          <w:b/>
          <w:bCs/>
          <w:caps/>
          <w:color w:val="5A6472"/>
          <w:sz w:val="20"/>
          <w:szCs w:val="20"/>
        </w:rPr>
        <w:t xml:space="preserve">Discount products</w:t>
      </w:r>
    </w:p>
    <w:p>
      <w:pPr>
        <w:spacing w:after="20" w:before="60"/>
      </w:pPr>
      <w:r>
        <w:rPr>
          <w:b/>
          <w:bCs/>
          <w:color w:val="5A6472"/>
          <w:sz w:val="19"/>
          <w:szCs w:val="19"/>
        </w:rPr>
        <w:t xml:space="preserve">Public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Mobile Rates</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r>
        <w:tc>
          <w:tcPr>
            <w:tcW w:type="pct" w:w="45%"/>
            <w:tcMar>
              <w:top w:type="dxa" w:w="40"/>
              <w:left w:type="dxa" w:w="90"/>
              <w:bottom w:type="dxa" w:w="40"/>
              <w:right w:type="dxa" w:w="90"/>
            </w:tcMar>
          </w:tcPr>
          <w:p>
            <w:r>
              <w:rPr>
                <w:b/>
                <w:bCs/>
                <w:color w:val="000000"/>
                <w:sz w:val="20"/>
                <w:szCs w:val="20"/>
              </w:rPr>
              <w:t xml:space="preserve">Country Rates</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Portfolio Deals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Campaigns</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Genius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Genius Program</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r>
        <w:tc>
          <w:tcPr>
            <w:tcW w:type="pct" w:w="45%"/>
            <w:tcMar>
              <w:top w:type="dxa" w:w="40"/>
              <w:left w:type="dxa" w:w="90"/>
              <w:bottom w:type="dxa" w:w="40"/>
              <w:right w:type="dxa" w:w="90"/>
            </w:tcMar>
          </w:tcPr>
          <w:p>
            <w:r>
              <w:rPr>
                <w:b/>
                <w:bCs/>
                <w:color w:val="000000"/>
                <w:sz w:val="20"/>
                <w:szCs w:val="20"/>
              </w:rPr>
              <w:t xml:space="preserve">Genius 15%</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Genius 20%</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Genius dynamic pricing</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Foundations &amp; Payments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Base Rate Plan</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Family rates</w:t>
            </w:r>
          </w:p>
        </w:tc>
        <w:tc>
          <w:tcPr>
            <w:tcW w:type="pct" w:w="55%"/>
            <w:tcMar>
              <w:top w:type="dxa" w:w="40"/>
              <w:left w:type="dxa" w:w="90"/>
              <w:bottom w:type="dxa" w:w="40"/>
              <w:right w:type="dxa" w:w="90"/>
            </w:tcMar>
          </w:tcPr>
          <w:p>
            <w:r>
              <w:rPr>
                <w:b w:val="false"/>
                <w:bCs w:val="false"/>
                <w:color w:val="000000"/>
                <w:sz w:val="20"/>
                <w:szCs w:val="20"/>
              </w:rPr>
              <w:t xml:space="preserve">Active</w:t>
            </w:r>
          </w:p>
        </w:tc>
      </w:tr>
      <w:tr>
        <w:tc>
          <w:tcPr>
            <w:tcW w:type="pct" w:w="45%"/>
            <w:shd w:fill="EEF2F7" w:val="clear"/>
            <w:tcMar>
              <w:top w:type="dxa" w:w="40"/>
              <w:left w:type="dxa" w:w="90"/>
              <w:bottom w:type="dxa" w:w="40"/>
              <w:right w:type="dxa" w:w="90"/>
            </w:tcMar>
          </w:tcPr>
          <w:p>
            <w:r>
              <w:rPr>
                <w:b/>
                <w:bCs/>
                <w:color w:val="000000"/>
                <w:sz w:val="20"/>
                <w:szCs w:val="20"/>
              </w:rPr>
              <w:t xml:space="preserve">Payments</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bl>
    <w:p>
      <w:pPr>
        <w:pStyle w:val="Heading2"/>
        <w:spacing w:after="100" w:before="240"/>
      </w:pPr>
      <w:r>
        <w:rPr>
          <w:b/>
          <w:bCs/>
          <w:color w:val="0B2545"/>
          <w:sz w:val="24"/>
          <w:szCs w:val="24"/>
        </w:rPr>
        <w:t xml:space="preserve">4. Persona coaching lenses</w:t>
      </w:r>
    </w:p>
    <w:p>
      <w:pPr>
        <w:spacing w:after="80"/>
      </w:pPr>
      <w:r>
        <w:rPr>
          <w:i/>
          <w:iCs/>
          <w:color w:val="5A6472"/>
          <w:sz w:val="18"/>
          <w:szCs w:val="18"/>
        </w:rPr>
        <w:t xml:space="preserve">One chip shown on Partner Detail depending on the learner’s chosen super power. Informational only - does not change grading.</w:t>
      </w:r>
    </w:p>
    <w:p>
      <w:pPr>
        <w:spacing w:after="40"/>
      </w:pPr>
      <w:r>
        <w:rPr>
          <w:b/>
          <w:bCs/>
          <w:color w:val="0B2545"/>
          <w:sz w:val="20"/>
          <w:szCs w:val="20"/>
        </w:rPr>
        <w:t xml:space="preserve">Conversation Architect: </w:t>
      </w:r>
      <w:r>
        <w:rPr>
          <w:sz w:val="20"/>
          <w:szCs w:val="20"/>
        </w:rPr>
        <w:t xml:space="preserve">Ethan is green/blue and fed up with OTA noise - acknowledge the frustration first, then land the diagnosis on the European family gap.</w:t>
      </w:r>
    </w:p>
    <w:p>
      <w:pPr>
        <w:spacing w:after="40"/>
      </w:pPr>
      <w:r>
        <w:rPr>
          <w:b/>
          <w:bCs/>
          <w:color w:val="0B2545"/>
          <w:sz w:val="20"/>
          <w:szCs w:val="20"/>
        </w:rPr>
        <w:t xml:space="preserve">Objection Navigator: </w:t>
      </w:r>
      <w:r>
        <w:rPr>
          <w:sz w:val="20"/>
          <w:szCs w:val="20"/>
        </w:rPr>
        <w:t xml:space="preserve">Expect 'it's just demand' and a price-war fear - rule out a price war; it's a targeted EEA family fix, not a blanket cut.</w:t>
      </w:r>
    </w:p>
    <w:p>
      <w:pPr>
        <w:spacing w:after="40"/>
      </w:pPr>
      <w:r>
        <w:rPr>
          <w:b/>
          <w:bCs/>
          <w:color w:val="0B2545"/>
          <w:sz w:val="20"/>
          <w:szCs w:val="20"/>
        </w:rPr>
        <w:t xml:space="preserve">Storyteller: </w:t>
      </w:r>
      <w:r>
        <w:rPr>
          <w:sz w:val="20"/>
          <w:szCs w:val="20"/>
        </w:rPr>
        <w:t xml:space="preserve">Cheap on average, expensive to European families: children charged as adults plus a missing EEA country rate index families +12%.</w:t>
      </w:r>
    </w:p>
    <w:p>
      <w:pPr>
        <w:spacing w:after="40"/>
      </w:pPr>
      <w:r>
        <w:rPr>
          <w:b/>
          <w:bCs/>
          <w:color w:val="0B2545"/>
          <w:sz w:val="20"/>
          <w:szCs w:val="20"/>
        </w:rPr>
        <w:t xml:space="preserve">Data Detective: </w:t>
      </w:r>
      <w:r>
        <w:rPr>
          <w:sz w:val="20"/>
          <w:szCs w:val="20"/>
        </w:rPr>
        <w:t xml:space="preserve">Anomaly: 21% unsold and sell-through -13% while search price is only +4% overall - the gap hides at +12% in European family searches.</w:t>
      </w:r>
    </w:p>
    <w:p>
      <w:pPr>
        <w:pStyle w:val="Heading2"/>
        <w:spacing w:after="100" w:before="240"/>
      </w:pPr>
      <w:r>
        <w:rPr>
          <w:b/>
          <w:bCs/>
          <w:color w:val="0B2545"/>
          <w:sz w:val="24"/>
          <w:szCs w:val="24"/>
        </w:rPr>
        <w:t xml:space="preserve">5. Prescribed Pricing Diagnostic to Pitch Flow (Coach answer key)</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Trigger</w:t>
            </w:r>
          </w:p>
        </w:tc>
        <w:tc>
          <w:tcPr>
            <w:tcW w:type="pct" w:w="55%"/>
            <w:shd w:fill="EEF2F7" w:val="clear"/>
            <w:tcMar>
              <w:top w:type="dxa" w:w="40"/>
              <w:left w:type="dxa" w:w="90"/>
              <w:bottom w:type="dxa" w:w="40"/>
              <w:right w:type="dxa" w:w="90"/>
            </w:tcMar>
          </w:tcPr>
          <w:p>
            <w:r>
              <w:rPr>
                <w:b w:val="false"/>
                <w:bCs w:val="false"/>
                <w:color w:val="000000"/>
                <w:sz w:val="20"/>
                <w:szCs w:val="20"/>
              </w:rPr>
              <w:t xml:space="preserve">pricing-signal</w:t>
            </w:r>
          </w:p>
        </w:tc>
      </w:tr>
      <w:tr>
        <w:tc>
          <w:tcPr>
            <w:tcW w:type="pct" w:w="45%"/>
            <w:tcMar>
              <w:top w:type="dxa" w:w="40"/>
              <w:left w:type="dxa" w:w="90"/>
              <w:bottom w:type="dxa" w:w="40"/>
              <w:right w:type="dxa" w:w="90"/>
            </w:tcMar>
          </w:tcPr>
          <w:p>
            <w:r>
              <w:rPr>
                <w:b/>
                <w:bCs/>
                <w:color w:val="000000"/>
                <w:sz w:val="20"/>
                <w:szCs w:val="20"/>
              </w:rPr>
              <w:t xml:space="preserve">Issue</w:t>
            </w:r>
          </w:p>
        </w:tc>
        <w:tc>
          <w:tcPr>
            <w:tcW w:type="pct" w:w="55%"/>
            <w:tcMar>
              <w:top w:type="dxa" w:w="40"/>
              <w:left w:type="dxa" w:w="90"/>
              <w:bottom w:type="dxa" w:w="40"/>
              <w:right w:type="dxa" w:w="90"/>
            </w:tcMar>
          </w:tcPr>
          <w:p>
            <w:r>
              <w:rPr>
                <w:b w:val="false"/>
                <w:bCs w:val="false"/>
                <w:color w:val="000000"/>
                <w:sz w:val="20"/>
                <w:szCs w:val="20"/>
              </w:rPr>
              <w:t xml:space="preserve">key-ota-erpd-not-competitive</w:t>
            </w:r>
          </w:p>
        </w:tc>
      </w:tr>
      <w:tr>
        <w:tc>
          <w:tcPr>
            <w:tcW w:type="pct" w:w="45%"/>
            <w:shd w:fill="EEF2F7" w:val="clear"/>
            <w:tcMar>
              <w:top w:type="dxa" w:w="40"/>
              <w:left w:type="dxa" w:w="90"/>
              <w:bottom w:type="dxa" w:w="40"/>
              <w:right w:type="dxa" w:w="90"/>
            </w:tcMar>
          </w:tcPr>
          <w:p>
            <w:r>
              <w:rPr>
                <w:b/>
                <w:bCs/>
                <w:color w:val="000000"/>
                <w:sz w:val="20"/>
                <w:szCs w:val="20"/>
              </w:rPr>
              <w:t xml:space="preserve">Intent</w:t>
            </w:r>
          </w:p>
        </w:tc>
        <w:tc>
          <w:tcPr>
            <w:tcW w:type="pct" w:w="55%"/>
            <w:shd w:fill="EEF2F7" w:val="clear"/>
            <w:tcMar>
              <w:top w:type="dxa" w:w="40"/>
              <w:left w:type="dxa" w:w="90"/>
              <w:bottom w:type="dxa" w:w="40"/>
              <w:right w:type="dxa" w:w="90"/>
            </w:tcMar>
          </w:tcPr>
          <w:p>
            <w:r>
              <w:rPr>
                <w:b w:val="false"/>
                <w:bCs w:val="false"/>
                <w:color w:val="000000"/>
                <w:sz w:val="20"/>
                <w:szCs w:val="20"/>
              </w:rPr>
              <w:t xml:space="preserve">unintentional</w:t>
            </w:r>
          </w:p>
        </w:tc>
      </w:tr>
      <w:tr>
        <w:tc>
          <w:tcPr>
            <w:tcW w:type="pct" w:w="45%"/>
            <w:tcMar>
              <w:top w:type="dxa" w:w="40"/>
              <w:left w:type="dxa" w:w="90"/>
              <w:bottom w:type="dxa" w:w="40"/>
              <w:right w:type="dxa" w:w="90"/>
            </w:tcMar>
          </w:tcPr>
          <w:p>
            <w:r>
              <w:rPr>
                <w:b/>
                <w:bCs/>
                <w:color w:val="000000"/>
                <w:sz w:val="20"/>
                <w:szCs w:val="20"/>
              </w:rPr>
              <w:t xml:space="preserve">Root cause</w:t>
            </w:r>
          </w:p>
        </w:tc>
        <w:tc>
          <w:tcPr>
            <w:tcW w:type="pct" w:w="55%"/>
            <w:tcMar>
              <w:top w:type="dxa" w:w="40"/>
              <w:left w:type="dxa" w:w="90"/>
              <w:bottom w:type="dxa" w:w="40"/>
              <w:right w:type="dxa" w:w="90"/>
            </w:tcMar>
          </w:tcPr>
          <w:p>
            <w:r>
              <w:rPr>
                <w:b w:val="false"/>
                <w:bCs w:val="false"/>
                <w:color w:val="000000"/>
                <w:sz w:val="20"/>
                <w:szCs w:val="20"/>
              </w:rPr>
              <w:t xml:space="preserve">missing-misaligned-discounts-ota</w:t>
            </w:r>
          </w:p>
        </w:tc>
      </w:tr>
      <w:tr>
        <w:tc>
          <w:tcPr>
            <w:tcW w:type="pct" w:w="45%"/>
            <w:shd w:fill="EEF2F7" w:val="clear"/>
            <w:tcMar>
              <w:top w:type="dxa" w:w="40"/>
              <w:left w:type="dxa" w:w="90"/>
              <w:bottom w:type="dxa" w:w="40"/>
              <w:right w:type="dxa" w:w="90"/>
            </w:tcMar>
          </w:tcPr>
          <w:p>
            <w:r>
              <w:rPr>
                <w:b/>
                <w:bCs/>
                <w:color w:val="000000"/>
                <w:sz w:val="20"/>
                <w:szCs w:val="20"/>
              </w:rPr>
              <w:t xml:space="preserve">Metric insight</w:t>
            </w:r>
          </w:p>
        </w:tc>
        <w:tc>
          <w:tcPr>
            <w:tcW w:type="pct" w:w="55%"/>
            <w:shd w:fill="EEF2F7" w:val="clear"/>
            <w:tcMar>
              <w:top w:type="dxa" w:w="40"/>
              <w:left w:type="dxa" w:w="90"/>
              <w:bottom w:type="dxa" w:w="40"/>
              <w:right w:type="dxa" w:w="90"/>
            </w:tcMar>
          </w:tcPr>
          <w:p>
            <w:r>
              <w:rPr>
                <w:b w:val="false"/>
                <w:bCs w:val="false"/>
                <w:color w:val="000000"/>
                <w:sz w:val="20"/>
                <w:szCs w:val="20"/>
              </w:rPr>
              <w:t xml:space="preserve">non-structural-changing-erpd</w:t>
            </w:r>
          </w:p>
        </w:tc>
      </w:tr>
      <w:tr>
        <w:tc>
          <w:tcPr>
            <w:tcW w:type="pct" w:w="45%"/>
            <w:tcMar>
              <w:top w:type="dxa" w:w="40"/>
              <w:left w:type="dxa" w:w="90"/>
              <w:bottom w:type="dxa" w:w="40"/>
              <w:right w:type="dxa" w:w="90"/>
            </w:tcMar>
          </w:tcPr>
          <w:p>
            <w:r>
              <w:rPr>
                <w:b/>
                <w:bCs/>
                <w:color w:val="000000"/>
                <w:sz w:val="20"/>
                <w:szCs w:val="20"/>
              </w:rPr>
              <w:t xml:space="preserve">Hook</w:t>
            </w:r>
          </w:p>
        </w:tc>
        <w:tc>
          <w:tcPr>
            <w:tcW w:type="pct" w:w="55%"/>
            <w:tcMar>
              <w:top w:type="dxa" w:w="40"/>
              <w:left w:type="dxa" w:w="90"/>
              <w:bottom w:type="dxa" w:w="40"/>
              <w:right w:type="dxa" w:w="90"/>
            </w:tcMar>
          </w:tcPr>
          <w:p>
            <w:r>
              <w:rPr>
                <w:b w:val="false"/>
                <w:bCs w:val="false"/>
                <w:color w:val="000000"/>
                <w:sz w:val="20"/>
                <w:szCs w:val="20"/>
              </w:rPr>
              <w:t xml:space="preserve">deep-discount-or-mdot</w:t>
            </w:r>
          </w:p>
        </w:tc>
      </w:tr>
    </w:tbl>
    <w:p>
      <w:pPr>
        <w:pStyle w:val="Heading2"/>
        <w:spacing w:after="100" w:before="240"/>
      </w:pPr>
      <w:r>
        <w:rPr>
          <w:b/>
          <w:bCs/>
          <w:color w:val="0B2545"/>
          <w:sz w:val="24"/>
          <w:szCs w:val="24"/>
        </w:rPr>
        <w:t xml:space="preserve">6. Conversation (priority partner)</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“Good afternoon, Ethan. Thanks for taking the time to connect. I'd love to review your performance together for the upcoming quarter.”</w:t>
      </w:r>
    </w:p>
    <w:p>
      <w:pPr>
        <w:spacing w:after="60" w:before="200"/>
      </w:pPr>
      <w:r>
        <w:rPr>
          <w:b/>
          <w:bCs/>
          <w:color w:val="F4B400"/>
          <w:sz w:val="22"/>
          <w:szCs w:val="22"/>
        </w:rPr>
        <w:t xml:space="preserve">Step 1</w:t>
      </w:r>
    </w:p>
    <w:p>
      <w:pPr>
        <w:spacing w:after="40"/>
      </w:pPr>
      <w:r>
        <w:rPr>
          <w:b/>
          <w:bCs/>
          <w:color w:val="5A6472"/>
          <w:sz w:val="19"/>
          <w:szCs w:val="19"/>
        </w:rPr>
        <w:t xml:space="preserve">Ethan Nkosi says:</w:t>
      </w:r>
    </w:p>
    <w:p>
      <w:pPr>
        <w:spacing w:after="100"/>
        <w:ind w:left="360"/>
      </w:pPr>
      <w:r>
        <w:rPr>
          <w:i/>
          <w:iCs/>
          <w:color w:val="0B2545"/>
          <w:sz w:val="20"/>
          <w:szCs w:val="20"/>
        </w:rPr>
        <w:t xml:space="preserve">“Good afternoon, Diego. Yes, I have our PMS open. But to be frank, I'm still dealing with a lot of noise from other OTAs complaining about price competitiveness, even though I give everyone the exact same rate. That really bothers me given the operational effort it takes. I hope you're not bringing the same thing here...”</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 completely understand how frustrating that noise is. Let's set it aside and look at your own performance. Over the next 90 days your sell-through is pacing about 13% behind your peer group, and last month you had around 21% of rooms left unsold. That's revenue that could have been captured.”</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“21% unsold inventory... Let's look at the broader picture, Diego. Our page views are positive, and when guests land on our page our conversion is solid. If our sell-through is slow, isn't that just a consequence of the general drop in demand?”</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“Well, the other OTAs aren't wrong about this, Ethan - your competitiveness really is the issue, and it's showing up clearly in your own numbers here too, not just in their complaints. It's not noise, it's a real pattern, and it's something you're going to have to face up to and address sooner rather than later.”</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“So you ARE bringing the same thing here. This is exactly the conversation I was hoping to avoid.”</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simplest way to get those rooms moving is to bring your rate down a bit here - if you shave a little off your price you'll stop losing those bookings to the competition, and the unsold inventory should start clearing on its own fairly quickly. Honestly, that's the quickest fix I can point you to today.”</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“So your answer is 'drop your price' too. I give everyone the same rate for a reason - I'm not starting a price war.”</w:t>
      </w:r>
    </w:p>
    <w:p>
      <w:pPr>
        <w:spacing w:after="60" w:before="200"/>
      </w:pPr>
      <w:r>
        <w:rPr>
          <w:b/>
          <w:bCs/>
          <w:color w:val="F4B400"/>
          <w:sz w:val="22"/>
          <w:szCs w:val="22"/>
        </w:rPr>
        <w:t xml:space="preserve">Step 2</w:t>
      </w:r>
    </w:p>
    <w:p>
      <w:pPr>
        <w:spacing w:after="40"/>
      </w:pPr>
      <w:r>
        <w:rPr>
          <w:b/>
          <w:bCs/>
          <w:color w:val="5A6472"/>
          <w:sz w:val="19"/>
          <w:szCs w:val="19"/>
        </w:rPr>
        <w:t xml:space="preserve">Ethan Nkosi says:</w:t>
      </w:r>
    </w:p>
    <w:p>
      <w:pPr>
        <w:spacing w:after="100"/>
        <w:ind w:left="360"/>
      </w:pPr>
      <w:r>
        <w:rPr>
          <w:i/>
          <w:iCs/>
          <w:color w:val="0B2545"/>
          <w:sz w:val="20"/>
          <w:szCs w:val="20"/>
        </w:rPr>
        <w:t xml:space="preserve">“21% unsold inventory... Let's look at the broader picture, Diego. Our page views are positive, and when guests land on our page our conversion is solid. If our sell-through is slow, isn't that just a consequence of the general drop in demand?”</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“It's tempting to read it as demand, but your sell-through is behind because other properties are capturing that same demand. Travelers do show interest in you - they just drop off right before booking, because your search price is sitting above your competitors'.”</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“How much higher? I'm not going to start a price war and slash our rates just to match competitors.”</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 could well be right - demand is softer just about everywhere at the moment, so honestly a good part of this is probably just the market cooling off rather than anything on your side. Most properties are feeling the same squeeze, so I'd say we ride it out.”</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“Good, that's what I thought. So we ride it out until demand picks back up.”</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“Here's the reality: for as long as you're priced above your peers, the platform is going to keep sliding you further down the search results, and once that slide starts it's hard to pull back. You won't just lose this quarter - you'll lose visibility it took you years to build.”</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“So drop my price or you sink my ranking. That's not the partnership I signed up for.”</w:t>
      </w:r>
    </w:p>
    <w:p>
      <w:pPr>
        <w:spacing w:after="60" w:before="200"/>
      </w:pPr>
      <w:r>
        <w:rPr>
          <w:b/>
          <w:bCs/>
          <w:color w:val="F4B400"/>
          <w:sz w:val="22"/>
          <w:szCs w:val="22"/>
        </w:rPr>
        <w:t xml:space="preserve">Step 3</w:t>
      </w:r>
    </w:p>
    <w:p>
      <w:pPr>
        <w:spacing w:after="40"/>
      </w:pPr>
      <w:r>
        <w:rPr>
          <w:b/>
          <w:bCs/>
          <w:color w:val="5A6472"/>
          <w:sz w:val="19"/>
          <w:szCs w:val="19"/>
        </w:rPr>
        <w:t xml:space="preserve">Ethan Nkosi says:</w:t>
      </w:r>
    </w:p>
    <w:p>
      <w:pPr>
        <w:spacing w:after="100"/>
        <w:ind w:left="360"/>
      </w:pPr>
      <w:r>
        <w:rPr>
          <w:i/>
          <w:iCs/>
          <w:color w:val="0B2545"/>
          <w:sz w:val="20"/>
          <w:szCs w:val="20"/>
        </w:rPr>
        <w:t xml:space="preserve">“How much higher? I'm not going to start a price war and slash our rates just to match competitors.”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“A price war isn't what I'd recommend at all. The overall gap is only around 5%, but it lands hardest on specific high-value segments - that's where the demand is hardest to convert. The aim is to recover that conversion and reduce your unsold inventory, not to touch your rate everywhere.”</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“Alright. So where does this gap actually sit in the data?”</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it's only about 5%, so it's really not a big deal in the grand scheme of things - a small nudge here or there would sort it out if you ever fancied it, but I wouldn't lose any sleep over a number that size. Plenty of properties sit around that gap and do perfectly well, so it's very much a take-it-or-leave-it thing.”</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“If it's that small, then I'll leave it - no point fiddling with my rates over a rounding error.”</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“It's about 5% - so the straightforward move is to bring your rate down that 5% and line yourself right up with what your competitors are charging. Once you're matched to them on price the bookings will follow, because there'll be nothing left holding those travelers back from choosing you over the property next door.”</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“That's the price war I just told you I won't fight. Matching everyone else isn't a strategy.”</w:t>
      </w:r>
    </w:p>
    <w:p>
      <w:pPr>
        <w:spacing w:after="60" w:before="200"/>
      </w:pPr>
      <w:r>
        <w:rPr>
          <w:b/>
          <w:bCs/>
          <w:color w:val="F4B400"/>
          <w:sz w:val="22"/>
          <w:szCs w:val="22"/>
        </w:rPr>
        <w:t xml:space="preserve">Step 4</w:t>
      </w:r>
    </w:p>
    <w:p>
      <w:pPr>
        <w:spacing w:after="40"/>
      </w:pPr>
      <w:r>
        <w:rPr>
          <w:b/>
          <w:bCs/>
          <w:color w:val="5A6472"/>
          <w:sz w:val="19"/>
          <w:szCs w:val="19"/>
        </w:rPr>
        <w:t xml:space="preserve">Ethan Nkosi says:</w:t>
      </w:r>
    </w:p>
    <w:p>
      <w:pPr>
        <w:spacing w:after="100"/>
        <w:ind w:left="360"/>
      </w:pPr>
      <w:r>
        <w:rPr>
          <w:i/>
          <w:iCs/>
          <w:color w:val="0B2545"/>
          <w:sz w:val="20"/>
          <w:szCs w:val="20"/>
        </w:rPr>
        <w:t xml:space="preserve">“Alright. So where does this gap actually sit in the data?”</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“It's concentrated in European family searches. For those queries your search price comes up about 12% higher than your peer group - because children are currently being charged as adults, from a misconfiguration in your extranet. That 12% is what pushes those bookers to abandon and pick a competitor.”</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“Sorry Diego, I thought we already worked on the family segment to make the property attractive for families - it's a high-spending, growing segment. Is that still not working properly?”</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“It's honestly hard to pin down to one single thing - it's really spread across a few different traveler segments where you're coming up a bit more expensive than your peers. Broadly speaking you're just a little less competitive than you'd ideally want to be, so it's more of a general pattern than one specific gap I can point to.”</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“'A few segments' and 'broadly' doesn't give me anything to act on. Where exactly is the money going?”</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“Frankly, this is exactly the sort of setup your own team really should have caught long before now - your family rates are a bit of a mess, and that carelessness has quietly been costing you bookings for quite a while. A closer eye on the extranet configuration would have flagged it long ago.”</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“A mess? We put real work into that setup. I don't appreciate the tone.”</w:t>
      </w:r>
    </w:p>
    <w:p>
      <w:pPr>
        <w:spacing w:after="60" w:before="200"/>
      </w:pPr>
      <w:r>
        <w:rPr>
          <w:b/>
          <w:bCs/>
          <w:color w:val="F4B400"/>
          <w:sz w:val="22"/>
          <w:szCs w:val="22"/>
        </w:rPr>
        <w:t xml:space="preserve">Step 5</w:t>
      </w:r>
    </w:p>
    <w:p>
      <w:pPr>
        <w:spacing w:after="40"/>
      </w:pPr>
      <w:r>
        <w:rPr>
          <w:b/>
          <w:bCs/>
          <w:color w:val="5A6472"/>
          <w:sz w:val="19"/>
          <w:szCs w:val="19"/>
        </w:rPr>
        <w:t xml:space="preserve">Ethan Nkosi says:</w:t>
      </w:r>
    </w:p>
    <w:p>
      <w:pPr>
        <w:spacing w:after="100"/>
        <w:ind w:left="360"/>
      </w:pPr>
      <w:r>
        <w:rPr>
          <w:i/>
          <w:iCs/>
          <w:color w:val="0B2545"/>
          <w:sz w:val="20"/>
          <w:szCs w:val="20"/>
        </w:rPr>
        <w:t xml:space="preserve">“Sorry Diego, I thought we already worked on the family segment to make the property attractive for families - it's a high-spending, growing segment. Is that still not working properly?”</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“It's not the family rates on their own. The gap is really driven by a missing EEA Country Rate - and the EEA is exactly the market most of these families are booking from at the moment. So even with the family setup fixed, that market is where you're coming up short.”</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“That makes sense from a data perspective. But a 12% gap is quite high - how do we close it without applying higher discounts?”</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“You've basically got it already - just go back and re-check your family rate configuration end to end, make sure the child settings are right, and that on its own should be enough to close the whole gap. Once the family setup is clean I'd expect those European bookers to start converting again.”</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“We've been over the family config already, though. If that were the whole story, wouldn't it be fixed by now?”</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safest way to be really sure is to put a solid discount across the whole EEA market - not a targeted tweak but a proper blanket cut for that region. If you go big enough on it, the gap closes for certain and you don't have to worry about whether it was quite enough.”</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“That's the higher-discount route I just said I want to avoid. There must be a smarter way than that.”</w:t>
      </w:r>
    </w:p>
    <w:p>
      <w:pPr>
        <w:spacing w:after="60" w:before="200"/>
      </w:pPr>
      <w:r>
        <w:rPr>
          <w:b/>
          <w:bCs/>
          <w:color w:val="F4B400"/>
          <w:sz w:val="22"/>
          <w:szCs w:val="22"/>
        </w:rPr>
        <w:t xml:space="preserve">Step 6</w:t>
      </w:r>
    </w:p>
    <w:p>
      <w:pPr>
        <w:spacing w:after="40"/>
      </w:pPr>
      <w:r>
        <w:rPr>
          <w:b/>
          <w:bCs/>
          <w:color w:val="5A6472"/>
          <w:sz w:val="19"/>
          <w:szCs w:val="19"/>
        </w:rPr>
        <w:t xml:space="preserve">Ethan Nkosi says:</w:t>
      </w:r>
    </w:p>
    <w:p>
      <w:pPr>
        <w:spacing w:after="100"/>
        <w:ind w:left="360"/>
      </w:pPr>
      <w:r>
        <w:rPr>
          <w:i/>
          <w:iCs/>
          <w:color w:val="0B2545"/>
          <w:sz w:val="20"/>
          <w:szCs w:val="20"/>
        </w:rPr>
        <w:t xml:space="preserve">“That makes sense from a data perspective. But a 12% gap is quite high - how do we close it without applying higher discounts?”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“It's easier than it seems. You already run a mobile rate - a 10% discount on mobile bookings - and Country Rates don't stack with it. So an EEA Country Rate just opens the same door to European families booking on desktop, at the same discount, with nothing added on top. And you can still fence it by stay dates, rate plans or minimum stays. Let's switch it on and review the European family recovery next time.”</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“Ok, now it's clearer - and I got very good results from that mobile rate, so I'll give this a try too. Let's monitor it and see you next time.”</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“Just go ahead and switch the Country Rate on - honestly, I wouldn't worry too much about how it interacts with your mobile rate or any of your other rates, it tends to sort itself out once it's live. Plenty of partners just turn it on and monitor the results from there rather than getting bogged down in the mechanics up front. Get it live, keep an eye on the European family bookings, and we can always fine-tune it later if anything looks off.”</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“'Don't worry about it' is how I end up double-discounting. Does it stack with my mobile rate or not?”</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“Great - and honestly, let's not stop at the EEA while we've got the momentum. If a Country Rate works for European families, there's no reason to keep it boxed in there - let's roll country rates out across every one of your source markets at once, top to bottom, so we really move the numbers this quarter instead of nudging one segment. Switch the whole lot on together and you'll see a much bigger swing than tinkering with just the EEA on its own.”</w:t>
      </w:r>
    </w:p>
    <w:p>
      <w:pPr>
        <w:spacing w:after="20"/>
        <w:ind w:left="360"/>
      </w:pPr>
      <w:r>
        <w:rPr>
          <w:b/>
          <w:bCs/>
          <w:color w:val="5A6472"/>
          <w:sz w:val="18"/>
          <w:szCs w:val="18"/>
        </w:rPr>
        <w:t xml:space="preserve">Ethan Nkosi responds:</w:t>
      </w:r>
    </w:p>
    <w:p>
      <w:pPr>
        <w:spacing w:after="100"/>
        <w:ind w:left="360"/>
      </w:pPr>
      <w:r>
        <w:rPr>
          <w:i/>
          <w:iCs/>
          <w:color w:val="0B2545"/>
          <w:sz w:val="20"/>
          <w:szCs w:val="20"/>
        </w:rPr>
        <w:t xml:space="preserve">“Slow down - I agreed to try the EEA one for the family gap, not to discount every market at once.”</w:t>
      </w:r>
    </w:p>
    <w:p>
      <w:r>
        <w:br w:type="page"/>
      </w:r>
    </w:p>
    <w:p>
      <w:pPr>
        <w:shd w:fill="0B2545" w:val="clear"/>
        <w:spacing w:after="60" w:before="120"/>
      </w:pPr>
      <w:r>
        <w:rPr>
          <w:b/>
          <w:bCs/>
          <w:color w:val="FFFFFF"/>
          <w:sz w:val="30"/>
          <w:szCs w:val="30"/>
        </w:rPr>
        <w:t xml:space="preserve">  ROUND 18  -  The Hidden Valley Resort  -  No Parity  </w:t>
      </w:r>
    </w:p>
    <w:p>
      <w:pPr>
        <w:pBdr>
          <w:bottom w:val="single" w:color="F4B400" w:sz="6"/>
        </w:pBdr>
        <w:spacing w:after="120" w:before="120"/>
      </w:pPr>
    </w:p>
    <w:p>
      <w:pPr>
        <w:pStyle w:val="Heading2"/>
        <w:spacing w:after="100" w:before="240"/>
      </w:pPr>
      <w:r>
        <w:rPr>
          <w:b/>
          <w:bCs/>
          <w:color w:val="0B2545"/>
          <w:sz w:val="24"/>
          <w:szCs w:val="24"/>
        </w:rPr>
        <w:t xml:space="preserve">1. Scenario overview</w:t>
      </w:r>
    </w:p>
    <w:p>
      <w:pPr>
        <w:spacing w:after="40"/>
      </w:pPr>
      <w:r>
        <w:rPr>
          <w:b/>
          <w:bCs/>
          <w:color w:val="0B2545"/>
          <w:sz w:val="20"/>
          <w:szCs w:val="20"/>
        </w:rPr>
        <w:t xml:space="preserve">Property: </w:t>
      </w:r>
      <w:r>
        <w:rPr>
          <w:sz w:val="20"/>
          <w:szCs w:val="20"/>
        </w:rPr>
        <w:t xml:space="preserve">The Hidden Valley Resort</w:t>
      </w:r>
    </w:p>
    <w:p>
      <w:pPr>
        <w:spacing w:after="40"/>
      </w:pPr>
      <w:r>
        <w:rPr>
          <w:b/>
          <w:bCs/>
          <w:color w:val="0B2545"/>
          <w:sz w:val="20"/>
          <w:szCs w:val="20"/>
        </w:rPr>
        <w:t xml:space="preserve">Point of contact: </w:t>
      </w:r>
      <w:r>
        <w:rPr>
          <w:sz w:val="20"/>
          <w:szCs w:val="20"/>
        </w:rPr>
        <w:t xml:space="preserve">Claire Thornton</w:t>
      </w:r>
    </w:p>
    <w:p>
      <w:pPr>
        <w:spacing w:after="40"/>
      </w:pPr>
      <w:r>
        <w:rPr>
          <w:b/>
          <w:bCs/>
          <w:color w:val="0B2545"/>
          <w:sz w:val="20"/>
          <w:szCs w:val="20"/>
        </w:rPr>
        <w:t xml:space="preserve">Property type: </w:t>
      </w:r>
      <w:r>
        <w:rPr>
          <w:sz w:val="20"/>
          <w:szCs w:val="20"/>
        </w:rPr>
        <w:t xml:space="preserve">Resort</w:t>
      </w:r>
    </w:p>
    <w:p>
      <w:pPr>
        <w:spacing w:after="40"/>
      </w:pPr>
      <w:r>
        <w:rPr>
          <w:b/>
          <w:bCs/>
          <w:color w:val="0B2545"/>
          <w:sz w:val="20"/>
          <w:szCs w:val="20"/>
        </w:rPr>
        <w:t xml:space="preserve">Location: </w:t>
      </w:r>
      <w:r>
        <w:rPr>
          <w:sz w:val="20"/>
          <w:szCs w:val="20"/>
        </w:rPr>
        <w:t xml:space="preserve">Altenstrad, Federal Republic of Eldon</w:t>
      </w:r>
    </w:p>
    <w:p>
      <w:pPr>
        <w:spacing w:after="40"/>
      </w:pPr>
      <w:r>
        <w:rPr>
          <w:b/>
          <w:bCs/>
          <w:color w:val="0B2545"/>
          <w:sz w:val="20"/>
          <w:szCs w:val="20"/>
        </w:rPr>
        <w:t xml:space="preserve">Size: </w:t>
      </w:r>
      <w:r>
        <w:rPr>
          <w:sz w:val="20"/>
          <w:szCs w:val="20"/>
        </w:rPr>
        <w:t xml:space="preserve">77 rooms</w:t>
      </w:r>
    </w:p>
    <w:p>
      <w:pPr>
        <w:spacing w:after="40"/>
      </w:pPr>
      <w:r>
        <w:rPr>
          <w:b/>
          <w:bCs/>
          <w:color w:val="0B2545"/>
          <w:sz w:val="20"/>
          <w:szCs w:val="20"/>
        </w:rPr>
        <w:t xml:space="preserve">Communication style: </w:t>
      </w:r>
      <w:r>
        <w:rPr>
          <w:sz w:val="20"/>
          <w:szCs w:val="20"/>
        </w:rPr>
        <w:t xml:space="preserve">Thinker (blue) primary, Director (red) secondary</w:t>
      </w:r>
    </w:p>
    <w:p>
      <w:pPr>
        <w:spacing w:after="40"/>
      </w:pPr>
      <w:r>
        <w:rPr>
          <w:b/>
          <w:bCs/>
          <w:color w:val="0B2545"/>
          <w:sz w:val="20"/>
          <w:szCs w:val="20"/>
        </w:rPr>
        <w:t xml:space="preserve">Parity regime: </w:t>
      </w:r>
      <w:r>
        <w:rPr>
          <w:sz w:val="20"/>
          <w:szCs w:val="20"/>
        </w:rPr>
        <w:t xml:space="preserve">No Parity</w:t>
      </w:r>
    </w:p>
    <w:p>
      <w:pPr>
        <w:spacing w:after="60" w:before="180"/>
      </w:pPr>
      <w:r>
        <w:rPr>
          <w:b/>
          <w:bCs/>
          <w:caps/>
          <w:color w:val="5A6472"/>
          <w:sz w:val="20"/>
          <w:szCs w:val="20"/>
        </w:rPr>
        <w:t xml:space="preserve">Profile</w:t>
      </w:r>
    </w:p>
    <w:p>
      <w:pPr>
        <w:spacing w:after="80"/>
      </w:pPr>
      <w:r>
        <w:rPr>
          <w:sz w:val="20"/>
          <w:szCs w:val="20"/>
        </w:rPr>
        <w:t xml:space="preserve">Revenue Manager at a franchise property with limited local autonomy - she works to a central, brand-mandated policy and leads with the data. Head office keeps the direct site cheaper by design to 'own' the guest, and she reads Booking Sponsored Benefit as Booking.com taking control of her price. She guards her brand reputation closely and won't be rushed into a decision.</w:t>
      </w:r>
    </w:p>
    <w:p>
      <w:pPr>
        <w:spacing w:after="60" w:before="180"/>
      </w:pPr>
      <w:r>
        <w:rPr>
          <w:b/>
          <w:bCs/>
          <w:caps/>
          <w:color w:val="5A6472"/>
          <w:sz w:val="20"/>
          <w:szCs w:val="20"/>
        </w:rPr>
        <w:t xml:space="preserve">Commercial goal</w:t>
      </w:r>
    </w:p>
    <w:p>
      <w:pPr>
        <w:spacing w:after="80"/>
      </w:pPr>
      <w:r>
        <w:rPr>
          <w:sz w:val="20"/>
          <w:szCs w:val="20"/>
        </w:rPr>
        <w:t xml:space="preserve">Protect brand reputation and direct-booking share while staying compliant with head-office pricing policy</w:t>
      </w:r>
    </w:p>
    <w:p>
      <w:pPr>
        <w:pStyle w:val="Heading2"/>
        <w:spacing w:after="100" w:before="240"/>
      </w:pPr>
      <w:r>
        <w:rPr>
          <w:b/>
          <w:bCs/>
          <w:color w:val="0B2545"/>
          <w:sz w:val="24"/>
          <w:szCs w:val="24"/>
        </w:rPr>
        <w:t xml:space="preserve">2. Portfolio card (what the learner sees before opening)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Name</w:t>
            </w:r>
          </w:p>
        </w:tc>
        <w:tc>
          <w:tcPr>
            <w:tcW w:type="pct" w:w="55%"/>
            <w:shd w:fill="EEF2F7" w:val="clear"/>
            <w:tcMar>
              <w:top w:type="dxa" w:w="40"/>
              <w:left w:type="dxa" w:w="90"/>
              <w:bottom w:type="dxa" w:w="40"/>
              <w:right w:type="dxa" w:w="90"/>
            </w:tcMar>
          </w:tcPr>
          <w:p>
            <w:r>
              <w:rPr>
                <w:b w:val="false"/>
                <w:bCs w:val="false"/>
                <w:color w:val="000000"/>
                <w:sz w:val="20"/>
                <w:szCs w:val="20"/>
              </w:rPr>
              <w:t xml:space="preserve">The Hidden Valley Resort</w:t>
            </w:r>
          </w:p>
        </w:tc>
      </w:tr>
      <w:tr>
        <w:tc>
          <w:tcPr>
            <w:tcW w:type="pct" w:w="45%"/>
            <w:tcMar>
              <w:top w:type="dxa" w:w="40"/>
              <w:left w:type="dxa" w:w="90"/>
              <w:bottom w:type="dxa" w:w="40"/>
              <w:right w:type="dxa" w:w="90"/>
            </w:tcMar>
          </w:tcPr>
          <w:p>
            <w:r>
              <w:rPr>
                <w:b/>
                <w:bCs/>
                <w:color w:val="000000"/>
                <w:sz w:val="20"/>
                <w:szCs w:val="20"/>
              </w:rPr>
              <w:t xml:space="preserve">Property type</w:t>
            </w:r>
          </w:p>
        </w:tc>
        <w:tc>
          <w:tcPr>
            <w:tcW w:type="pct" w:w="55%"/>
            <w:tcMar>
              <w:top w:type="dxa" w:w="40"/>
              <w:left w:type="dxa" w:w="90"/>
              <w:bottom w:type="dxa" w:w="40"/>
              <w:right w:type="dxa" w:w="90"/>
            </w:tcMar>
          </w:tcPr>
          <w:p>
            <w:r>
              <w:rPr>
                <w:b w:val="false"/>
                <w:bCs w:val="false"/>
                <w:color w:val="000000"/>
                <w:sz w:val="20"/>
                <w:szCs w:val="20"/>
              </w:rPr>
              <w:t xml:space="preserve">Resort</w:t>
            </w:r>
          </w:p>
        </w:tc>
      </w:tr>
      <w:tr>
        <w:tc>
          <w:tcPr>
            <w:tcW w:type="pct" w:w="45%"/>
            <w:shd w:fill="EEF2F7" w:val="clear"/>
            <w:tcMar>
              <w:top w:type="dxa" w:w="40"/>
              <w:left w:type="dxa" w:w="90"/>
              <w:bottom w:type="dxa" w:w="40"/>
              <w:right w:type="dxa" w:w="90"/>
            </w:tcMar>
          </w:tcPr>
          <w:p>
            <w:r>
              <w:rPr>
                <w:b/>
                <w:bCs/>
                <w:color w:val="000000"/>
                <w:sz w:val="20"/>
                <w:szCs w:val="20"/>
              </w:rPr>
              <w:t xml:space="preserve">Rooms</w:t>
            </w:r>
          </w:p>
        </w:tc>
        <w:tc>
          <w:tcPr>
            <w:tcW w:type="pct" w:w="55%"/>
            <w:shd w:fill="EEF2F7" w:val="clear"/>
            <w:tcMar>
              <w:top w:type="dxa" w:w="40"/>
              <w:left w:type="dxa" w:w="90"/>
              <w:bottom w:type="dxa" w:w="40"/>
              <w:right w:type="dxa" w:w="90"/>
            </w:tcMar>
          </w:tcPr>
          <w:p>
            <w:r>
              <w:rPr>
                <w:b w:val="false"/>
                <w:bCs w:val="false"/>
                <w:color w:val="000000"/>
                <w:sz w:val="20"/>
                <w:szCs w:val="20"/>
              </w:rPr>
              <w:t xml:space="preserve">77 rooms</w:t>
            </w:r>
          </w:p>
        </w:tc>
      </w:tr>
      <w:tr>
        <w:tc>
          <w:tcPr>
            <w:tcW w:type="pct" w:w="45%"/>
            <w:tcMar>
              <w:top w:type="dxa" w:w="40"/>
              <w:left w:type="dxa" w:w="90"/>
              <w:bottom w:type="dxa" w:w="40"/>
              <w:right w:type="dxa" w:w="90"/>
            </w:tcMar>
          </w:tcPr>
          <w:p>
            <w:r>
              <w:rPr>
                <w:b/>
                <w:bCs/>
                <w:color w:val="000000"/>
                <w:sz w:val="20"/>
                <w:szCs w:val="20"/>
              </w:rPr>
              <w:t xml:space="preserve">Communication style</w:t>
            </w:r>
          </w:p>
        </w:tc>
        <w:tc>
          <w:tcPr>
            <w:tcW w:type="pct" w:w="55%"/>
            <w:tcMar>
              <w:top w:type="dxa" w:w="40"/>
              <w:left w:type="dxa" w:w="90"/>
              <w:bottom w:type="dxa" w:w="40"/>
              <w:right w:type="dxa" w:w="90"/>
            </w:tcMar>
          </w:tcPr>
          <w:p>
            <w:r>
              <w:rPr>
                <w:b w:val="false"/>
                <w:bCs w:val="false"/>
                <w:color w:val="000000"/>
                <w:sz w:val="20"/>
                <w:szCs w:val="20"/>
              </w:rPr>
              <w:t xml:space="preserve">Thinker (blue)</w:t>
            </w:r>
          </w:p>
        </w:tc>
      </w:tr>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+7.3% (+1.38)</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7,100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+7.3%</w:t>
            </w:r>
          </w:p>
        </w:tc>
      </w:tr>
      <w:tr>
        <w:tc>
          <w:tcPr>
            <w:tcW w:type="pct" w:w="45%"/>
            <w:tcMar>
              <w:top w:type="dxa" w:w="40"/>
              <w:left w:type="dxa" w:w="90"/>
              <w:bottom w:type="dxa" w:w="40"/>
              <w:right w:type="dxa" w:w="90"/>
            </w:tcMar>
          </w:tcPr>
          <w:p>
            <w:r>
              <w:rPr>
                <w:b/>
                <w:bCs/>
                <w:color w:val="000000"/>
                <w:sz w:val="20"/>
                <w:szCs w:val="20"/>
              </w:rPr>
              <w:t xml:space="preserve">Lose Price</w:t>
            </w:r>
          </w:p>
        </w:tc>
        <w:tc>
          <w:tcPr>
            <w:tcW w:type="pct" w:w="55%"/>
            <w:tcMar>
              <w:top w:type="dxa" w:w="40"/>
              <w:left w:type="dxa" w:w="90"/>
              <w:bottom w:type="dxa" w:w="40"/>
              <w:right w:type="dxa" w:w="90"/>
            </w:tcMar>
          </w:tcPr>
          <w:p>
            <w:r>
              <w:rPr>
                <w:b w:val="false"/>
                <w:bCs w:val="false"/>
                <w:color w:val="000000"/>
                <w:sz w:val="20"/>
                <w:szCs w:val="20"/>
              </w:rPr>
              <w:t xml:space="preserve">50%</w:t>
            </w:r>
          </w:p>
        </w:tc>
      </w:tr>
    </w:tbl>
    <w:p>
      <w:pPr>
        <w:pStyle w:val="Heading2"/>
        <w:spacing w:after="100" w:before="240"/>
      </w:pPr>
      <w:r>
        <w:rPr>
          <w:b/>
          <w:bCs/>
          <w:color w:val="0B2545"/>
          <w:sz w:val="24"/>
          <w:szCs w:val="24"/>
        </w:rPr>
        <w:t xml:space="preserve">3. Partner Detail screen</w:t>
      </w:r>
    </w:p>
    <w:p>
      <w:pPr>
        <w:spacing w:after="60" w:before="180"/>
      </w:pPr>
      <w:r>
        <w:rPr>
          <w:b/>
          <w:bCs/>
          <w:caps/>
          <w:color w:val="5A6472"/>
          <w:sz w:val="20"/>
          <w:szCs w:val="20"/>
        </w:rPr>
        <w:t xml:space="preserve">Driving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+7.3% (+1.38)</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7,100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+7.3%</w:t>
            </w:r>
          </w:p>
        </w:tc>
      </w:tr>
      <w:tr>
        <w:tc>
          <w:tcPr>
            <w:tcW w:type="pct" w:w="45%"/>
            <w:tcMar>
              <w:top w:type="dxa" w:w="40"/>
              <w:left w:type="dxa" w:w="90"/>
              <w:bottom w:type="dxa" w:w="40"/>
              <w:right w:type="dxa" w:w="90"/>
            </w:tcMar>
          </w:tcPr>
          <w:p>
            <w:r>
              <w:rPr>
                <w:b/>
                <w:bCs/>
                <w:color w:val="000000"/>
                <w:sz w:val="20"/>
                <w:szCs w:val="20"/>
              </w:rPr>
              <w:t xml:space="preserve">RPD Loyal</w:t>
            </w:r>
          </w:p>
        </w:tc>
        <w:tc>
          <w:tcPr>
            <w:tcW w:type="pct" w:w="55%"/>
            <w:tcMar>
              <w:top w:type="dxa" w:w="40"/>
              <w:left w:type="dxa" w:w="90"/>
              <w:bottom w:type="dxa" w:w="40"/>
              <w:right w:type="dxa" w:w="90"/>
            </w:tcMar>
          </w:tcPr>
          <w:p>
            <w:r>
              <w:rPr>
                <w:b w:val="false"/>
                <w:bCs w:val="false"/>
                <w:color w:val="000000"/>
                <w:sz w:val="20"/>
                <w:szCs w:val="20"/>
              </w:rPr>
              <w:t xml:space="preserve">+7.3%</w:t>
            </w:r>
          </w:p>
        </w:tc>
      </w:tr>
      <w:tr>
        <w:tc>
          <w:tcPr>
            <w:tcW w:type="pct" w:w="45%"/>
            <w:shd w:fill="EEF2F7" w:val="clear"/>
            <w:tcMar>
              <w:top w:type="dxa" w:w="40"/>
              <w:left w:type="dxa" w:w="90"/>
              <w:bottom w:type="dxa" w:w="40"/>
              <w:right w:type="dxa" w:w="90"/>
            </w:tcMar>
          </w:tcPr>
          <w:p>
            <w:r>
              <w:rPr>
                <w:b/>
                <w:bCs/>
                <w:color w:val="000000"/>
                <w:sz w:val="20"/>
                <w:szCs w:val="20"/>
              </w:rPr>
              <w:t xml:space="preserve">Lose Price</w:t>
            </w:r>
          </w:p>
        </w:tc>
        <w:tc>
          <w:tcPr>
            <w:tcW w:type="pct" w:w="55%"/>
            <w:shd w:fill="EEF2F7" w:val="clear"/>
            <w:tcMar>
              <w:top w:type="dxa" w:w="40"/>
              <w:left w:type="dxa" w:w="90"/>
              <w:bottom w:type="dxa" w:w="40"/>
              <w:right w:type="dxa" w:w="90"/>
            </w:tcMar>
          </w:tcPr>
          <w:p>
            <w:r>
              <w:rPr>
                <w:b w:val="false"/>
                <w:bCs w:val="false"/>
                <w:color w:val="000000"/>
                <w:sz w:val="20"/>
                <w:szCs w:val="20"/>
              </w:rPr>
              <w:t xml:space="preserve">50%</w:t>
            </w:r>
          </w:p>
        </w:tc>
      </w:tr>
      <w:tr>
        <w:tc>
          <w:tcPr>
            <w:tcW w:type="pct" w:w="45%"/>
            <w:tcMar>
              <w:top w:type="dxa" w:w="40"/>
              <w:left w:type="dxa" w:w="90"/>
              <w:bottom w:type="dxa" w:w="40"/>
              <w:right w:type="dxa" w:w="90"/>
            </w:tcMar>
          </w:tcPr>
          <w:p>
            <w:r>
              <w:rPr>
                <w:b/>
                <w:bCs/>
                <w:color w:val="000000"/>
                <w:sz w:val="20"/>
                <w:szCs w:val="20"/>
              </w:rPr>
              <w:t xml:space="preserve">Scenarios</w:t>
            </w:r>
          </w:p>
        </w:tc>
        <w:tc>
          <w:tcPr>
            <w:tcW w:type="pct" w:w="55%"/>
            <w:tcMar>
              <w:top w:type="dxa" w:w="40"/>
              <w:left w:type="dxa" w:w="90"/>
              <w:bottom w:type="dxa" w:w="40"/>
              <w:right w:type="dxa" w:w="90"/>
            </w:tcMar>
          </w:tcPr>
          <w:p>
            <w:r>
              <w:rPr>
                <w:b w:val="false"/>
                <w:bCs w:val="false"/>
                <w:color w:val="000000"/>
                <w:sz w:val="20"/>
                <w:szCs w:val="20"/>
              </w:rPr>
              <w:t xml:space="preserve">3</w:t>
            </w:r>
          </w:p>
        </w:tc>
      </w:tr>
      <w:tr>
        <w:tc>
          <w:tcPr>
            <w:tcW w:type="pct" w:w="45%"/>
            <w:shd w:fill="EEF2F7" w:val="clear"/>
            <w:tcMar>
              <w:top w:type="dxa" w:w="40"/>
              <w:left w:type="dxa" w:w="90"/>
              <w:bottom w:type="dxa" w:w="40"/>
              <w:right w:type="dxa" w:w="90"/>
            </w:tcMar>
          </w:tcPr>
          <w:p>
            <w:r>
              <w:rPr>
                <w:b/>
                <w:bCs/>
                <w:color w:val="000000"/>
                <w:sz w:val="20"/>
                <w:szCs w:val="20"/>
              </w:rPr>
              <w:t xml:space="preserve">Competitor</w:t>
            </w:r>
          </w:p>
        </w:tc>
        <w:tc>
          <w:tcPr>
            <w:tcW w:type="pct" w:w="55%"/>
            <w:shd w:fill="EEF2F7" w:val="clear"/>
            <w:tcMar>
              <w:top w:type="dxa" w:w="40"/>
              <w:left w:type="dxa" w:w="90"/>
              <w:bottom w:type="dxa" w:w="40"/>
              <w:right w:type="dxa" w:w="90"/>
            </w:tcMar>
          </w:tcPr>
          <w:p>
            <w:r>
              <w:rPr>
                <w:b w:val="false"/>
                <w:bCs w:val="false"/>
                <w:color w:val="000000"/>
                <w:sz w:val="20"/>
                <w:szCs w:val="20"/>
              </w:rPr>
              <w:t xml:space="preserve">Brand.com</w:t>
            </w:r>
          </w:p>
        </w:tc>
      </w:tr>
    </w:tbl>
    <w:p>
      <w:pPr>
        <w:spacing w:after="60" w:before="180"/>
      </w:pPr>
      <w:r>
        <w:rPr>
          <w:b/>
          <w:bCs/>
          <w:caps/>
          <w:color w:val="5A6472"/>
          <w:sz w:val="20"/>
          <w:szCs w:val="20"/>
        </w:rPr>
        <w:t xml:space="preserve">eRPD Price Bucket strip</w:t>
      </w:r>
    </w:p>
    <w:p>
      <w:pPr>
        <w:spacing w:after="80"/>
      </w:pPr>
      <w:r>
        <w:rPr>
          <w:b/>
          <w:bCs/>
          <w:color w:val="0B2545"/>
          <w:sz w:val="20"/>
          <w:szCs w:val="20"/>
        </w:rPr>
        <w:t xml:space="preserve">On-screen marker: </w:t>
      </w:r>
      <w:r>
        <w:rPr>
          <w:sz w:val="20"/>
          <w:szCs w:val="20"/>
        </w:rPr>
        <w:t xml:space="preserve">eRPD +7.3%</w:t>
      </w:r>
    </w:p>
    <w:p>
      <w:pPr>
        <w:spacing w:after="80"/>
      </w:pPr>
      <w:r>
        <w:rPr>
          <w:i/>
          <w:iCs/>
          <w:color w:val="5A6472"/>
          <w:sz w:val="18"/>
          <w:szCs w:val="18"/>
        </w:rPr>
        <w:t xml:space="preserve">Shown as a 7-segment green (most competitive) to red (least competitive) strip, with the marker over this partner’s segment. The bucket number is not shown on screen.</w:t>
      </w:r>
    </w:p>
    <w:p>
      <w:pPr>
        <w:spacing w:after="60" w:before="180"/>
      </w:pPr>
      <w:r>
        <w:rPr>
          <w:b/>
          <w:bCs/>
          <w:caps/>
          <w:color w:val="5A6472"/>
          <w:sz w:val="20"/>
          <w:szCs w:val="20"/>
        </w:rPr>
        <w:t xml:space="preserve">Secondary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30D ABRN (vs last year)</w:t>
            </w:r>
          </w:p>
        </w:tc>
        <w:tc>
          <w:tcPr>
            <w:tcW w:type="pct" w:w="55%"/>
            <w:shd w:fill="EEF2F7" w:val="clear"/>
            <w:tcMar>
              <w:top w:type="dxa" w:w="40"/>
              <w:left w:type="dxa" w:w="90"/>
              <w:bottom w:type="dxa" w:w="40"/>
              <w:right w:type="dxa" w:w="90"/>
            </w:tcMar>
          </w:tcPr>
          <w:p>
            <w:r>
              <w:rPr>
                <w:b w:val="false"/>
                <w:bCs w:val="false"/>
                <w:color w:val="000000"/>
                <w:sz w:val="20"/>
                <w:szCs w:val="20"/>
              </w:rPr>
              <w:t xml:space="preserve">255 (+65%)</w:t>
            </w:r>
          </w:p>
        </w:tc>
      </w:tr>
      <w:tr>
        <w:tc>
          <w:tcPr>
            <w:tcW w:type="pct" w:w="45%"/>
            <w:tcMar>
              <w:top w:type="dxa" w:w="40"/>
              <w:left w:type="dxa" w:w="90"/>
              <w:bottom w:type="dxa" w:w="40"/>
              <w:right w:type="dxa" w:w="90"/>
            </w:tcMar>
          </w:tcPr>
          <w:p>
            <w:r>
              <w:rPr>
                <w:b/>
                <w:bCs/>
                <w:color w:val="000000"/>
                <w:sz w:val="20"/>
                <w:szCs w:val="20"/>
              </w:rPr>
              <w:t xml:space="preserve">Last 30D Room Nights (vs peer)</w:t>
            </w:r>
          </w:p>
        </w:tc>
        <w:tc>
          <w:tcPr>
            <w:tcW w:type="pct" w:w="55%"/>
            <w:tcMar>
              <w:top w:type="dxa" w:w="40"/>
              <w:left w:type="dxa" w:w="90"/>
              <w:bottom w:type="dxa" w:w="40"/>
              <w:right w:type="dxa" w:w="90"/>
            </w:tcMar>
          </w:tcPr>
          <w:p>
            <w:r>
              <w:rPr>
                <w:b w:val="false"/>
                <w:bCs w:val="false"/>
                <w:color w:val="000000"/>
                <w:sz w:val="20"/>
                <w:szCs w:val="20"/>
              </w:rPr>
              <w:t xml:space="preserve">324 (-8%)</w:t>
            </w:r>
          </w:p>
        </w:tc>
      </w:tr>
      <w:tr>
        <w:tc>
          <w:tcPr>
            <w:tcW w:type="pct" w:w="45%"/>
            <w:shd w:fill="EEF2F7" w:val="clear"/>
            <w:tcMar>
              <w:top w:type="dxa" w:w="40"/>
              <w:left w:type="dxa" w:w="90"/>
              <w:bottom w:type="dxa" w:w="40"/>
              <w:right w:type="dxa" w:w="90"/>
            </w:tcMar>
          </w:tcPr>
          <w:p>
            <w:r>
              <w:rPr>
                <w:b/>
                <w:bCs/>
                <w:color w:val="000000"/>
                <w:sz w:val="20"/>
                <w:szCs w:val="20"/>
              </w:rPr>
              <w:t xml:space="preserve">Last 30D ADR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165 (+5%)</w:t>
            </w:r>
          </w:p>
        </w:tc>
      </w:tr>
      <w:tr>
        <w:tc>
          <w:tcPr>
            <w:tcW w:type="pct" w:w="45%"/>
            <w:tcMar>
              <w:top w:type="dxa" w:w="40"/>
              <w:left w:type="dxa" w:w="90"/>
              <w:bottom w:type="dxa" w:w="40"/>
              <w:right w:type="dxa" w:w="90"/>
            </w:tcMar>
          </w:tcPr>
          <w:p>
            <w:r>
              <w:rPr>
                <w:b/>
                <w:bCs/>
                <w:color w:val="000000"/>
                <w:sz w:val="20"/>
                <w:szCs w:val="20"/>
              </w:rPr>
              <w:t xml:space="preserve">Last 30D Page Views (vs peer)</w:t>
            </w:r>
          </w:p>
        </w:tc>
        <w:tc>
          <w:tcPr>
            <w:tcW w:type="pct" w:w="55%"/>
            <w:tcMar>
              <w:top w:type="dxa" w:w="40"/>
              <w:left w:type="dxa" w:w="90"/>
              <w:bottom w:type="dxa" w:w="40"/>
              <w:right w:type="dxa" w:w="90"/>
            </w:tcMar>
          </w:tcPr>
          <w:p>
            <w:r>
              <w:rPr>
                <w:b w:val="false"/>
                <w:bCs w:val="false"/>
                <w:color w:val="000000"/>
                <w:sz w:val="20"/>
                <w:szCs w:val="20"/>
              </w:rPr>
              <w:t xml:space="preserve">13668 (+2%)</w:t>
            </w:r>
          </w:p>
        </w:tc>
      </w:tr>
      <w:tr>
        <w:tc>
          <w:tcPr>
            <w:tcW w:type="pct" w:w="45%"/>
            <w:shd w:fill="EEF2F7" w:val="clear"/>
            <w:tcMar>
              <w:top w:type="dxa" w:w="40"/>
              <w:left w:type="dxa" w:w="90"/>
              <w:bottom w:type="dxa" w:w="40"/>
              <w:right w:type="dxa" w:w="90"/>
            </w:tcMar>
          </w:tcPr>
          <w:p>
            <w:r>
              <w:rPr>
                <w:b/>
                <w:bCs/>
                <w:color w:val="000000"/>
                <w:sz w:val="20"/>
                <w:szCs w:val="20"/>
              </w:rPr>
              <w:t xml:space="preserve">Last 30D Conversion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3.4 (-6%)</w:t>
            </w:r>
          </w:p>
        </w:tc>
      </w:tr>
      <w:tr>
        <w:tc>
          <w:tcPr>
            <w:tcW w:type="pct" w:w="45%"/>
            <w:tcMar>
              <w:top w:type="dxa" w:w="40"/>
              <w:left w:type="dxa" w:w="90"/>
              <w:bottom w:type="dxa" w:w="40"/>
              <w:right w:type="dxa" w:w="90"/>
            </w:tcMar>
          </w:tcPr>
          <w:p>
            <w:r>
              <w:rPr>
                <w:b/>
                <w:bCs/>
                <w:color w:val="000000"/>
                <w:sz w:val="20"/>
                <w:szCs w:val="20"/>
              </w:rPr>
              <w:t xml:space="preserve">Next 3M Room Nights (vs peer)</w:t>
            </w:r>
          </w:p>
        </w:tc>
        <w:tc>
          <w:tcPr>
            <w:tcW w:type="pct" w:w="55%"/>
            <w:tcMar>
              <w:top w:type="dxa" w:w="40"/>
              <w:left w:type="dxa" w:w="90"/>
              <w:bottom w:type="dxa" w:w="40"/>
              <w:right w:type="dxa" w:w="90"/>
            </w:tcMar>
          </w:tcPr>
          <w:p>
            <w:r>
              <w:rPr>
                <w:b w:val="false"/>
                <w:bCs w:val="false"/>
                <w:color w:val="000000"/>
                <w:sz w:val="20"/>
                <w:szCs w:val="20"/>
              </w:rPr>
              <w:t xml:space="preserve">222 (-50%)</w:t>
            </w:r>
          </w:p>
        </w:tc>
      </w:tr>
    </w:tbl>
    <w:p>
      <w:pPr>
        <w:spacing w:after="60" w:before="180"/>
      </w:pPr>
      <w:r>
        <w:rPr>
          <w:b/>
          <w:bCs/>
          <w:caps/>
          <w:color w:val="5A6472"/>
          <w:sz w:val="20"/>
          <w:szCs w:val="20"/>
        </w:rPr>
        <w:t xml:space="preserve">On Platform Competitiveness tab (OPC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Unsold Rooms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24</w:t>
            </w:r>
          </w:p>
        </w:tc>
      </w:tr>
      <w:tr>
        <w:tc>
          <w:tcPr>
            <w:tcW w:type="pct" w:w="45%"/>
            <w:tcMar>
              <w:top w:type="dxa" w:w="40"/>
              <w:left w:type="dxa" w:w="90"/>
              <w:bottom w:type="dxa" w:w="40"/>
              <w:right w:type="dxa" w:w="90"/>
            </w:tcMar>
          </w:tcPr>
          <w:p>
            <w:r>
              <w:rPr>
                <w:b/>
                <w:bCs/>
                <w:color w:val="000000"/>
                <w:sz w:val="20"/>
                <w:szCs w:val="20"/>
              </w:rPr>
              <w:t xml:space="preserve">Sell Through Rate (vs peer)</w:t>
            </w:r>
          </w:p>
        </w:tc>
        <w:tc>
          <w:tcPr>
            <w:tcW w:type="pct" w:w="55%"/>
            <w:tcMar>
              <w:top w:type="dxa" w:w="40"/>
              <w:left w:type="dxa" w:w="90"/>
              <w:bottom w:type="dxa" w:w="40"/>
              <w:right w:type="dxa" w:w="90"/>
            </w:tcMar>
          </w:tcPr>
          <w:p>
            <w:r>
              <w:rPr>
                <w:b w:val="false"/>
                <w:bCs w:val="false"/>
                <w:color w:val="000000"/>
                <w:sz w:val="20"/>
                <w:szCs w:val="20"/>
              </w:rPr>
              <w:t xml:space="preserve">-8</w:t>
            </w:r>
          </w:p>
        </w:tc>
      </w:tr>
      <w:tr>
        <w:tc>
          <w:tcPr>
            <w:tcW w:type="pct" w:w="45%"/>
            <w:shd w:fill="EEF2F7" w:val="clear"/>
            <w:tcMar>
              <w:top w:type="dxa" w:w="40"/>
              <w:left w:type="dxa" w:w="90"/>
              <w:bottom w:type="dxa" w:w="40"/>
              <w:right w:type="dxa" w:w="90"/>
            </w:tcMar>
          </w:tcPr>
          <w:p>
            <w:r>
              <w:rPr>
                <w:b/>
                <w:bCs/>
                <w:color w:val="000000"/>
                <w:sz w:val="20"/>
                <w:szCs w:val="20"/>
              </w:rPr>
              <w:t xml:space="preserve">Distribution of Search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Visibility Share (vs peer)</w:t>
            </w:r>
          </w:p>
        </w:tc>
        <w:tc>
          <w:tcPr>
            <w:tcW w:type="pct" w:w="55%"/>
            <w:tcMar>
              <w:top w:type="dxa" w:w="40"/>
              <w:left w:type="dxa" w:w="90"/>
              <w:bottom w:type="dxa" w:w="40"/>
              <w:right w:type="dxa" w:w="90"/>
            </w:tcMar>
          </w:tcPr>
          <w:p>
            <w:r>
              <w:rPr>
                <w:b w:val="false"/>
                <w:bCs w:val="false"/>
                <w:color w:val="000000"/>
                <w:sz w:val="20"/>
                <w:szCs w:val="20"/>
              </w:rPr>
              <w:t xml:space="preserve">21 vs 28 peer</w:t>
            </w:r>
          </w:p>
        </w:tc>
      </w:tr>
      <w:tr>
        <w:tc>
          <w:tcPr>
            <w:tcW w:type="pct" w:w="45%"/>
            <w:shd w:fill="EEF2F7" w:val="clear"/>
            <w:tcMar>
              <w:top w:type="dxa" w:w="40"/>
              <w:left w:type="dxa" w:w="90"/>
              <w:bottom w:type="dxa" w:w="40"/>
              <w:right w:type="dxa" w:w="90"/>
            </w:tcMar>
          </w:tcPr>
          <w:p>
            <w:r>
              <w:rPr>
                <w:b/>
                <w:bCs/>
                <w:color w:val="000000"/>
                <w:sz w:val="20"/>
                <w:szCs w:val="20"/>
              </w:rPr>
              <w:t xml:space="preserve">Click Through Rate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5.4</w:t>
            </w:r>
          </w:p>
        </w:tc>
      </w:tr>
      <w:tr>
        <w:tc>
          <w:tcPr>
            <w:tcW w:type="pct" w:w="45%"/>
            <w:tcMar>
              <w:top w:type="dxa" w:w="40"/>
              <w:left w:type="dxa" w:w="90"/>
              <w:bottom w:type="dxa" w:w="40"/>
              <w:right w:type="dxa" w:w="90"/>
            </w:tcMar>
          </w:tcPr>
          <w:p>
            <w:r>
              <w:rPr>
                <w:b/>
                <w:bCs/>
                <w:color w:val="000000"/>
                <w:sz w:val="20"/>
                <w:szCs w:val="20"/>
              </w:rPr>
              <w:t xml:space="preserve">Conversion (vs peer)</w:t>
            </w:r>
          </w:p>
        </w:tc>
        <w:tc>
          <w:tcPr>
            <w:tcW w:type="pct" w:w="55%"/>
            <w:tcMar>
              <w:top w:type="dxa" w:w="40"/>
              <w:left w:type="dxa" w:w="90"/>
              <w:bottom w:type="dxa" w:w="40"/>
              <w:right w:type="dxa" w:w="90"/>
            </w:tcMar>
          </w:tcPr>
          <w:p>
            <w:r>
              <w:rPr>
                <w:b w:val="false"/>
                <w:bCs w:val="false"/>
                <w:color w:val="000000"/>
                <w:sz w:val="20"/>
                <w:szCs w:val="20"/>
              </w:rPr>
              <w:t xml:space="preserve">1.2</w:t>
            </w:r>
          </w:p>
        </w:tc>
      </w:tr>
      <w:tr>
        <w:tc>
          <w:tcPr>
            <w:tcW w:type="pct" w:w="45%"/>
            <w:shd w:fill="EEF2F7" w:val="clear"/>
            <w:tcMar>
              <w:top w:type="dxa" w:w="40"/>
              <w:left w:type="dxa" w:w="90"/>
              <w:bottom w:type="dxa" w:w="40"/>
              <w:right w:type="dxa" w:w="90"/>
            </w:tcMar>
          </w:tcPr>
          <w:p>
            <w:r>
              <w:rPr>
                <w:b/>
                <w:bCs/>
                <w:color w:val="000000"/>
                <w:sz w:val="20"/>
                <w:szCs w:val="20"/>
              </w:rPr>
              <w:t xml:space="preserve">Search Price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10</w:t>
            </w:r>
          </w:p>
        </w:tc>
      </w:tr>
    </w:tbl>
    <w:p>
      <w:pPr>
        <w:spacing w:after="80"/>
      </w:pPr>
      <w:r>
        <w:rPr>
          <w:i/>
          <w:iCs/>
          <w:color w:val="5A6472"/>
          <w:sz w:val="18"/>
          <w:szCs w:val="18"/>
        </w:rPr>
        <w:t xml:space="preserve">On screen, OPC metrics without a peer figure display a "(xx)" comparator placeholder (peer data still pending SME sign-off).</w:t>
      </w:r>
    </w:p>
    <w:p>
      <w:pPr>
        <w:spacing w:after="60" w:before="180"/>
      </w:pPr>
      <w:r>
        <w:rPr>
          <w:b/>
          <w:bCs/>
          <w:caps/>
          <w:color w:val="5A6472"/>
          <w:sz w:val="20"/>
          <w:szCs w:val="20"/>
        </w:rPr>
        <w:t xml:space="preserve">Profile meta</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Pricing Contact</w:t>
            </w:r>
          </w:p>
        </w:tc>
        <w:tc>
          <w:tcPr>
            <w:tcW w:type="pct" w:w="55%"/>
            <w:shd w:fill="EEF2F7" w:val="clear"/>
            <w:tcMar>
              <w:top w:type="dxa" w:w="40"/>
              <w:left w:type="dxa" w:w="90"/>
              <w:bottom w:type="dxa" w:w="40"/>
              <w:right w:type="dxa" w:w="90"/>
            </w:tcMar>
          </w:tcPr>
          <w:p>
            <w:r>
              <w:rPr>
                <w:b w:val="false"/>
                <w:bCs w:val="false"/>
                <w:color w:val="000000"/>
                <w:sz w:val="20"/>
                <w:szCs w:val="20"/>
              </w:rPr>
              <w:t xml:space="preserve">229 days ago</w:t>
            </w:r>
          </w:p>
        </w:tc>
      </w:tr>
      <w:tr>
        <w:tc>
          <w:tcPr>
            <w:tcW w:type="pct" w:w="45%"/>
            <w:tcMar>
              <w:top w:type="dxa" w:w="40"/>
              <w:left w:type="dxa" w:w="90"/>
              <w:bottom w:type="dxa" w:w="40"/>
              <w:right w:type="dxa" w:w="90"/>
            </w:tcMar>
          </w:tcPr>
          <w:p>
            <w:r>
              <w:rPr>
                <w:b/>
                <w:bCs/>
                <w:color w:val="000000"/>
                <w:sz w:val="20"/>
                <w:szCs w:val="20"/>
              </w:rPr>
              <w:t xml:space="preserve">Pricing Coverage (QTD)</w:t>
            </w:r>
          </w:p>
        </w:tc>
        <w:tc>
          <w:tcPr>
            <w:tcW w:type="pct" w:w="55%"/>
            <w:tcMar>
              <w:top w:type="dxa" w:w="40"/>
              <w:left w:type="dxa" w:w="90"/>
              <w:bottom w:type="dxa" w:w="40"/>
              <w:right w:type="dxa" w:w="90"/>
            </w:tcMar>
          </w:tcPr>
          <w:p>
            <w:r>
              <w:rPr>
                <w:b w:val="false"/>
                <w:bCs w:val="false"/>
                <w:color w:val="000000"/>
                <w:sz w:val="20"/>
                <w:szCs w:val="20"/>
              </w:rPr>
              <w:t xml:space="preserve">0%</w:t>
            </w:r>
          </w:p>
        </w:tc>
      </w:tr>
    </w:tbl>
    <w:p>
      <w:pPr>
        <w:spacing w:after="60" w:before="180"/>
      </w:pPr>
      <w:r>
        <w:rPr>
          <w:b/>
          <w:bCs/>
          <w:caps/>
          <w:color w:val="5A6472"/>
          <w:sz w:val="20"/>
          <w:szCs w:val="20"/>
        </w:rPr>
        <w:t xml:space="preserve">Discount products</w:t>
      </w:r>
    </w:p>
    <w:p>
      <w:pPr>
        <w:spacing w:after="20" w:before="60"/>
      </w:pPr>
      <w:r>
        <w:rPr>
          <w:b/>
          <w:bCs/>
          <w:color w:val="5A6472"/>
          <w:sz w:val="19"/>
          <w:szCs w:val="19"/>
        </w:rPr>
        <w:t xml:space="preserve">Public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Mobile Rates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Country Rates</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Portfolio Deals</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r>
        <w:tc>
          <w:tcPr>
            <w:tcW w:type="pct" w:w="45%"/>
            <w:tcMar>
              <w:top w:type="dxa" w:w="40"/>
              <w:left w:type="dxa" w:w="90"/>
              <w:bottom w:type="dxa" w:w="40"/>
              <w:right w:type="dxa" w:w="90"/>
            </w:tcMar>
          </w:tcPr>
          <w:p>
            <w:r>
              <w:rPr>
                <w:b/>
                <w:bCs/>
                <w:color w:val="000000"/>
                <w:sz w:val="20"/>
                <w:szCs w:val="20"/>
              </w:rPr>
              <w:t xml:space="preserve">Campaigns</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Genius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Genius Program</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Genius 15%</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Genius 20%</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Genius dynamic pricing</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Foundations &amp; Payments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Base Rate Plan</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Family rates</w:t>
            </w:r>
          </w:p>
        </w:tc>
        <w:tc>
          <w:tcPr>
            <w:tcW w:type="pct" w:w="55%"/>
            <w:tcMar>
              <w:top w:type="dxa" w:w="40"/>
              <w:left w:type="dxa" w:w="90"/>
              <w:bottom w:type="dxa" w:w="40"/>
              <w:right w:type="dxa" w:w="90"/>
            </w:tcMar>
          </w:tcPr>
          <w:p>
            <w:r>
              <w:rPr>
                <w:b w:val="false"/>
                <w:bCs w:val="false"/>
                <w:color w:val="000000"/>
                <w:sz w:val="20"/>
                <w:szCs w:val="20"/>
              </w:rPr>
              <w:t xml:space="preserve">Active</w:t>
            </w:r>
          </w:p>
        </w:tc>
      </w:tr>
      <w:tr>
        <w:tc>
          <w:tcPr>
            <w:tcW w:type="pct" w:w="45%"/>
            <w:shd w:fill="EEF2F7" w:val="clear"/>
            <w:tcMar>
              <w:top w:type="dxa" w:w="40"/>
              <w:left w:type="dxa" w:w="90"/>
              <w:bottom w:type="dxa" w:w="40"/>
              <w:right w:type="dxa" w:w="90"/>
            </w:tcMar>
          </w:tcPr>
          <w:p>
            <w:r>
              <w:rPr>
                <w:b/>
                <w:bCs/>
                <w:color w:val="000000"/>
                <w:sz w:val="20"/>
                <w:szCs w:val="20"/>
              </w:rPr>
              <w:t xml:space="preserve">Payments</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bl>
    <w:p>
      <w:pPr>
        <w:pStyle w:val="Heading2"/>
        <w:spacing w:after="100" w:before="240"/>
      </w:pPr>
      <w:r>
        <w:rPr>
          <w:b/>
          <w:bCs/>
          <w:color w:val="0B2545"/>
          <w:sz w:val="24"/>
          <w:szCs w:val="24"/>
        </w:rPr>
        <w:t xml:space="preserve">4. Persona coaching lenses</w:t>
      </w:r>
    </w:p>
    <w:p>
      <w:pPr>
        <w:spacing w:after="80"/>
      </w:pPr>
      <w:r>
        <w:rPr>
          <w:i/>
          <w:iCs/>
          <w:color w:val="5A6472"/>
          <w:sz w:val="18"/>
          <w:szCs w:val="18"/>
        </w:rPr>
        <w:t xml:space="preserve">One chip shown on Partner Detail depending on the learner’s chosen super power. Informational only - does not change grading.</w:t>
      </w:r>
    </w:p>
    <w:p>
      <w:pPr>
        <w:spacing w:after="40"/>
      </w:pPr>
      <w:r>
        <w:rPr>
          <w:b/>
          <w:bCs/>
          <w:color w:val="0B2545"/>
          <w:sz w:val="20"/>
          <w:szCs w:val="20"/>
        </w:rPr>
        <w:t xml:space="preserve">Conversation Architect: </w:t>
      </w:r>
      <w:r>
        <w:rPr>
          <w:sz w:val="20"/>
          <w:szCs w:val="20"/>
        </w:rPr>
        <w:t xml:space="preserve">Claire is blue/red and brand-bound - open partner-led on her priorities, clarify the Booking Sponsored Benefit honestly, then find a compliant workaround.</w:t>
      </w:r>
    </w:p>
    <w:p>
      <w:pPr>
        <w:spacing w:after="40"/>
      </w:pPr>
      <w:r>
        <w:rPr>
          <w:b/>
          <w:bCs/>
          <w:color w:val="0B2545"/>
          <w:sz w:val="20"/>
          <w:szCs w:val="20"/>
        </w:rPr>
        <w:t xml:space="preserve">Objection Navigator: </w:t>
      </w:r>
      <w:r>
        <w:rPr>
          <w:sz w:val="20"/>
          <w:szCs w:val="20"/>
        </w:rPr>
        <w:t xml:space="preserve">Expect head-office ADR rules and a mobile-rate ban - don't push the forbidden tool; optimize her over-restricted early / last-minute deals.</w:t>
      </w:r>
    </w:p>
    <w:p>
      <w:pPr>
        <w:spacing w:after="40"/>
      </w:pPr>
      <w:r>
        <w:rPr>
          <w:b/>
          <w:bCs/>
          <w:color w:val="0B2545"/>
          <w:sz w:val="20"/>
          <w:szCs w:val="20"/>
        </w:rPr>
        <w:t xml:space="preserve">Storyteller: </w:t>
      </w:r>
      <w:r>
        <w:rPr>
          <w:sz w:val="20"/>
          <w:szCs w:val="20"/>
        </w:rPr>
        <w:t xml:space="preserve">Money-in-Bank franchise: 24% unsold accepted as a trade-off, search price +10% even with the Sponsored Benefit, mobile rate blocked by brand rules.</w:t>
      </w:r>
    </w:p>
    <w:p>
      <w:pPr>
        <w:spacing w:after="40"/>
      </w:pPr>
      <w:r>
        <w:rPr>
          <w:b/>
          <w:bCs/>
          <w:color w:val="0B2545"/>
          <w:sz w:val="20"/>
          <w:szCs w:val="20"/>
        </w:rPr>
        <w:t xml:space="preserve">Data Detective: </w:t>
      </w:r>
      <w:r>
        <w:rPr>
          <w:sz w:val="20"/>
          <w:szCs w:val="20"/>
        </w:rPr>
        <w:t xml:space="preserve">Anomaly: visibility 21% vs 28% peer and search price +10% despite the Booking Sponsored Benefit - the residual gap is what caps her.</w:t>
      </w:r>
    </w:p>
    <w:p>
      <w:pPr>
        <w:pStyle w:val="Heading2"/>
        <w:spacing w:after="100" w:before="240"/>
      </w:pPr>
      <w:r>
        <w:rPr>
          <w:b/>
          <w:bCs/>
          <w:color w:val="0B2545"/>
          <w:sz w:val="24"/>
          <w:szCs w:val="24"/>
        </w:rPr>
        <w:t xml:space="preserve">5. Prescribed Pricing Diagnostic to Pitch Flow (Coach answer key)</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Trigger</w:t>
            </w:r>
          </w:p>
        </w:tc>
        <w:tc>
          <w:tcPr>
            <w:tcW w:type="pct" w:w="55%"/>
            <w:shd w:fill="EEF2F7" w:val="clear"/>
            <w:tcMar>
              <w:top w:type="dxa" w:w="40"/>
              <w:left w:type="dxa" w:w="90"/>
              <w:bottom w:type="dxa" w:w="40"/>
              <w:right w:type="dxa" w:w="90"/>
            </w:tcMar>
          </w:tcPr>
          <w:p>
            <w:r>
              <w:rPr>
                <w:b w:val="false"/>
                <w:bCs w:val="false"/>
                <w:color w:val="000000"/>
                <w:sz w:val="20"/>
                <w:szCs w:val="20"/>
              </w:rPr>
              <w:t xml:space="preserve">pricing-signal</w:t>
            </w:r>
          </w:p>
        </w:tc>
      </w:tr>
      <w:tr>
        <w:tc>
          <w:tcPr>
            <w:tcW w:type="pct" w:w="45%"/>
            <w:tcMar>
              <w:top w:type="dxa" w:w="40"/>
              <w:left w:type="dxa" w:w="90"/>
              <w:bottom w:type="dxa" w:w="40"/>
              <w:right w:type="dxa" w:w="90"/>
            </w:tcMar>
          </w:tcPr>
          <w:p>
            <w:r>
              <w:rPr>
                <w:b/>
                <w:bCs/>
                <w:color w:val="000000"/>
                <w:sz w:val="20"/>
                <w:szCs w:val="20"/>
              </w:rPr>
              <w:t xml:space="preserve">Issue</w:t>
            </w:r>
          </w:p>
        </w:tc>
        <w:tc>
          <w:tcPr>
            <w:tcW w:type="pct" w:w="55%"/>
            <w:tcMar>
              <w:top w:type="dxa" w:w="40"/>
              <w:left w:type="dxa" w:w="90"/>
              <w:bottom w:type="dxa" w:w="40"/>
              <w:right w:type="dxa" w:w="90"/>
            </w:tcMar>
          </w:tcPr>
          <w:p>
            <w:r>
              <w:rPr>
                <w:b w:val="false"/>
                <w:bCs w:val="false"/>
                <w:color w:val="000000"/>
                <w:sz w:val="20"/>
                <w:szCs w:val="20"/>
              </w:rPr>
              <w:t xml:space="preserve">brand-com-erpd-not-competitive</w:t>
            </w:r>
          </w:p>
        </w:tc>
      </w:tr>
      <w:tr>
        <w:tc>
          <w:tcPr>
            <w:tcW w:type="pct" w:w="45%"/>
            <w:shd w:fill="EEF2F7" w:val="clear"/>
            <w:tcMar>
              <w:top w:type="dxa" w:w="40"/>
              <w:left w:type="dxa" w:w="90"/>
              <w:bottom w:type="dxa" w:w="40"/>
              <w:right w:type="dxa" w:w="90"/>
            </w:tcMar>
          </w:tcPr>
          <w:p>
            <w:r>
              <w:rPr>
                <w:b/>
                <w:bCs/>
                <w:color w:val="000000"/>
                <w:sz w:val="20"/>
                <w:szCs w:val="20"/>
              </w:rPr>
              <w:t xml:space="preserve">Intent</w:t>
            </w:r>
          </w:p>
        </w:tc>
        <w:tc>
          <w:tcPr>
            <w:tcW w:type="pct" w:w="55%"/>
            <w:shd w:fill="EEF2F7" w:val="clear"/>
            <w:tcMar>
              <w:top w:type="dxa" w:w="40"/>
              <w:left w:type="dxa" w:w="90"/>
              <w:bottom w:type="dxa" w:w="40"/>
              <w:right w:type="dxa" w:w="90"/>
            </w:tcMar>
          </w:tcPr>
          <w:p>
            <w:r>
              <w:rPr>
                <w:b w:val="false"/>
                <w:bCs w:val="false"/>
                <w:color w:val="000000"/>
                <w:sz w:val="20"/>
                <w:szCs w:val="20"/>
              </w:rPr>
              <w:t xml:space="preserve">intentional</w:t>
            </w:r>
          </w:p>
        </w:tc>
      </w:tr>
      <w:tr>
        <w:tc>
          <w:tcPr>
            <w:tcW w:type="pct" w:w="45%"/>
            <w:tcMar>
              <w:top w:type="dxa" w:w="40"/>
              <w:left w:type="dxa" w:w="90"/>
              <w:bottom w:type="dxa" w:w="40"/>
              <w:right w:type="dxa" w:w="90"/>
            </w:tcMar>
          </w:tcPr>
          <w:p>
            <w:r>
              <w:rPr>
                <w:b/>
                <w:bCs/>
                <w:color w:val="000000"/>
                <w:sz w:val="20"/>
                <w:szCs w:val="20"/>
              </w:rPr>
              <w:t xml:space="preserve">Root cause</w:t>
            </w:r>
          </w:p>
        </w:tc>
        <w:tc>
          <w:tcPr>
            <w:tcW w:type="pct" w:w="55%"/>
            <w:tcMar>
              <w:top w:type="dxa" w:w="40"/>
              <w:left w:type="dxa" w:w="90"/>
              <w:bottom w:type="dxa" w:w="40"/>
              <w:right w:type="dxa" w:w="90"/>
            </w:tcMar>
          </w:tcPr>
          <w:p>
            <w:r>
              <w:rPr>
                <w:b w:val="false"/>
                <w:bCs w:val="false"/>
                <w:color w:val="000000"/>
                <w:sz w:val="20"/>
                <w:szCs w:val="20"/>
              </w:rPr>
              <w:t xml:space="preserve">structural-brand-first</w:t>
            </w:r>
          </w:p>
        </w:tc>
      </w:tr>
      <w:tr>
        <w:tc>
          <w:tcPr>
            <w:tcW w:type="pct" w:w="45%"/>
            <w:shd w:fill="EEF2F7" w:val="clear"/>
            <w:tcMar>
              <w:top w:type="dxa" w:w="40"/>
              <w:left w:type="dxa" w:w="90"/>
              <w:bottom w:type="dxa" w:w="40"/>
              <w:right w:type="dxa" w:w="90"/>
            </w:tcMar>
          </w:tcPr>
          <w:p>
            <w:r>
              <w:rPr>
                <w:b/>
                <w:bCs/>
                <w:color w:val="000000"/>
                <w:sz w:val="20"/>
                <w:szCs w:val="20"/>
              </w:rPr>
              <w:t xml:space="preserve">Metric insight</w:t>
            </w:r>
          </w:p>
        </w:tc>
        <w:tc>
          <w:tcPr>
            <w:tcW w:type="pct" w:w="55%"/>
            <w:shd w:fill="EEF2F7" w:val="clear"/>
            <w:tcMar>
              <w:top w:type="dxa" w:w="40"/>
              <w:left w:type="dxa" w:w="90"/>
              <w:bottom w:type="dxa" w:w="40"/>
              <w:right w:type="dxa" w:w="90"/>
            </w:tcMar>
          </w:tcPr>
          <w:p>
            <w:r>
              <w:rPr>
                <w:b w:val="false"/>
                <w:bCs w:val="false"/>
                <w:color w:val="000000"/>
                <w:sz w:val="20"/>
                <w:szCs w:val="20"/>
              </w:rPr>
              <w:t xml:space="preserve">structural-constant-non-competitive-erpd</w:t>
            </w:r>
          </w:p>
        </w:tc>
      </w:tr>
      <w:tr>
        <w:tc>
          <w:tcPr>
            <w:tcW w:type="pct" w:w="45%"/>
            <w:tcMar>
              <w:top w:type="dxa" w:w="40"/>
              <w:left w:type="dxa" w:w="90"/>
              <w:bottom w:type="dxa" w:w="40"/>
              <w:right w:type="dxa" w:w="90"/>
            </w:tcMar>
          </w:tcPr>
          <w:p>
            <w:r>
              <w:rPr>
                <w:b/>
                <w:bCs/>
                <w:color w:val="000000"/>
                <w:sz w:val="20"/>
                <w:szCs w:val="20"/>
              </w:rPr>
              <w:t xml:space="preserve">Hook</w:t>
            </w:r>
          </w:p>
        </w:tc>
        <w:tc>
          <w:tcPr>
            <w:tcW w:type="pct" w:w="55%"/>
            <w:tcMar>
              <w:top w:type="dxa" w:w="40"/>
              <w:left w:type="dxa" w:w="90"/>
              <w:bottom w:type="dxa" w:w="40"/>
              <w:right w:type="dxa" w:w="90"/>
            </w:tcMar>
          </w:tcPr>
          <w:p>
            <w:r>
              <w:rPr>
                <w:b w:val="false"/>
                <w:bCs w:val="false"/>
                <w:color w:val="000000"/>
                <w:sz w:val="20"/>
                <w:szCs w:val="20"/>
              </w:rPr>
              <w:t xml:space="preserve">base-rate-misalignment</w:t>
            </w:r>
          </w:p>
        </w:tc>
      </w:tr>
    </w:tbl>
    <w:p>
      <w:pPr>
        <w:pStyle w:val="Heading2"/>
        <w:spacing w:after="100" w:before="240"/>
      </w:pPr>
      <w:r>
        <w:rPr>
          <w:b/>
          <w:bCs/>
          <w:color w:val="0B2545"/>
          <w:sz w:val="24"/>
          <w:szCs w:val="24"/>
        </w:rPr>
        <w:t xml:space="preserve">6. Conversation (priority partner)</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“Good morning, Claire. It's a pleasure speaking with you again. I hope you've had a productive week.”</w:t>
      </w:r>
    </w:p>
    <w:p>
      <w:pPr>
        <w:spacing w:after="60" w:before="200"/>
      </w:pPr>
      <w:r>
        <w:rPr>
          <w:b/>
          <w:bCs/>
          <w:color w:val="F4B400"/>
          <w:sz w:val="22"/>
          <w:szCs w:val="22"/>
        </w:rPr>
        <w:t xml:space="preserve">Step 1</w:t>
      </w:r>
    </w:p>
    <w:p>
      <w:pPr>
        <w:spacing w:after="40"/>
      </w:pPr>
      <w:r>
        <w:rPr>
          <w:b/>
          <w:bCs/>
          <w:color w:val="5A6472"/>
          <w:sz w:val="19"/>
          <w:szCs w:val="19"/>
        </w:rPr>
        <w:t xml:space="preserve">Claire Thornton says:</w:t>
      </w:r>
    </w:p>
    <w:p>
      <w:pPr>
        <w:spacing w:after="100"/>
        <w:ind w:left="360"/>
      </w:pPr>
      <w:r>
        <w:rPr>
          <w:i/>
          <w:iCs/>
          <w:color w:val="0B2545"/>
          <w:sz w:val="20"/>
          <w:szCs w:val="20"/>
        </w:rPr>
        <w:t xml:space="preserve">“Good morning, Oliver. Yes, things are going very well, thank you. Based on our agenda today, I understand we're reviewing our performance for the upcoming quarter.”</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“Exactly. I've pulled some data to see how we can support your goals. To start - when you review your forward bookings for the next 90 days, what are your priorities, and how are you performing overall?”</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“Well, Oliver, our main directive from head office remains the same: protect our ADR and keep our website the core channel for guest acquisition. We track revenue closely and keep price consistency across platforms. That's our long-term brand strategy, and right now it's paying off - we're in line with expectations.”</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“Let's get straight to it, Claire - I've pulled the data together and found a clear gap in your forward performance that we need to work through today. Your bookings are pacing behind where they really should be.”</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“Behind by what measure? Our reporting says we're meeting our targets. I'd want to understand your framing before I accept 'a gap'.”</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quickest win here would be to ease off that strict ADR discipline a little and let your prices flex downward where demand looks soft. Loosen the floor a touch and the bookings should start following through.”</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“Protecting ADR is a head-office directive, not a preference. That's simply not on the table, Oliver.”</w:t>
      </w:r>
    </w:p>
    <w:p>
      <w:pPr>
        <w:spacing w:after="60" w:before="200"/>
      </w:pPr>
      <w:r>
        <w:rPr>
          <w:b/>
          <w:bCs/>
          <w:color w:val="F4B400"/>
          <w:sz w:val="22"/>
          <w:szCs w:val="22"/>
        </w:rPr>
        <w:t xml:space="preserve">Step 2</w:t>
      </w:r>
    </w:p>
    <w:p>
      <w:pPr>
        <w:spacing w:after="40"/>
      </w:pPr>
      <w:r>
        <w:rPr>
          <w:b/>
          <w:bCs/>
          <w:color w:val="5A6472"/>
          <w:sz w:val="19"/>
          <w:szCs w:val="19"/>
        </w:rPr>
        <w:t xml:space="preserve">Claire Thornton says:</w:t>
      </w:r>
    </w:p>
    <w:p>
      <w:pPr>
        <w:spacing w:after="100"/>
        <w:ind w:left="360"/>
      </w:pPr>
      <w:r>
        <w:rPr>
          <w:i/>
          <w:iCs/>
          <w:color w:val="0B2545"/>
          <w:sz w:val="20"/>
          <w:szCs w:val="20"/>
        </w:rPr>
        <w:t xml:space="preserve">“Well, Oliver, our main directive from head office remains the same: protect our ADR and keep our website the core channel for guest acquisition. We keep price consistency across platforms, and right now it's paying off - we're in line with expectations.”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“Thank you for sharing. Looking at your metrics here over the next three months, your sell-through is pacing about 8% behind your peer group. And looking back over the last 90 days, around 24% of your rooms went unsold - inventory that emptied out in the end.”</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“24% unsold rooms... let's put that in context, Oliver. Our reports show our revenue goals are being met, past and future. If our volume on OTAs is somewhat lower, that's a trade-off we accept. We'd rather hold our price positioning than sell 100% of inventory.”</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“24% unsold is a serious amount of lost revenue, Claire - honestly, that's the kind of number that should really be setting off alarms on your side. Rooms sitting empty like that is money you never get back, and I'd expect it to be worrying your team.”</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“Our reporting isn't alarmed, because we're on target. I'd rather look at facts than adjectives.”</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honest picture is that your performance here has been a bit underwhelming lately - there's clearly more you could be getting out of the channel than you are right now. I really think you've been leaving opportunity on the table these last few months.”</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“'Underwhelming' against what? Give me the actual figures or there's nothing to discuss.”</w:t>
      </w:r>
    </w:p>
    <w:p>
      <w:pPr>
        <w:spacing w:after="60" w:before="200"/>
      </w:pPr>
      <w:r>
        <w:rPr>
          <w:b/>
          <w:bCs/>
          <w:color w:val="F4B400"/>
          <w:sz w:val="22"/>
          <w:szCs w:val="22"/>
        </w:rPr>
        <w:t xml:space="preserve">Step 3</w:t>
      </w:r>
    </w:p>
    <w:p>
      <w:pPr>
        <w:spacing w:after="40"/>
      </w:pPr>
      <w:r>
        <w:rPr>
          <w:b/>
          <w:bCs/>
          <w:color w:val="5A6472"/>
          <w:sz w:val="19"/>
          <w:szCs w:val="19"/>
        </w:rPr>
        <w:t xml:space="preserve">Claire Thornton says:</w:t>
      </w:r>
    </w:p>
    <w:p>
      <w:pPr>
        <w:spacing w:after="100"/>
        <w:ind w:left="360"/>
      </w:pPr>
      <w:r>
        <w:rPr>
          <w:i/>
          <w:iCs/>
          <w:color w:val="0B2545"/>
          <w:sz w:val="20"/>
          <w:szCs w:val="20"/>
        </w:rPr>
        <w:t xml:space="preserve">“24% unsold rooms... let's put that in context, Oliver. Our reports show our revenue goals are being met, past and future. If our volume on OTAs is somewhat lower, that's a trade-off we accept. We'd rather hold our price positioning than sell 100% of inventory.”</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 hear you, and it's a fair trade-off to weigh. But there's still room to improve. Two metrics worth sharing: your visibility share is 21%, about 7% behind your peer group, and the price travelers see when they search is running about 10% higher than your peers.”</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“10% more expensive than competitors. But Oliver, as we discussed, when automated programs like the Booking Sponsored Benefit kick in to adjust the price, it feels like we lose control of our own strategy. I don't want guests seeing us as an 'affordable' option or booking purely on price.”</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main thing is that your visibility share here is sitting behind your peer group - travelers simply aren't seeing you in their search results as often as they should be, and to my mind that's the real issue we need to be focused on solving today.”</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“And why would that be? Visibility doesn't drop for no reason - what's actually driving it?”</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being seen as the more affordable option here wouldn't be a bad thing at all - if you lean into it and let travelers find you at a keener price, the extra bookings will follow and start filling those empty rooms in no time at all.”</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“That's the opposite of everything our brand stands for. I explicitly don't want to be the 'affordable' option.”</w:t>
      </w:r>
    </w:p>
    <w:p>
      <w:pPr>
        <w:spacing w:after="60" w:before="200"/>
      </w:pPr>
      <w:r>
        <w:rPr>
          <w:b/>
          <w:bCs/>
          <w:color w:val="F4B400"/>
          <w:sz w:val="22"/>
          <w:szCs w:val="22"/>
        </w:rPr>
        <w:t xml:space="preserve">Step 4</w:t>
      </w:r>
    </w:p>
    <w:p>
      <w:pPr>
        <w:spacing w:after="40"/>
      </w:pPr>
      <w:r>
        <w:rPr>
          <w:b/>
          <w:bCs/>
          <w:color w:val="5A6472"/>
          <w:sz w:val="19"/>
          <w:szCs w:val="19"/>
        </w:rPr>
        <w:t xml:space="preserve">Claire Thornton says:</w:t>
      </w:r>
    </w:p>
    <w:p>
      <w:pPr>
        <w:spacing w:after="100"/>
        <w:ind w:left="360"/>
      </w:pPr>
      <w:r>
        <w:rPr>
          <w:i/>
          <w:iCs/>
          <w:color w:val="0B2545"/>
          <w:sz w:val="20"/>
          <w:szCs w:val="20"/>
        </w:rPr>
        <w:t xml:space="preserve">“10% more expensive than competitors. But Oliver, when automated programs like the Booking Sponsored Benefit kick in to adjust the price, it feels like we lose control of our own strategy. I don't want guests seeing us as an 'affordable' option or booking purely on price.”</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 hear the concern - you've built a reputation and no one wants their asset devalued. Let me clarify the Booking Sponsored Benefit: its whole point is to improve your conversion by making you more competitive on the platform. It isn't applied to all your bookings, and your revenue stays untouched, because it's funded by us, not you.”</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“Even so - if that program is already funding a discount, why should I consider adjusting our rates or joining additional campaigns?”</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Claire, there's really nothing at all to worry about with that program - it just quietly works away in the background and you'll barely notice that it's running. I genuinely wouldn't give it a second thought if I were you; it's the last thing on your list that should be keeping you up at night.”</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“It's adjusting the price travelers see. 'Don't give it a second thought' is not reassuring to someone accountable for our positioning.”</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“Just lean on the Booking Sponsored Benefit here - it'll carry your visibility all the way back on its own, guaranteed, so there's genuinely nothing else you'd need to lift a finger on. Let that program do the heavy lifting for you and you'll be level with your peers again before you know it, no further changes needed.”</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“If it fully solved it, my visibility wouldn't still be behind, would it? That doesn't add up.”</w:t>
      </w:r>
    </w:p>
    <w:p>
      <w:pPr>
        <w:spacing w:after="60" w:before="200"/>
      </w:pPr>
      <w:r>
        <w:rPr>
          <w:b/>
          <w:bCs/>
          <w:color w:val="F4B400"/>
          <w:sz w:val="22"/>
          <w:szCs w:val="22"/>
        </w:rPr>
        <w:t xml:space="preserve">Step 5</w:t>
      </w:r>
    </w:p>
    <w:p>
      <w:pPr>
        <w:spacing w:after="40"/>
      </w:pPr>
      <w:r>
        <w:rPr>
          <w:b/>
          <w:bCs/>
          <w:color w:val="5A6472"/>
          <w:sz w:val="19"/>
          <w:szCs w:val="19"/>
        </w:rPr>
        <w:t xml:space="preserve">Claire Thornton says:</w:t>
      </w:r>
    </w:p>
    <w:p>
      <w:pPr>
        <w:spacing w:after="100"/>
        <w:ind w:left="360"/>
      </w:pPr>
      <w:r>
        <w:rPr>
          <w:i/>
          <w:iCs/>
          <w:color w:val="0B2545"/>
          <w:sz w:val="20"/>
          <w:szCs w:val="20"/>
        </w:rPr>
        <w:t xml:space="preserve">“Even so - if that program is already funding a discount, why should I consider adjusting our rates or joining additional campaigns?”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“Even with that program, your search price is still about 10% above your peers, which likely caps your visibility - travelers compare and finish the booking elsewhere, and an empty room is a missed opportunity. Rather than a general rate cut, we'd use a targeted tool: a mobile rate. Over 60% of searches come from mobile, and it applies a closed incentive strictly to mobile searchers.”</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“Hmm, when you frame it around uncaptured search traffic, I see the logic. A targeted mobile adjustment... oh, sorry - actually we're not allowed to do that, it's against our brand rules and we could be fined. Is there another targeted deal we could use instead?”</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cleanest way to close that 10% is a modest general reduction on your rates here - just enough to bring the price travelers see in search back into line with your peer group. Bring everything down a notch across the board and the gap simply closes on its own, without any of the fiddly targeted setups you'd otherwise have to manage afterwards.”</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“A general reduction hits our ADR, which head office strictly prohibits. That's exactly what I can't do.”</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“Switch on a mobile rate here and I can promise your visibility jumps straight back up the results pages - the incentive effectively buys you that placement, guaranteed. Put the discount in front of mobile searchers and the platform rewards you with the ranking you're missing, so the position you want is locked in the moment you turn it on.”</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“A guaranteed placement bump for a discount? That kind of promise makes me trust the rest less, not more.”</w:t>
      </w:r>
    </w:p>
    <w:p>
      <w:pPr>
        <w:spacing w:after="60" w:before="200"/>
      </w:pPr>
      <w:r>
        <w:rPr>
          <w:b/>
          <w:bCs/>
          <w:color w:val="F4B400"/>
          <w:sz w:val="22"/>
          <w:szCs w:val="22"/>
        </w:rPr>
        <w:t xml:space="preserve">Step 6</w:t>
      </w:r>
    </w:p>
    <w:p>
      <w:pPr>
        <w:spacing w:after="40"/>
      </w:pPr>
      <w:r>
        <w:rPr>
          <w:b/>
          <w:bCs/>
          <w:color w:val="5A6472"/>
          <w:sz w:val="19"/>
          <w:szCs w:val="19"/>
        </w:rPr>
        <w:t xml:space="preserve">Claire Thornton says:</w:t>
      </w:r>
    </w:p>
    <w:p>
      <w:pPr>
        <w:spacing w:after="100"/>
        <w:ind w:left="360"/>
      </w:pPr>
      <w:r>
        <w:rPr>
          <w:i/>
          <w:iCs/>
          <w:color w:val="0B2545"/>
          <w:sz w:val="20"/>
          <w:szCs w:val="20"/>
        </w:rPr>
        <w:t xml:space="preserve">“A targeted mobile adjustment... oh, sorry, I almost forgot - we're not allowed to do that, it's against our brand rules and we could be fined. Is there another targeted deal we can apply instead?”</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“I'd double-check that rule with head office, honestly - it doesn't read as a blocker in my records. But to recover visibility quickly in the meantime, why don't we optimize the deals you already run? Your early and last-minute deals are currently set to non-refundable only, with a very limited booking window - loosening that would help without touching your ADR.”</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“I didn't realise they were so restricted. Let's make the flexible rate more attractive and extend the window travelers can book in. That addresses the visibility gap and keeps us in full control - we run these on a quarterly basis anyway.”</w:t>
      </w:r>
    </w:p>
    <w:p>
      <w:pPr>
        <w:spacing w:after="30" w:before="120"/>
      </w:pPr>
      <w:r>
        <w:rPr>
          <w:b/>
          <w:bCs/>
          <w:color w:val="0B2545"/>
          <w:sz w:val="20"/>
          <w:szCs w:val="20"/>
        </w:rPr>
        <w:t xml:space="preserve">Option B</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“Between us, plenty of partners quietly run the mobile rate despite rules like that and it's genuinely fine - I'd just switch it on discreetly at your end and not raise it with head office at all. Nobody is going to come chasing you over one targeted rate, and the visibility you'd win back is well worth stepping around the paperwork for.”</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“You're asking me to break a brand rule and risk a fine. That's absolutely not happening.”</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 think the best thing here is for you to go away and confirm those rules directly with head office first, then circle back to me once you know exactly what you're permitted to run. There's really no sense in us mapping anything out until you've had that conversation and can tell me where the boundaries actually sit.”</w:t>
      </w:r>
    </w:p>
    <w:p>
      <w:pPr>
        <w:spacing w:after="20"/>
        <w:ind w:left="360"/>
      </w:pPr>
      <w:r>
        <w:rPr>
          <w:b/>
          <w:bCs/>
          <w:color w:val="5A6472"/>
          <w:sz w:val="18"/>
          <w:szCs w:val="18"/>
        </w:rPr>
        <w:t xml:space="preserve">Claire Thornton responds:</w:t>
      </w:r>
    </w:p>
    <w:p>
      <w:pPr>
        <w:spacing w:after="100"/>
        <w:ind w:left="360"/>
      </w:pPr>
      <w:r>
        <w:rPr>
          <w:i/>
          <w:iCs/>
          <w:color w:val="0B2545"/>
          <w:sz w:val="20"/>
          <w:szCs w:val="20"/>
        </w:rPr>
        <w:t xml:space="preserve">“So we do nothing until I've chased that down? I'd hoped to leave today with something I can actually action.”</w:t>
      </w:r>
    </w:p>
    <w:p>
      <w:r>
        <w:br w:type="page"/>
      </w:r>
    </w:p>
    <w:p>
      <w:pPr>
        <w:shd w:fill="0B2545" w:val="clear"/>
        <w:spacing w:after="60" w:before="120"/>
      </w:pPr>
      <w:r>
        <w:rPr>
          <w:b/>
          <w:bCs/>
          <w:color w:val="FFFFFF"/>
          <w:sz w:val="30"/>
          <w:szCs w:val="30"/>
        </w:rPr>
        <w:t xml:space="preserve">  ROUND 19  -  Loft Living Inn  -  No Parity  </w:t>
      </w:r>
    </w:p>
    <w:p>
      <w:pPr>
        <w:pBdr>
          <w:bottom w:val="single" w:color="F4B400" w:sz="6"/>
        </w:pBdr>
        <w:spacing w:after="120" w:before="120"/>
      </w:pPr>
    </w:p>
    <w:p>
      <w:pPr>
        <w:pStyle w:val="Heading2"/>
        <w:spacing w:after="100" w:before="240"/>
      </w:pPr>
      <w:r>
        <w:rPr>
          <w:b/>
          <w:bCs/>
          <w:color w:val="0B2545"/>
          <w:sz w:val="24"/>
          <w:szCs w:val="24"/>
        </w:rPr>
        <w:t xml:space="preserve">1. Scenario overview</w:t>
      </w:r>
    </w:p>
    <w:p>
      <w:pPr>
        <w:spacing w:after="40"/>
      </w:pPr>
      <w:r>
        <w:rPr>
          <w:b/>
          <w:bCs/>
          <w:color w:val="0B2545"/>
          <w:sz w:val="20"/>
          <w:szCs w:val="20"/>
        </w:rPr>
        <w:t xml:space="preserve">Property: </w:t>
      </w:r>
      <w:r>
        <w:rPr>
          <w:sz w:val="20"/>
          <w:szCs w:val="20"/>
        </w:rPr>
        <w:t xml:space="preserve">Loft Living Inn</w:t>
      </w:r>
    </w:p>
    <w:p>
      <w:pPr>
        <w:spacing w:after="40"/>
      </w:pPr>
      <w:r>
        <w:rPr>
          <w:b/>
          <w:bCs/>
          <w:color w:val="0B2545"/>
          <w:sz w:val="20"/>
          <w:szCs w:val="20"/>
        </w:rPr>
        <w:t xml:space="preserve">Point of contact: </w:t>
      </w:r>
      <w:r>
        <w:rPr>
          <w:sz w:val="20"/>
          <w:szCs w:val="20"/>
        </w:rPr>
        <w:t xml:space="preserve">Lucas Silva</w:t>
      </w:r>
    </w:p>
    <w:p>
      <w:pPr>
        <w:spacing w:after="40"/>
      </w:pPr>
      <w:r>
        <w:rPr>
          <w:b/>
          <w:bCs/>
          <w:color w:val="0B2545"/>
          <w:sz w:val="20"/>
          <w:szCs w:val="20"/>
        </w:rPr>
        <w:t xml:space="preserve">Property type: </w:t>
      </w:r>
      <w:r>
        <w:rPr>
          <w:sz w:val="20"/>
          <w:szCs w:val="20"/>
        </w:rPr>
        <w:t xml:space="preserve">Vacation Rental</w:t>
      </w:r>
    </w:p>
    <w:p>
      <w:pPr>
        <w:spacing w:after="40"/>
      </w:pPr>
      <w:r>
        <w:rPr>
          <w:b/>
          <w:bCs/>
          <w:color w:val="0B2545"/>
          <w:sz w:val="20"/>
          <w:szCs w:val="20"/>
        </w:rPr>
        <w:t xml:space="preserve">Location: </w:t>
      </w:r>
      <w:r>
        <w:rPr>
          <w:sz w:val="20"/>
          <w:szCs w:val="20"/>
        </w:rPr>
        <w:t xml:space="preserve">Kurokawa-Shi, State of Shinano</w:t>
      </w:r>
    </w:p>
    <w:p>
      <w:pPr>
        <w:spacing w:after="40"/>
      </w:pPr>
      <w:r>
        <w:rPr>
          <w:b/>
          <w:bCs/>
          <w:color w:val="0B2545"/>
          <w:sz w:val="20"/>
          <w:szCs w:val="20"/>
        </w:rPr>
        <w:t xml:space="preserve">Size: </w:t>
      </w:r>
      <w:r>
        <w:rPr>
          <w:sz w:val="20"/>
          <w:szCs w:val="20"/>
        </w:rPr>
        <w:t xml:space="preserve">190 rooms</w:t>
      </w:r>
    </w:p>
    <w:p>
      <w:pPr>
        <w:spacing w:after="40"/>
      </w:pPr>
      <w:r>
        <w:rPr>
          <w:b/>
          <w:bCs/>
          <w:color w:val="0B2545"/>
          <w:sz w:val="20"/>
          <w:szCs w:val="20"/>
        </w:rPr>
        <w:t xml:space="preserve">Communication style: </w:t>
      </w:r>
      <w:r>
        <w:rPr>
          <w:sz w:val="20"/>
          <w:szCs w:val="20"/>
        </w:rPr>
        <w:t xml:space="preserve">Director (red) primary, Thinker (blue) secondary</w:t>
      </w:r>
    </w:p>
    <w:p>
      <w:pPr>
        <w:spacing w:after="40"/>
      </w:pPr>
      <w:r>
        <w:rPr>
          <w:b/>
          <w:bCs/>
          <w:color w:val="0B2545"/>
          <w:sz w:val="20"/>
          <w:szCs w:val="20"/>
        </w:rPr>
        <w:t xml:space="preserve">Parity regime: </w:t>
      </w:r>
      <w:r>
        <w:rPr>
          <w:sz w:val="20"/>
          <w:szCs w:val="20"/>
        </w:rPr>
        <w:t xml:space="preserve">No Parity</w:t>
      </w:r>
    </w:p>
    <w:p>
      <w:pPr>
        <w:spacing w:after="60" w:before="180"/>
      </w:pPr>
      <w:r>
        <w:rPr>
          <w:b/>
          <w:bCs/>
          <w:caps/>
          <w:color w:val="5A6472"/>
          <w:sz w:val="20"/>
          <w:szCs w:val="20"/>
        </w:rPr>
        <w:t xml:space="preserve">Profile</w:t>
      </w:r>
    </w:p>
    <w:p>
      <w:pPr>
        <w:spacing w:after="80"/>
      </w:pPr>
      <w:r>
        <w:rPr>
          <w:sz w:val="20"/>
          <w:szCs w:val="20"/>
        </w:rPr>
        <w:t xml:space="preserve">PMC Revenue Manager running a portfolio of vacation-rental units as a commercially minded business with strong autonomy. He responds to revenue impact, margin logic, and ROI across channels, and he wants proof before he moves. He's frustrated that his B2B / wholesale rates are leaking into public search and blames Booking.com for surfacing them - lead with the commercial case, not a price cut.</w:t>
      </w:r>
    </w:p>
    <w:p>
      <w:pPr>
        <w:spacing w:after="60" w:before="180"/>
      </w:pPr>
      <w:r>
        <w:rPr>
          <w:b/>
          <w:bCs/>
          <w:caps/>
          <w:color w:val="5A6472"/>
          <w:sz w:val="20"/>
          <w:szCs w:val="20"/>
        </w:rPr>
        <w:t xml:space="preserve">Commercial goal</w:t>
      </w:r>
    </w:p>
    <w:p>
      <w:pPr>
        <w:spacing w:after="80"/>
      </w:pPr>
      <w:r>
        <w:rPr>
          <w:sz w:val="20"/>
          <w:szCs w:val="20"/>
        </w:rPr>
        <w:t xml:space="preserve">Protect ADR and margin while recovering lost visibility and demand across channels</w:t>
      </w:r>
    </w:p>
    <w:p>
      <w:pPr>
        <w:pStyle w:val="Heading2"/>
        <w:spacing w:after="100" w:before="240"/>
      </w:pPr>
      <w:r>
        <w:rPr>
          <w:b/>
          <w:bCs/>
          <w:color w:val="0B2545"/>
          <w:sz w:val="24"/>
          <w:szCs w:val="24"/>
        </w:rPr>
        <w:t xml:space="preserve">2. Portfolio card (what the learner sees before opening)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Name</w:t>
            </w:r>
          </w:p>
        </w:tc>
        <w:tc>
          <w:tcPr>
            <w:tcW w:type="pct" w:w="55%"/>
            <w:shd w:fill="EEF2F7" w:val="clear"/>
            <w:tcMar>
              <w:top w:type="dxa" w:w="40"/>
              <w:left w:type="dxa" w:w="90"/>
              <w:bottom w:type="dxa" w:w="40"/>
              <w:right w:type="dxa" w:w="90"/>
            </w:tcMar>
          </w:tcPr>
          <w:p>
            <w:r>
              <w:rPr>
                <w:b w:val="false"/>
                <w:bCs w:val="false"/>
                <w:color w:val="000000"/>
                <w:sz w:val="20"/>
                <w:szCs w:val="20"/>
              </w:rPr>
              <w:t xml:space="preserve">Loft Living Inn</w:t>
            </w:r>
          </w:p>
        </w:tc>
      </w:tr>
      <w:tr>
        <w:tc>
          <w:tcPr>
            <w:tcW w:type="pct" w:w="45%"/>
            <w:tcMar>
              <w:top w:type="dxa" w:w="40"/>
              <w:left w:type="dxa" w:w="90"/>
              <w:bottom w:type="dxa" w:w="40"/>
              <w:right w:type="dxa" w:w="90"/>
            </w:tcMar>
          </w:tcPr>
          <w:p>
            <w:r>
              <w:rPr>
                <w:b/>
                <w:bCs/>
                <w:color w:val="000000"/>
                <w:sz w:val="20"/>
                <w:szCs w:val="20"/>
              </w:rPr>
              <w:t xml:space="preserve">Property type</w:t>
            </w:r>
          </w:p>
        </w:tc>
        <w:tc>
          <w:tcPr>
            <w:tcW w:type="pct" w:w="55%"/>
            <w:tcMar>
              <w:top w:type="dxa" w:w="40"/>
              <w:left w:type="dxa" w:w="90"/>
              <w:bottom w:type="dxa" w:w="40"/>
              <w:right w:type="dxa" w:w="90"/>
            </w:tcMar>
          </w:tcPr>
          <w:p>
            <w:r>
              <w:rPr>
                <w:b w:val="false"/>
                <w:bCs w:val="false"/>
                <w:color w:val="000000"/>
                <w:sz w:val="20"/>
                <w:szCs w:val="20"/>
              </w:rPr>
              <w:t xml:space="preserve">Vacation Rental</w:t>
            </w:r>
          </w:p>
        </w:tc>
      </w:tr>
      <w:tr>
        <w:tc>
          <w:tcPr>
            <w:tcW w:type="pct" w:w="45%"/>
            <w:shd w:fill="EEF2F7" w:val="clear"/>
            <w:tcMar>
              <w:top w:type="dxa" w:w="40"/>
              <w:left w:type="dxa" w:w="90"/>
              <w:bottom w:type="dxa" w:w="40"/>
              <w:right w:type="dxa" w:w="90"/>
            </w:tcMar>
          </w:tcPr>
          <w:p>
            <w:r>
              <w:rPr>
                <w:b/>
                <w:bCs/>
                <w:color w:val="000000"/>
                <w:sz w:val="20"/>
                <w:szCs w:val="20"/>
              </w:rPr>
              <w:t xml:space="preserve">Rooms</w:t>
            </w:r>
          </w:p>
        </w:tc>
        <w:tc>
          <w:tcPr>
            <w:tcW w:type="pct" w:w="55%"/>
            <w:shd w:fill="EEF2F7" w:val="clear"/>
            <w:tcMar>
              <w:top w:type="dxa" w:w="40"/>
              <w:left w:type="dxa" w:w="90"/>
              <w:bottom w:type="dxa" w:w="40"/>
              <w:right w:type="dxa" w:w="90"/>
            </w:tcMar>
          </w:tcPr>
          <w:p>
            <w:r>
              <w:rPr>
                <w:b w:val="false"/>
                <w:bCs w:val="false"/>
                <w:color w:val="000000"/>
                <w:sz w:val="20"/>
                <w:szCs w:val="20"/>
              </w:rPr>
              <w:t xml:space="preserve">190 rooms</w:t>
            </w:r>
          </w:p>
        </w:tc>
      </w:tr>
      <w:tr>
        <w:tc>
          <w:tcPr>
            <w:tcW w:type="pct" w:w="45%"/>
            <w:tcMar>
              <w:top w:type="dxa" w:w="40"/>
              <w:left w:type="dxa" w:w="90"/>
              <w:bottom w:type="dxa" w:w="40"/>
              <w:right w:type="dxa" w:w="90"/>
            </w:tcMar>
          </w:tcPr>
          <w:p>
            <w:r>
              <w:rPr>
                <w:b/>
                <w:bCs/>
                <w:color w:val="000000"/>
                <w:sz w:val="20"/>
                <w:szCs w:val="20"/>
              </w:rPr>
              <w:t xml:space="preserve">Communication style</w:t>
            </w:r>
          </w:p>
        </w:tc>
        <w:tc>
          <w:tcPr>
            <w:tcW w:type="pct" w:w="55%"/>
            <w:tcMar>
              <w:top w:type="dxa" w:w="40"/>
              <w:left w:type="dxa" w:w="90"/>
              <w:bottom w:type="dxa" w:w="40"/>
              <w:right w:type="dxa" w:w="90"/>
            </w:tcMar>
          </w:tcPr>
          <w:p>
            <w:r>
              <w:rPr>
                <w:b w:val="false"/>
                <w:bCs w:val="false"/>
                <w:color w:val="000000"/>
                <w:sz w:val="20"/>
                <w:szCs w:val="20"/>
              </w:rPr>
              <w:t xml:space="preserve">Director (red)</w:t>
            </w:r>
          </w:p>
        </w:tc>
      </w:tr>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+31.7% (+30.75)</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7,500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+35.4%</w:t>
            </w:r>
          </w:p>
        </w:tc>
      </w:tr>
      <w:tr>
        <w:tc>
          <w:tcPr>
            <w:tcW w:type="pct" w:w="45%"/>
            <w:tcMar>
              <w:top w:type="dxa" w:w="40"/>
              <w:left w:type="dxa" w:w="90"/>
              <w:bottom w:type="dxa" w:w="40"/>
              <w:right w:type="dxa" w:w="90"/>
            </w:tcMar>
          </w:tcPr>
          <w:p>
            <w:r>
              <w:rPr>
                <w:b/>
                <w:bCs/>
                <w:color w:val="000000"/>
                <w:sz w:val="20"/>
                <w:szCs w:val="20"/>
              </w:rPr>
              <w:t xml:space="preserve">Lose Price</w:t>
            </w:r>
          </w:p>
        </w:tc>
        <w:tc>
          <w:tcPr>
            <w:tcW w:type="pct" w:w="55%"/>
            <w:tcMar>
              <w:top w:type="dxa" w:w="40"/>
              <w:left w:type="dxa" w:w="90"/>
              <w:bottom w:type="dxa" w:w="40"/>
              <w:right w:type="dxa" w:w="90"/>
            </w:tcMar>
          </w:tcPr>
          <w:p>
            <w:r>
              <w:rPr>
                <w:b w:val="false"/>
                <w:bCs w:val="false"/>
                <w:color w:val="000000"/>
                <w:sz w:val="20"/>
                <w:szCs w:val="20"/>
              </w:rPr>
              <w:t xml:space="preserve">97%</w:t>
            </w:r>
          </w:p>
        </w:tc>
      </w:tr>
    </w:tbl>
    <w:p>
      <w:pPr>
        <w:pStyle w:val="Heading2"/>
        <w:spacing w:after="100" w:before="240"/>
      </w:pPr>
      <w:r>
        <w:rPr>
          <w:b/>
          <w:bCs/>
          <w:color w:val="0B2545"/>
          <w:sz w:val="24"/>
          <w:szCs w:val="24"/>
        </w:rPr>
        <w:t xml:space="preserve">3. Partner Detail screen</w:t>
      </w:r>
    </w:p>
    <w:p>
      <w:pPr>
        <w:spacing w:after="60" w:before="180"/>
      </w:pPr>
      <w:r>
        <w:rPr>
          <w:b/>
          <w:bCs/>
          <w:caps/>
          <w:color w:val="5A6472"/>
          <w:sz w:val="20"/>
          <w:szCs w:val="20"/>
        </w:rPr>
        <w:t xml:space="preserve">Driving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+31.7% (+30.75)</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7,500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+35.4%</w:t>
            </w:r>
          </w:p>
        </w:tc>
      </w:tr>
      <w:tr>
        <w:tc>
          <w:tcPr>
            <w:tcW w:type="pct" w:w="45%"/>
            <w:tcMar>
              <w:top w:type="dxa" w:w="40"/>
              <w:left w:type="dxa" w:w="90"/>
              <w:bottom w:type="dxa" w:w="40"/>
              <w:right w:type="dxa" w:w="90"/>
            </w:tcMar>
          </w:tcPr>
          <w:p>
            <w:r>
              <w:rPr>
                <w:b/>
                <w:bCs/>
                <w:color w:val="000000"/>
                <w:sz w:val="20"/>
                <w:szCs w:val="20"/>
              </w:rPr>
              <w:t xml:space="preserve">RPD Loyal</w:t>
            </w:r>
          </w:p>
        </w:tc>
        <w:tc>
          <w:tcPr>
            <w:tcW w:type="pct" w:w="55%"/>
            <w:tcMar>
              <w:top w:type="dxa" w:w="40"/>
              <w:left w:type="dxa" w:w="90"/>
              <w:bottom w:type="dxa" w:w="40"/>
              <w:right w:type="dxa" w:w="90"/>
            </w:tcMar>
          </w:tcPr>
          <w:p>
            <w:r>
              <w:rPr>
                <w:b w:val="false"/>
                <w:bCs w:val="false"/>
                <w:color w:val="000000"/>
                <w:sz w:val="20"/>
                <w:szCs w:val="20"/>
              </w:rPr>
              <w:t xml:space="preserve">+29.9%</w:t>
            </w:r>
          </w:p>
        </w:tc>
      </w:tr>
      <w:tr>
        <w:tc>
          <w:tcPr>
            <w:tcW w:type="pct" w:w="45%"/>
            <w:shd w:fill="EEF2F7" w:val="clear"/>
            <w:tcMar>
              <w:top w:type="dxa" w:w="40"/>
              <w:left w:type="dxa" w:w="90"/>
              <w:bottom w:type="dxa" w:w="40"/>
              <w:right w:type="dxa" w:w="90"/>
            </w:tcMar>
          </w:tcPr>
          <w:p>
            <w:r>
              <w:rPr>
                <w:b/>
                <w:bCs/>
                <w:color w:val="000000"/>
                <w:sz w:val="20"/>
                <w:szCs w:val="20"/>
              </w:rPr>
              <w:t xml:space="preserve">Lose Price</w:t>
            </w:r>
          </w:p>
        </w:tc>
        <w:tc>
          <w:tcPr>
            <w:tcW w:type="pct" w:w="55%"/>
            <w:shd w:fill="EEF2F7" w:val="clear"/>
            <w:tcMar>
              <w:top w:type="dxa" w:w="40"/>
              <w:left w:type="dxa" w:w="90"/>
              <w:bottom w:type="dxa" w:w="40"/>
              <w:right w:type="dxa" w:w="90"/>
            </w:tcMar>
          </w:tcPr>
          <w:p>
            <w:r>
              <w:rPr>
                <w:b w:val="false"/>
                <w:bCs w:val="false"/>
                <w:color w:val="000000"/>
                <w:sz w:val="20"/>
                <w:szCs w:val="20"/>
              </w:rPr>
              <w:t xml:space="preserve">97%</w:t>
            </w:r>
          </w:p>
        </w:tc>
      </w:tr>
      <w:tr>
        <w:tc>
          <w:tcPr>
            <w:tcW w:type="pct" w:w="45%"/>
            <w:tcMar>
              <w:top w:type="dxa" w:w="40"/>
              <w:left w:type="dxa" w:w="90"/>
              <w:bottom w:type="dxa" w:w="40"/>
              <w:right w:type="dxa" w:w="90"/>
            </w:tcMar>
          </w:tcPr>
          <w:p>
            <w:r>
              <w:rPr>
                <w:b/>
                <w:bCs/>
                <w:color w:val="000000"/>
                <w:sz w:val="20"/>
                <w:szCs w:val="20"/>
              </w:rPr>
              <w:t xml:space="preserve">Scenarios</w:t>
            </w:r>
          </w:p>
        </w:tc>
        <w:tc>
          <w:tcPr>
            <w:tcW w:type="pct" w:w="55%"/>
            <w:tcMar>
              <w:top w:type="dxa" w:w="40"/>
              <w:left w:type="dxa" w:w="90"/>
              <w:bottom w:type="dxa" w:w="40"/>
              <w:right w:type="dxa" w:w="90"/>
            </w:tcMar>
          </w:tcPr>
          <w:p>
            <w:r>
              <w:rPr>
                <w:b w:val="false"/>
                <w:bCs w:val="false"/>
                <w:color w:val="000000"/>
                <w:sz w:val="20"/>
                <w:szCs w:val="20"/>
              </w:rPr>
              <w:t xml:space="preserve">3</w:t>
            </w:r>
          </w:p>
        </w:tc>
      </w:tr>
      <w:tr>
        <w:tc>
          <w:tcPr>
            <w:tcW w:type="pct" w:w="45%"/>
            <w:shd w:fill="EEF2F7" w:val="clear"/>
            <w:tcMar>
              <w:top w:type="dxa" w:w="40"/>
              <w:left w:type="dxa" w:w="90"/>
              <w:bottom w:type="dxa" w:w="40"/>
              <w:right w:type="dxa" w:w="90"/>
            </w:tcMar>
          </w:tcPr>
          <w:p>
            <w:r>
              <w:rPr>
                <w:b/>
                <w:bCs/>
                <w:color w:val="000000"/>
                <w:sz w:val="20"/>
                <w:szCs w:val="20"/>
              </w:rPr>
              <w:t xml:space="preserve">Competitor</w:t>
            </w:r>
          </w:p>
        </w:tc>
        <w:tc>
          <w:tcPr>
            <w:tcW w:type="pct" w:w="55%"/>
            <w:shd w:fill="EEF2F7" w:val="clear"/>
            <w:tcMar>
              <w:top w:type="dxa" w:w="40"/>
              <w:left w:type="dxa" w:w="90"/>
              <w:bottom w:type="dxa" w:w="40"/>
              <w:right w:type="dxa" w:w="90"/>
            </w:tcMar>
          </w:tcPr>
          <w:p>
            <w:r>
              <w:rPr>
                <w:b w:val="false"/>
                <w:bCs w:val="false"/>
                <w:color w:val="000000"/>
                <w:sz w:val="20"/>
                <w:szCs w:val="20"/>
              </w:rPr>
              <w:t xml:space="preserve">Key OTA</w:t>
            </w:r>
          </w:p>
        </w:tc>
      </w:tr>
    </w:tbl>
    <w:p>
      <w:pPr>
        <w:spacing w:after="60" w:before="180"/>
      </w:pPr>
      <w:r>
        <w:rPr>
          <w:b/>
          <w:bCs/>
          <w:caps/>
          <w:color w:val="5A6472"/>
          <w:sz w:val="20"/>
          <w:szCs w:val="20"/>
        </w:rPr>
        <w:t xml:space="preserve">eRPD Price Bucket strip</w:t>
      </w:r>
    </w:p>
    <w:p>
      <w:pPr>
        <w:spacing w:after="80"/>
      </w:pPr>
      <w:r>
        <w:rPr>
          <w:b/>
          <w:bCs/>
          <w:color w:val="0B2545"/>
          <w:sz w:val="20"/>
          <w:szCs w:val="20"/>
        </w:rPr>
        <w:t xml:space="preserve">On-screen marker: </w:t>
      </w:r>
      <w:r>
        <w:rPr>
          <w:sz w:val="20"/>
          <w:szCs w:val="20"/>
        </w:rPr>
        <w:t xml:space="preserve">eRPD +31.7%</w:t>
      </w:r>
    </w:p>
    <w:p>
      <w:pPr>
        <w:spacing w:after="80"/>
      </w:pPr>
      <w:r>
        <w:rPr>
          <w:i/>
          <w:iCs/>
          <w:color w:val="5A6472"/>
          <w:sz w:val="18"/>
          <w:szCs w:val="18"/>
        </w:rPr>
        <w:t xml:space="preserve">Shown as a 7-segment green (most competitive) to red (least competitive) strip, with the marker over this partner’s segment. The bucket number is not shown on screen.</w:t>
      </w:r>
    </w:p>
    <w:p>
      <w:pPr>
        <w:spacing w:after="60" w:before="180"/>
      </w:pPr>
      <w:r>
        <w:rPr>
          <w:b/>
          <w:bCs/>
          <w:caps/>
          <w:color w:val="5A6472"/>
          <w:sz w:val="20"/>
          <w:szCs w:val="20"/>
        </w:rPr>
        <w:t xml:space="preserve">Secondary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30D ABRN (vs last year)</w:t>
            </w:r>
          </w:p>
        </w:tc>
        <w:tc>
          <w:tcPr>
            <w:tcW w:type="pct" w:w="55%"/>
            <w:shd w:fill="EEF2F7" w:val="clear"/>
            <w:tcMar>
              <w:top w:type="dxa" w:w="40"/>
              <w:left w:type="dxa" w:w="90"/>
              <w:bottom w:type="dxa" w:w="40"/>
              <w:right w:type="dxa" w:w="90"/>
            </w:tcMar>
          </w:tcPr>
          <w:p>
            <w:r>
              <w:rPr>
                <w:b w:val="false"/>
                <w:bCs w:val="false"/>
                <w:color w:val="000000"/>
                <w:sz w:val="20"/>
                <w:szCs w:val="20"/>
              </w:rPr>
              <w:t xml:space="preserve">170 (-28%)</w:t>
            </w:r>
          </w:p>
        </w:tc>
      </w:tr>
      <w:tr>
        <w:tc>
          <w:tcPr>
            <w:tcW w:type="pct" w:w="45%"/>
            <w:tcMar>
              <w:top w:type="dxa" w:w="40"/>
              <w:left w:type="dxa" w:w="90"/>
              <w:bottom w:type="dxa" w:w="40"/>
              <w:right w:type="dxa" w:w="90"/>
            </w:tcMar>
          </w:tcPr>
          <w:p>
            <w:r>
              <w:rPr>
                <w:b/>
                <w:bCs/>
                <w:color w:val="000000"/>
                <w:sz w:val="20"/>
                <w:szCs w:val="20"/>
              </w:rPr>
              <w:t xml:space="preserve">Last 30D Room Nights (vs peer)</w:t>
            </w:r>
          </w:p>
        </w:tc>
        <w:tc>
          <w:tcPr>
            <w:tcW w:type="pct" w:w="55%"/>
            <w:tcMar>
              <w:top w:type="dxa" w:w="40"/>
              <w:left w:type="dxa" w:w="90"/>
              <w:bottom w:type="dxa" w:w="40"/>
              <w:right w:type="dxa" w:w="90"/>
            </w:tcMar>
          </w:tcPr>
          <w:p>
            <w:r>
              <w:rPr>
                <w:b w:val="false"/>
                <w:bCs w:val="false"/>
                <w:color w:val="000000"/>
                <w:sz w:val="20"/>
                <w:szCs w:val="20"/>
              </w:rPr>
              <w:t xml:space="preserve">88 (-44%)</w:t>
            </w:r>
          </w:p>
        </w:tc>
      </w:tr>
      <w:tr>
        <w:tc>
          <w:tcPr>
            <w:tcW w:type="pct" w:w="45%"/>
            <w:shd w:fill="EEF2F7" w:val="clear"/>
            <w:tcMar>
              <w:top w:type="dxa" w:w="40"/>
              <w:left w:type="dxa" w:w="90"/>
              <w:bottom w:type="dxa" w:w="40"/>
              <w:right w:type="dxa" w:w="90"/>
            </w:tcMar>
          </w:tcPr>
          <w:p>
            <w:r>
              <w:rPr>
                <w:b/>
                <w:bCs/>
                <w:color w:val="000000"/>
                <w:sz w:val="20"/>
                <w:szCs w:val="20"/>
              </w:rPr>
              <w:t xml:space="preserve">Last 30D ADR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64 (+88%)</w:t>
            </w:r>
          </w:p>
        </w:tc>
      </w:tr>
      <w:tr>
        <w:tc>
          <w:tcPr>
            <w:tcW w:type="pct" w:w="45%"/>
            <w:tcMar>
              <w:top w:type="dxa" w:w="40"/>
              <w:left w:type="dxa" w:w="90"/>
              <w:bottom w:type="dxa" w:w="40"/>
              <w:right w:type="dxa" w:w="90"/>
            </w:tcMar>
          </w:tcPr>
          <w:p>
            <w:r>
              <w:rPr>
                <w:b/>
                <w:bCs/>
                <w:color w:val="000000"/>
                <w:sz w:val="20"/>
                <w:szCs w:val="20"/>
              </w:rPr>
              <w:t xml:space="preserve">Last 30D Page Views (vs peer)</w:t>
            </w:r>
          </w:p>
        </w:tc>
        <w:tc>
          <w:tcPr>
            <w:tcW w:type="pct" w:w="55%"/>
            <w:tcMar>
              <w:top w:type="dxa" w:w="40"/>
              <w:left w:type="dxa" w:w="90"/>
              <w:bottom w:type="dxa" w:w="40"/>
              <w:right w:type="dxa" w:w="90"/>
            </w:tcMar>
          </w:tcPr>
          <w:p>
            <w:r>
              <w:rPr>
                <w:b w:val="false"/>
                <w:bCs w:val="false"/>
                <w:color w:val="000000"/>
                <w:sz w:val="20"/>
                <w:szCs w:val="20"/>
              </w:rPr>
              <w:t xml:space="preserve">23115 (+65%)</w:t>
            </w:r>
          </w:p>
        </w:tc>
      </w:tr>
      <w:tr>
        <w:tc>
          <w:tcPr>
            <w:tcW w:type="pct" w:w="45%"/>
            <w:shd w:fill="EEF2F7" w:val="clear"/>
            <w:tcMar>
              <w:top w:type="dxa" w:w="40"/>
              <w:left w:type="dxa" w:w="90"/>
              <w:bottom w:type="dxa" w:w="40"/>
              <w:right w:type="dxa" w:w="90"/>
            </w:tcMar>
          </w:tcPr>
          <w:p>
            <w:r>
              <w:rPr>
                <w:b/>
                <w:bCs/>
                <w:color w:val="000000"/>
                <w:sz w:val="20"/>
                <w:szCs w:val="20"/>
              </w:rPr>
              <w:t xml:space="preserve">Last 30D Conversion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0.7 (-68%)</w:t>
            </w:r>
          </w:p>
        </w:tc>
      </w:tr>
      <w:tr>
        <w:tc>
          <w:tcPr>
            <w:tcW w:type="pct" w:w="45%"/>
            <w:tcMar>
              <w:top w:type="dxa" w:w="40"/>
              <w:left w:type="dxa" w:w="90"/>
              <w:bottom w:type="dxa" w:w="40"/>
              <w:right w:type="dxa" w:w="90"/>
            </w:tcMar>
          </w:tcPr>
          <w:p>
            <w:r>
              <w:rPr>
                <w:b/>
                <w:bCs/>
                <w:color w:val="000000"/>
                <w:sz w:val="20"/>
                <w:szCs w:val="20"/>
              </w:rPr>
              <w:t xml:space="preserve">Next 3M Room Nights (vs peer)</w:t>
            </w:r>
          </w:p>
        </w:tc>
        <w:tc>
          <w:tcPr>
            <w:tcW w:type="pct" w:w="55%"/>
            <w:tcMar>
              <w:top w:type="dxa" w:w="40"/>
              <w:left w:type="dxa" w:w="90"/>
              <w:bottom w:type="dxa" w:w="40"/>
              <w:right w:type="dxa" w:w="90"/>
            </w:tcMar>
          </w:tcPr>
          <w:p>
            <w:r>
              <w:rPr>
                <w:b w:val="false"/>
                <w:bCs w:val="false"/>
                <w:color w:val="000000"/>
                <w:sz w:val="20"/>
                <w:szCs w:val="20"/>
              </w:rPr>
              <w:t xml:space="preserve">25 (-46%)</w:t>
            </w:r>
          </w:p>
        </w:tc>
      </w:tr>
    </w:tbl>
    <w:p>
      <w:pPr>
        <w:spacing w:after="60" w:before="180"/>
      </w:pPr>
      <w:r>
        <w:rPr>
          <w:b/>
          <w:bCs/>
          <w:caps/>
          <w:color w:val="5A6472"/>
          <w:sz w:val="20"/>
          <w:szCs w:val="20"/>
        </w:rPr>
        <w:t xml:space="preserve">On Platform Competitiveness tab (OPC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Unsold Rooms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33</w:t>
            </w:r>
          </w:p>
        </w:tc>
      </w:tr>
      <w:tr>
        <w:tc>
          <w:tcPr>
            <w:tcW w:type="pct" w:w="45%"/>
            <w:tcMar>
              <w:top w:type="dxa" w:w="40"/>
              <w:left w:type="dxa" w:w="90"/>
              <w:bottom w:type="dxa" w:w="40"/>
              <w:right w:type="dxa" w:w="90"/>
            </w:tcMar>
          </w:tcPr>
          <w:p>
            <w:r>
              <w:rPr>
                <w:b/>
                <w:bCs/>
                <w:color w:val="000000"/>
                <w:sz w:val="20"/>
                <w:szCs w:val="20"/>
              </w:rPr>
              <w:t xml:space="preserve">Sell Through Rate (vs peer)</w:t>
            </w:r>
          </w:p>
        </w:tc>
        <w:tc>
          <w:tcPr>
            <w:tcW w:type="pct" w:w="55%"/>
            <w:tcMar>
              <w:top w:type="dxa" w:w="40"/>
              <w:left w:type="dxa" w:w="90"/>
              <w:bottom w:type="dxa" w:w="40"/>
              <w:right w:type="dxa" w:w="90"/>
            </w:tcMar>
          </w:tcPr>
          <w:p>
            <w:r>
              <w:rPr>
                <w:b w:val="false"/>
                <w:bCs w:val="false"/>
                <w:color w:val="000000"/>
                <w:sz w:val="20"/>
                <w:szCs w:val="20"/>
              </w:rPr>
              <w:t xml:space="preserve">-7</w:t>
            </w:r>
          </w:p>
        </w:tc>
      </w:tr>
      <w:tr>
        <w:tc>
          <w:tcPr>
            <w:tcW w:type="pct" w:w="45%"/>
            <w:shd w:fill="EEF2F7" w:val="clear"/>
            <w:tcMar>
              <w:top w:type="dxa" w:w="40"/>
              <w:left w:type="dxa" w:w="90"/>
              <w:bottom w:type="dxa" w:w="40"/>
              <w:right w:type="dxa" w:w="90"/>
            </w:tcMar>
          </w:tcPr>
          <w:p>
            <w:r>
              <w:rPr>
                <w:b/>
                <w:bCs/>
                <w:color w:val="000000"/>
                <w:sz w:val="20"/>
                <w:szCs w:val="20"/>
              </w:rPr>
              <w:t xml:space="preserve">Distribution of Search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Visibility Share (vs peer)</w:t>
            </w:r>
          </w:p>
        </w:tc>
        <w:tc>
          <w:tcPr>
            <w:tcW w:type="pct" w:w="55%"/>
            <w:tcMar>
              <w:top w:type="dxa" w:w="40"/>
              <w:left w:type="dxa" w:w="90"/>
              <w:bottom w:type="dxa" w:w="40"/>
              <w:right w:type="dxa" w:w="90"/>
            </w:tcMar>
          </w:tcPr>
          <w:p>
            <w:r>
              <w:rPr>
                <w:b w:val="false"/>
                <w:bCs w:val="false"/>
                <w:color w:val="000000"/>
                <w:sz w:val="20"/>
                <w:szCs w:val="20"/>
              </w:rPr>
              <w:t xml:space="preserve">8 vs 23 peer</w:t>
            </w:r>
          </w:p>
        </w:tc>
      </w:tr>
      <w:tr>
        <w:tc>
          <w:tcPr>
            <w:tcW w:type="pct" w:w="45%"/>
            <w:shd w:fill="EEF2F7" w:val="clear"/>
            <w:tcMar>
              <w:top w:type="dxa" w:w="40"/>
              <w:left w:type="dxa" w:w="90"/>
              <w:bottom w:type="dxa" w:w="40"/>
              <w:right w:type="dxa" w:w="90"/>
            </w:tcMar>
          </w:tcPr>
          <w:p>
            <w:r>
              <w:rPr>
                <w:b/>
                <w:bCs/>
                <w:color w:val="000000"/>
                <w:sz w:val="20"/>
                <w:szCs w:val="20"/>
              </w:rPr>
              <w:t xml:space="preserve">Click Through Rate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3.2</w:t>
            </w:r>
          </w:p>
        </w:tc>
      </w:tr>
      <w:tr>
        <w:tc>
          <w:tcPr>
            <w:tcW w:type="pct" w:w="45%"/>
            <w:tcMar>
              <w:top w:type="dxa" w:w="40"/>
              <w:left w:type="dxa" w:w="90"/>
              <w:bottom w:type="dxa" w:w="40"/>
              <w:right w:type="dxa" w:w="90"/>
            </w:tcMar>
          </w:tcPr>
          <w:p>
            <w:r>
              <w:rPr>
                <w:b/>
                <w:bCs/>
                <w:color w:val="000000"/>
                <w:sz w:val="20"/>
                <w:szCs w:val="20"/>
              </w:rPr>
              <w:t xml:space="preserve">Conversion (vs peer)</w:t>
            </w:r>
          </w:p>
        </w:tc>
        <w:tc>
          <w:tcPr>
            <w:tcW w:type="pct" w:w="55%"/>
            <w:tcMar>
              <w:top w:type="dxa" w:w="40"/>
              <w:left w:type="dxa" w:w="90"/>
              <w:bottom w:type="dxa" w:w="40"/>
              <w:right w:type="dxa" w:w="90"/>
            </w:tcMar>
          </w:tcPr>
          <w:p>
            <w:r>
              <w:rPr>
                <w:b w:val="false"/>
                <w:bCs w:val="false"/>
                <w:color w:val="000000"/>
                <w:sz w:val="20"/>
                <w:szCs w:val="20"/>
              </w:rPr>
              <w:t xml:space="preserve">0.84</w:t>
            </w:r>
          </w:p>
        </w:tc>
      </w:tr>
      <w:tr>
        <w:tc>
          <w:tcPr>
            <w:tcW w:type="pct" w:w="45%"/>
            <w:shd w:fill="EEF2F7" w:val="clear"/>
            <w:tcMar>
              <w:top w:type="dxa" w:w="40"/>
              <w:left w:type="dxa" w:w="90"/>
              <w:bottom w:type="dxa" w:w="40"/>
              <w:right w:type="dxa" w:w="90"/>
            </w:tcMar>
          </w:tcPr>
          <w:p>
            <w:r>
              <w:rPr>
                <w:b/>
                <w:bCs/>
                <w:color w:val="000000"/>
                <w:sz w:val="20"/>
                <w:szCs w:val="20"/>
              </w:rPr>
              <w:t xml:space="preserve">Search Price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12</w:t>
            </w:r>
          </w:p>
        </w:tc>
      </w:tr>
    </w:tbl>
    <w:p>
      <w:pPr>
        <w:spacing w:after="80"/>
      </w:pPr>
      <w:r>
        <w:rPr>
          <w:i/>
          <w:iCs/>
          <w:color w:val="5A6472"/>
          <w:sz w:val="18"/>
          <w:szCs w:val="18"/>
        </w:rPr>
        <w:t xml:space="preserve">On screen, OPC metrics without a peer figure display a "(xx)" comparator placeholder (peer data still pending SME sign-off).</w:t>
      </w:r>
    </w:p>
    <w:p>
      <w:pPr>
        <w:spacing w:after="60" w:before="180"/>
      </w:pPr>
      <w:r>
        <w:rPr>
          <w:b/>
          <w:bCs/>
          <w:caps/>
          <w:color w:val="5A6472"/>
          <w:sz w:val="20"/>
          <w:szCs w:val="20"/>
        </w:rPr>
        <w:t xml:space="preserve">Profile meta</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Pricing Contact</w:t>
            </w:r>
          </w:p>
        </w:tc>
        <w:tc>
          <w:tcPr>
            <w:tcW w:type="pct" w:w="55%"/>
            <w:shd w:fill="EEF2F7" w:val="clear"/>
            <w:tcMar>
              <w:top w:type="dxa" w:w="40"/>
              <w:left w:type="dxa" w:w="90"/>
              <w:bottom w:type="dxa" w:w="40"/>
              <w:right w:type="dxa" w:w="90"/>
            </w:tcMar>
          </w:tcPr>
          <w:p>
            <w:r>
              <w:rPr>
                <w:b w:val="false"/>
                <w:bCs w:val="false"/>
                <w:color w:val="000000"/>
                <w:sz w:val="20"/>
                <w:szCs w:val="20"/>
              </w:rPr>
              <w:t xml:space="preserve">115 days ago</w:t>
            </w:r>
          </w:p>
        </w:tc>
      </w:tr>
      <w:tr>
        <w:tc>
          <w:tcPr>
            <w:tcW w:type="pct" w:w="45%"/>
            <w:tcMar>
              <w:top w:type="dxa" w:w="40"/>
              <w:left w:type="dxa" w:w="90"/>
              <w:bottom w:type="dxa" w:w="40"/>
              <w:right w:type="dxa" w:w="90"/>
            </w:tcMar>
          </w:tcPr>
          <w:p>
            <w:r>
              <w:rPr>
                <w:b/>
                <w:bCs/>
                <w:color w:val="000000"/>
                <w:sz w:val="20"/>
                <w:szCs w:val="20"/>
              </w:rPr>
              <w:t xml:space="preserve">Pricing Coverage (QTD)</w:t>
            </w:r>
          </w:p>
        </w:tc>
        <w:tc>
          <w:tcPr>
            <w:tcW w:type="pct" w:w="55%"/>
            <w:tcMar>
              <w:top w:type="dxa" w:w="40"/>
              <w:left w:type="dxa" w:w="90"/>
              <w:bottom w:type="dxa" w:w="40"/>
              <w:right w:type="dxa" w:w="90"/>
            </w:tcMar>
          </w:tcPr>
          <w:p>
            <w:r>
              <w:rPr>
                <w:b w:val="false"/>
                <w:bCs w:val="false"/>
                <w:color w:val="000000"/>
                <w:sz w:val="20"/>
                <w:szCs w:val="20"/>
              </w:rPr>
              <w:t xml:space="preserve">20%</w:t>
            </w:r>
          </w:p>
        </w:tc>
      </w:tr>
    </w:tbl>
    <w:p>
      <w:pPr>
        <w:spacing w:after="60" w:before="180"/>
      </w:pPr>
      <w:r>
        <w:rPr>
          <w:b/>
          <w:bCs/>
          <w:caps/>
          <w:color w:val="5A6472"/>
          <w:sz w:val="20"/>
          <w:szCs w:val="20"/>
        </w:rPr>
        <w:t xml:space="preserve">Discount products</w:t>
      </w:r>
    </w:p>
    <w:p>
      <w:pPr>
        <w:spacing w:after="20" w:before="60"/>
      </w:pPr>
      <w:r>
        <w:rPr>
          <w:b/>
          <w:bCs/>
          <w:color w:val="5A6472"/>
          <w:sz w:val="19"/>
          <w:szCs w:val="19"/>
        </w:rPr>
        <w:t xml:space="preserve">Public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Mobile Rates</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r>
        <w:tc>
          <w:tcPr>
            <w:tcW w:type="pct" w:w="45%"/>
            <w:tcMar>
              <w:top w:type="dxa" w:w="40"/>
              <w:left w:type="dxa" w:w="90"/>
              <w:bottom w:type="dxa" w:w="40"/>
              <w:right w:type="dxa" w:w="90"/>
            </w:tcMar>
          </w:tcPr>
          <w:p>
            <w:r>
              <w:rPr>
                <w:b/>
                <w:bCs/>
                <w:color w:val="000000"/>
                <w:sz w:val="20"/>
                <w:szCs w:val="20"/>
              </w:rPr>
              <w:t xml:space="preserve">Country Rates</w:t>
            </w:r>
          </w:p>
        </w:tc>
        <w:tc>
          <w:tcPr>
            <w:tcW w:type="pct" w:w="55%"/>
            <w:tcMar>
              <w:top w:type="dxa" w:w="40"/>
              <w:left w:type="dxa" w:w="90"/>
              <w:bottom w:type="dxa" w:w="40"/>
              <w:right w:type="dxa" w:w="90"/>
            </w:tcMar>
          </w:tcPr>
          <w:p>
            <w:r>
              <w:rPr>
                <w:b w:val="false"/>
                <w:bCs w:val="false"/>
                <w:color w:val="000000"/>
                <w:sz w:val="20"/>
                <w:szCs w:val="20"/>
              </w:rPr>
              <w:t xml:space="preserve">Active</w:t>
            </w:r>
          </w:p>
        </w:tc>
      </w:tr>
      <w:tr>
        <w:tc>
          <w:tcPr>
            <w:tcW w:type="pct" w:w="45%"/>
            <w:shd w:fill="EEF2F7" w:val="clear"/>
            <w:tcMar>
              <w:top w:type="dxa" w:w="40"/>
              <w:left w:type="dxa" w:w="90"/>
              <w:bottom w:type="dxa" w:w="40"/>
              <w:right w:type="dxa" w:w="90"/>
            </w:tcMar>
          </w:tcPr>
          <w:p>
            <w:r>
              <w:rPr>
                <w:b/>
                <w:bCs/>
                <w:color w:val="000000"/>
                <w:sz w:val="20"/>
                <w:szCs w:val="20"/>
              </w:rPr>
              <w:t xml:space="preserve">Portfolio Deals</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r>
        <w:tc>
          <w:tcPr>
            <w:tcW w:type="pct" w:w="45%"/>
            <w:tcMar>
              <w:top w:type="dxa" w:w="40"/>
              <w:left w:type="dxa" w:w="90"/>
              <w:bottom w:type="dxa" w:w="40"/>
              <w:right w:type="dxa" w:w="90"/>
            </w:tcMar>
          </w:tcPr>
          <w:p>
            <w:r>
              <w:rPr>
                <w:b/>
                <w:bCs/>
                <w:color w:val="000000"/>
                <w:sz w:val="20"/>
                <w:szCs w:val="20"/>
              </w:rPr>
              <w:t xml:space="preserve">Campaigns</w:t>
            </w:r>
          </w:p>
        </w:tc>
        <w:tc>
          <w:tcPr>
            <w:tcW w:type="pct" w:w="55%"/>
            <w:tcMar>
              <w:top w:type="dxa" w:w="40"/>
              <w:left w:type="dxa" w:w="90"/>
              <w:bottom w:type="dxa" w:w="40"/>
              <w:right w:type="dxa" w:w="90"/>
            </w:tcMar>
          </w:tcPr>
          <w:p>
            <w:r>
              <w:rPr>
                <w:b w:val="false"/>
                <w:bCs w:val="false"/>
                <w:color w:val="000000"/>
                <w:sz w:val="20"/>
                <w:szCs w:val="20"/>
              </w:rPr>
              <w:t xml:space="preserve">Active</w:t>
            </w:r>
          </w:p>
        </w:tc>
      </w:tr>
    </w:tbl>
    <w:p>
      <w:pPr>
        <w:spacing w:after="20" w:before="60"/>
      </w:pPr>
      <w:r>
        <w:rPr>
          <w:b/>
          <w:bCs/>
          <w:color w:val="5A6472"/>
          <w:sz w:val="19"/>
          <w:szCs w:val="19"/>
        </w:rPr>
        <w:t xml:space="preserve">Genius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Genius Program</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r>
        <w:tc>
          <w:tcPr>
            <w:tcW w:type="pct" w:w="45%"/>
            <w:tcMar>
              <w:top w:type="dxa" w:w="40"/>
              <w:left w:type="dxa" w:w="90"/>
              <w:bottom w:type="dxa" w:w="40"/>
              <w:right w:type="dxa" w:w="90"/>
            </w:tcMar>
          </w:tcPr>
          <w:p>
            <w:r>
              <w:rPr>
                <w:b/>
                <w:bCs/>
                <w:color w:val="000000"/>
                <w:sz w:val="20"/>
                <w:szCs w:val="20"/>
              </w:rPr>
              <w:t xml:space="preserve">Genius 15%</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Genius 20%</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Genius dynamic pricing</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Foundations &amp; Payments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Base Rate Plan</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Family rates</w:t>
            </w:r>
          </w:p>
        </w:tc>
        <w:tc>
          <w:tcPr>
            <w:tcW w:type="pct" w:w="55%"/>
            <w:tcMar>
              <w:top w:type="dxa" w:w="40"/>
              <w:left w:type="dxa" w:w="90"/>
              <w:bottom w:type="dxa" w:w="40"/>
              <w:right w:type="dxa" w:w="90"/>
            </w:tcMar>
          </w:tcPr>
          <w:p>
            <w:r>
              <w:rPr>
                <w:b w:val="false"/>
                <w:bCs w:val="false"/>
                <w:color w:val="000000"/>
                <w:sz w:val="20"/>
                <w:szCs w:val="20"/>
              </w:rPr>
              <w:t xml:space="preserve">Active</w:t>
            </w:r>
          </w:p>
        </w:tc>
      </w:tr>
      <w:tr>
        <w:tc>
          <w:tcPr>
            <w:tcW w:type="pct" w:w="45%"/>
            <w:shd w:fill="EEF2F7" w:val="clear"/>
            <w:tcMar>
              <w:top w:type="dxa" w:w="40"/>
              <w:left w:type="dxa" w:w="90"/>
              <w:bottom w:type="dxa" w:w="40"/>
              <w:right w:type="dxa" w:w="90"/>
            </w:tcMar>
          </w:tcPr>
          <w:p>
            <w:r>
              <w:rPr>
                <w:b/>
                <w:bCs/>
                <w:color w:val="000000"/>
                <w:sz w:val="20"/>
                <w:szCs w:val="20"/>
              </w:rPr>
              <w:t xml:space="preserve">Payments</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bl>
    <w:p>
      <w:pPr>
        <w:pStyle w:val="Heading2"/>
        <w:spacing w:after="100" w:before="240"/>
      </w:pPr>
      <w:r>
        <w:rPr>
          <w:b/>
          <w:bCs/>
          <w:color w:val="0B2545"/>
          <w:sz w:val="24"/>
          <w:szCs w:val="24"/>
        </w:rPr>
        <w:t xml:space="preserve">4. Persona coaching lenses</w:t>
      </w:r>
    </w:p>
    <w:p>
      <w:pPr>
        <w:spacing w:after="80"/>
      </w:pPr>
      <w:r>
        <w:rPr>
          <w:i/>
          <w:iCs/>
          <w:color w:val="5A6472"/>
          <w:sz w:val="18"/>
          <w:szCs w:val="18"/>
        </w:rPr>
        <w:t xml:space="preserve">One chip shown on Partner Detail depending on the learner’s chosen super power. Informational only - does not change grading.</w:t>
      </w:r>
    </w:p>
    <w:p>
      <w:pPr>
        <w:spacing w:after="40"/>
      </w:pPr>
      <w:r>
        <w:rPr>
          <w:b/>
          <w:bCs/>
          <w:color w:val="0B2545"/>
          <w:sz w:val="20"/>
          <w:szCs w:val="20"/>
        </w:rPr>
        <w:t xml:space="preserve">Conversation Architect: </w:t>
      </w:r>
      <w:r>
        <w:rPr>
          <w:sz w:val="20"/>
          <w:szCs w:val="20"/>
        </w:rPr>
        <w:t xml:space="preserve">Lucas is red/blue and margin-first - set the wholesaler leak aside, go device-specific, land the mobile rate without challenging his head office.</w:t>
      </w:r>
    </w:p>
    <w:p>
      <w:pPr>
        <w:spacing w:after="40"/>
      </w:pPr>
      <w:r>
        <w:rPr>
          <w:b/>
          <w:bCs/>
          <w:color w:val="0B2545"/>
          <w:sz w:val="20"/>
          <w:szCs w:val="20"/>
        </w:rPr>
        <w:t xml:space="preserve">Objection Navigator: </w:t>
      </w:r>
      <w:r>
        <w:rPr>
          <w:sz w:val="20"/>
          <w:szCs w:val="20"/>
        </w:rPr>
        <w:t xml:space="preserve">Expect a regional-office ban on cuts plus wholesaler-leak blame - don't chase the leak; the mobile misconfig is the fixable lever.</w:t>
      </w:r>
    </w:p>
    <w:p>
      <w:pPr>
        <w:spacing w:after="40"/>
      </w:pPr>
      <w:r>
        <w:rPr>
          <w:b/>
          <w:bCs/>
          <w:color w:val="0B2545"/>
          <w:sz w:val="20"/>
          <w:szCs w:val="20"/>
        </w:rPr>
        <w:t xml:space="preserve">Storyteller: </w:t>
      </w:r>
      <w:r>
        <w:rPr>
          <w:sz w:val="20"/>
          <w:szCs w:val="20"/>
        </w:rPr>
        <w:t xml:space="preserve">Severe leak: 33% unsold, visibility 8% vs 23% peer, and a mobile discount that excludes 70% of mobile searches, dropping mobile conversion 80%.</w:t>
      </w:r>
    </w:p>
    <w:p>
      <w:pPr>
        <w:spacing w:after="40"/>
      </w:pPr>
      <w:r>
        <w:rPr>
          <w:b/>
          <w:bCs/>
          <w:color w:val="0B2545"/>
          <w:sz w:val="20"/>
          <w:szCs w:val="20"/>
        </w:rPr>
        <w:t xml:space="preserve">Data Detective: </w:t>
      </w:r>
      <w:r>
        <w:rPr>
          <w:sz w:val="20"/>
          <w:szCs w:val="20"/>
        </w:rPr>
        <w:t xml:space="preserve">Anomaly: search price +12% overall but +18% on mobile - weekend and long-window exclusions mean most mobile searches miss his own discount.</w:t>
      </w:r>
    </w:p>
    <w:p>
      <w:pPr>
        <w:pStyle w:val="Heading2"/>
        <w:spacing w:after="100" w:before="240"/>
      </w:pPr>
      <w:r>
        <w:rPr>
          <w:b/>
          <w:bCs/>
          <w:color w:val="0B2545"/>
          <w:sz w:val="24"/>
          <w:szCs w:val="24"/>
        </w:rPr>
        <w:t xml:space="preserve">5. Prescribed Pricing Diagnostic to Pitch Flow (Coach answer key)</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Trigger</w:t>
            </w:r>
          </w:p>
        </w:tc>
        <w:tc>
          <w:tcPr>
            <w:tcW w:type="pct" w:w="55%"/>
            <w:shd w:fill="EEF2F7" w:val="clear"/>
            <w:tcMar>
              <w:top w:type="dxa" w:w="40"/>
              <w:left w:type="dxa" w:w="90"/>
              <w:bottom w:type="dxa" w:w="40"/>
              <w:right w:type="dxa" w:w="90"/>
            </w:tcMar>
          </w:tcPr>
          <w:p>
            <w:r>
              <w:rPr>
                <w:b w:val="false"/>
                <w:bCs w:val="false"/>
                <w:color w:val="000000"/>
                <w:sz w:val="20"/>
                <w:szCs w:val="20"/>
              </w:rPr>
              <w:t xml:space="preserve">pricing-signal</w:t>
            </w:r>
          </w:p>
        </w:tc>
      </w:tr>
      <w:tr>
        <w:tc>
          <w:tcPr>
            <w:tcW w:type="pct" w:w="45%"/>
            <w:tcMar>
              <w:top w:type="dxa" w:w="40"/>
              <w:left w:type="dxa" w:w="90"/>
              <w:bottom w:type="dxa" w:w="40"/>
              <w:right w:type="dxa" w:w="90"/>
            </w:tcMar>
          </w:tcPr>
          <w:p>
            <w:r>
              <w:rPr>
                <w:b/>
                <w:bCs/>
                <w:color w:val="000000"/>
                <w:sz w:val="20"/>
                <w:szCs w:val="20"/>
              </w:rPr>
              <w:t xml:space="preserve">Issue</w:t>
            </w:r>
          </w:p>
        </w:tc>
        <w:tc>
          <w:tcPr>
            <w:tcW w:type="pct" w:w="55%"/>
            <w:tcMar>
              <w:top w:type="dxa" w:w="40"/>
              <w:left w:type="dxa" w:w="90"/>
              <w:bottom w:type="dxa" w:w="40"/>
              <w:right w:type="dxa" w:w="90"/>
            </w:tcMar>
          </w:tcPr>
          <w:p>
            <w:r>
              <w:rPr>
                <w:b w:val="false"/>
                <w:bCs w:val="false"/>
                <w:color w:val="000000"/>
                <w:sz w:val="20"/>
                <w:szCs w:val="20"/>
              </w:rPr>
              <w:t xml:space="preserve">key-ota-erpd-not-competitive</w:t>
            </w:r>
          </w:p>
        </w:tc>
      </w:tr>
      <w:tr>
        <w:tc>
          <w:tcPr>
            <w:tcW w:type="pct" w:w="45%"/>
            <w:shd w:fill="EEF2F7" w:val="clear"/>
            <w:tcMar>
              <w:top w:type="dxa" w:w="40"/>
              <w:left w:type="dxa" w:w="90"/>
              <w:bottom w:type="dxa" w:w="40"/>
              <w:right w:type="dxa" w:w="90"/>
            </w:tcMar>
          </w:tcPr>
          <w:p>
            <w:r>
              <w:rPr>
                <w:b/>
                <w:bCs/>
                <w:color w:val="000000"/>
                <w:sz w:val="20"/>
                <w:szCs w:val="20"/>
              </w:rPr>
              <w:t xml:space="preserve">Intent</w:t>
            </w:r>
          </w:p>
        </w:tc>
        <w:tc>
          <w:tcPr>
            <w:tcW w:type="pct" w:w="55%"/>
            <w:shd w:fill="EEF2F7" w:val="clear"/>
            <w:tcMar>
              <w:top w:type="dxa" w:w="40"/>
              <w:left w:type="dxa" w:w="90"/>
              <w:bottom w:type="dxa" w:w="40"/>
              <w:right w:type="dxa" w:w="90"/>
            </w:tcMar>
          </w:tcPr>
          <w:p>
            <w:r>
              <w:rPr>
                <w:b w:val="false"/>
                <w:bCs w:val="false"/>
                <w:color w:val="000000"/>
                <w:sz w:val="20"/>
                <w:szCs w:val="20"/>
              </w:rPr>
              <w:t xml:space="preserve">unintentional</w:t>
            </w:r>
          </w:p>
        </w:tc>
      </w:tr>
      <w:tr>
        <w:tc>
          <w:tcPr>
            <w:tcW w:type="pct" w:w="45%"/>
            <w:tcMar>
              <w:top w:type="dxa" w:w="40"/>
              <w:left w:type="dxa" w:w="90"/>
              <w:bottom w:type="dxa" w:w="40"/>
              <w:right w:type="dxa" w:w="90"/>
            </w:tcMar>
          </w:tcPr>
          <w:p>
            <w:r>
              <w:rPr>
                <w:b/>
                <w:bCs/>
                <w:color w:val="000000"/>
                <w:sz w:val="20"/>
                <w:szCs w:val="20"/>
              </w:rPr>
              <w:t xml:space="preserve">Root cause</w:t>
            </w:r>
          </w:p>
        </w:tc>
        <w:tc>
          <w:tcPr>
            <w:tcW w:type="pct" w:w="55%"/>
            <w:tcMar>
              <w:top w:type="dxa" w:w="40"/>
              <w:left w:type="dxa" w:w="90"/>
              <w:bottom w:type="dxa" w:w="40"/>
              <w:right w:type="dxa" w:w="90"/>
            </w:tcMar>
          </w:tcPr>
          <w:p>
            <w:r>
              <w:rPr>
                <w:b w:val="false"/>
                <w:bCs w:val="false"/>
                <w:color w:val="000000"/>
                <w:sz w:val="20"/>
                <w:szCs w:val="20"/>
              </w:rPr>
              <w:t xml:space="preserve">missing-misaligned-discounts-ota</w:t>
            </w:r>
          </w:p>
        </w:tc>
      </w:tr>
      <w:tr>
        <w:tc>
          <w:tcPr>
            <w:tcW w:type="pct" w:w="45%"/>
            <w:shd w:fill="EEF2F7" w:val="clear"/>
            <w:tcMar>
              <w:top w:type="dxa" w:w="40"/>
              <w:left w:type="dxa" w:w="90"/>
              <w:bottom w:type="dxa" w:w="40"/>
              <w:right w:type="dxa" w:w="90"/>
            </w:tcMar>
          </w:tcPr>
          <w:p>
            <w:r>
              <w:rPr>
                <w:b/>
                <w:bCs/>
                <w:color w:val="000000"/>
                <w:sz w:val="20"/>
                <w:szCs w:val="20"/>
              </w:rPr>
              <w:t xml:space="preserve">Metric insight</w:t>
            </w:r>
          </w:p>
        </w:tc>
        <w:tc>
          <w:tcPr>
            <w:tcW w:type="pct" w:w="55%"/>
            <w:shd w:fill="EEF2F7" w:val="clear"/>
            <w:tcMar>
              <w:top w:type="dxa" w:w="40"/>
              <w:left w:type="dxa" w:w="90"/>
              <w:bottom w:type="dxa" w:w="40"/>
              <w:right w:type="dxa" w:w="90"/>
            </w:tcMar>
          </w:tcPr>
          <w:p>
            <w:r>
              <w:rPr>
                <w:b w:val="false"/>
                <w:bCs w:val="false"/>
                <w:color w:val="000000"/>
                <w:sz w:val="20"/>
                <w:szCs w:val="20"/>
              </w:rPr>
              <w:t xml:space="preserve">non-structural-changing-erpd</w:t>
            </w:r>
          </w:p>
        </w:tc>
      </w:tr>
      <w:tr>
        <w:tc>
          <w:tcPr>
            <w:tcW w:type="pct" w:w="45%"/>
            <w:tcMar>
              <w:top w:type="dxa" w:w="40"/>
              <w:left w:type="dxa" w:w="90"/>
              <w:bottom w:type="dxa" w:w="40"/>
              <w:right w:type="dxa" w:w="90"/>
            </w:tcMar>
          </w:tcPr>
          <w:p>
            <w:r>
              <w:rPr>
                <w:b/>
                <w:bCs/>
                <w:color w:val="000000"/>
                <w:sz w:val="20"/>
                <w:szCs w:val="20"/>
              </w:rPr>
              <w:t xml:space="preserve">Hook</w:t>
            </w:r>
          </w:p>
        </w:tc>
        <w:tc>
          <w:tcPr>
            <w:tcW w:type="pct" w:w="55%"/>
            <w:tcMar>
              <w:top w:type="dxa" w:w="40"/>
              <w:left w:type="dxa" w:w="90"/>
              <w:bottom w:type="dxa" w:w="40"/>
              <w:right w:type="dxa" w:w="90"/>
            </w:tcMar>
          </w:tcPr>
          <w:p>
            <w:r>
              <w:rPr>
                <w:b w:val="false"/>
                <w:bCs w:val="false"/>
                <w:color w:val="000000"/>
                <w:sz w:val="20"/>
                <w:szCs w:val="20"/>
              </w:rPr>
              <w:t xml:space="preserve">deep-discount-or-mdot</w:t>
            </w:r>
          </w:p>
        </w:tc>
      </w:tr>
    </w:tbl>
    <w:p>
      <w:pPr>
        <w:pStyle w:val="Heading2"/>
        <w:spacing w:after="100" w:before="240"/>
      </w:pPr>
      <w:r>
        <w:rPr>
          <w:b/>
          <w:bCs/>
          <w:color w:val="0B2545"/>
          <w:sz w:val="24"/>
          <w:szCs w:val="24"/>
        </w:rPr>
        <w:t xml:space="preserve">6. Conversation (priority partner)</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“Hi Lucas, thanks for taking the time to connect today. I'd love to review your performance together for the upcoming quarter. How's your schedule looking for a brief discussion?”</w:t>
      </w:r>
    </w:p>
    <w:p>
      <w:pPr>
        <w:spacing w:after="60" w:before="200"/>
      </w:pPr>
      <w:r>
        <w:rPr>
          <w:b/>
          <w:bCs/>
          <w:color w:val="F4B400"/>
          <w:sz w:val="22"/>
          <w:szCs w:val="22"/>
        </w:rPr>
        <w:t xml:space="preserve">Step 1</w:t>
      </w:r>
    </w:p>
    <w:p>
      <w:pPr>
        <w:spacing w:after="40"/>
      </w:pPr>
      <w:r>
        <w:rPr>
          <w:b/>
          <w:bCs/>
          <w:color w:val="5A6472"/>
          <w:sz w:val="19"/>
          <w:szCs w:val="19"/>
        </w:rPr>
        <w:t xml:space="preserve">Lucas Silva says:</w:t>
      </w:r>
    </w:p>
    <w:p>
      <w:pPr>
        <w:spacing w:after="100"/>
        <w:ind w:left="360"/>
      </w:pPr>
      <w:r>
        <w:rPr>
          <w:i/>
          <w:iCs/>
          <w:color w:val="0B2545"/>
          <w:sz w:val="20"/>
          <w:szCs w:val="20"/>
        </w:rPr>
        <w:t xml:space="preserve">“Hello, Elena. I'm ready, thanks! To be completely honest, I'm still struggling with those wholesale rates ending up online as B2C offers. What does your internal data show us right now?”</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 understand that, Lucas, and I get the frustration. Let's step away from the wholesale leak and look strictly at your performance on our platform. When you look at your inventory over the next 90 days, what's your strategy?”</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“Our priority is to maximise margins - we're in the middle of peak season. But frankly, forward bookings for the next three months are pacing slower than we'd expect. We're trying to work out why conversion stays slow despite solid demand in our destination.”</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“Let's tackle that leak head-on, Lucas - send me every channel where you're seeing your wholesale rates show up as B2C offers, and I'll work through them to trace who's dumping them and get it shut down before we look at anything else.”</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“Finally, someone who gets it - if we can trace those rates, that's the real fix. Let's start there.”</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Lucas, your bookings are running slow, so the quickest lever we've got is to bring your rates down here and get you more competitive through the peak - drop the price a bit and the volume should start coming back.”</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“Cut rates in the middle of peak season? My margins are the priority, and my regional office wouldn't allow it anyway.”</w:t>
      </w:r>
    </w:p>
    <w:p>
      <w:pPr>
        <w:spacing w:after="60" w:before="200"/>
      </w:pPr>
      <w:r>
        <w:rPr>
          <w:b/>
          <w:bCs/>
          <w:color w:val="F4B400"/>
          <w:sz w:val="22"/>
          <w:szCs w:val="22"/>
        </w:rPr>
        <w:t xml:space="preserve">Step 2</w:t>
      </w:r>
    </w:p>
    <w:p>
      <w:pPr>
        <w:spacing w:after="40"/>
      </w:pPr>
      <w:r>
        <w:rPr>
          <w:b/>
          <w:bCs/>
          <w:color w:val="5A6472"/>
          <w:sz w:val="19"/>
          <w:szCs w:val="19"/>
        </w:rPr>
        <w:t xml:space="preserve">Lucas Silva says:</w:t>
      </w:r>
    </w:p>
    <w:p>
      <w:pPr>
        <w:spacing w:after="100"/>
        <w:ind w:left="360"/>
      </w:pPr>
      <w:r>
        <w:rPr>
          <w:i/>
          <w:iCs/>
          <w:color w:val="0B2545"/>
          <w:sz w:val="20"/>
          <w:szCs w:val="20"/>
        </w:rPr>
        <w:t xml:space="preserve">“Our priority is to maximise margins - we're mid peak season. But frankly, forward bookings for the next three months are pacing slower than we'd expect, and we're trying to work out why conversion stays slow despite solid demand.”</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“Looking at the metrics, your portfolio's sell-through is pacing about 7% behind your peer group. Demand exists, but your listings are seeing a severe conversion drop - almost -50% versus the same period last year - and 33% of last month's inventory went unsold. That's a real missed-revenue opportunity.”</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“That's not reassuring. But since travelers clearly are interested - our page views are well up versus last year - what specifically is stopping them from becoming bookers?”</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Lucas, it's nothing too dramatic - conversion has dipped a touch and yes there's a bit of unsold inventory sitting there, but broadly you're in reasonable shape for the season and I wouldn't lose sleep over it. Let's not blow it out of proportion when your wholesale headache is the bigger fire to put out right now.”</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“A touch? If it's minor, then I won't prioritise it over the wholesale problem that's actually eating my margin.”</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Lucas, this conversion drop is almost certainly your wholesale leak biting - once those cheaper rates are floating around the web as B2C offers, travelers see them and simply hold off booking with you here, waiting to see if the price falls further. Sort the leak and I'd expect a lot of this conversion softness to ease.”</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“So it IS the leak. Then there's nothing I can do on your platform until that's solved, right?”</w:t>
      </w:r>
    </w:p>
    <w:p>
      <w:pPr>
        <w:spacing w:after="60" w:before="200"/>
      </w:pPr>
      <w:r>
        <w:rPr>
          <w:b/>
          <w:bCs/>
          <w:color w:val="F4B400"/>
          <w:sz w:val="22"/>
          <w:szCs w:val="22"/>
        </w:rPr>
        <w:t xml:space="preserve">Step 3</w:t>
      </w:r>
    </w:p>
    <w:p>
      <w:pPr>
        <w:spacing w:after="40"/>
      </w:pPr>
      <w:r>
        <w:rPr>
          <w:b/>
          <w:bCs/>
          <w:color w:val="5A6472"/>
          <w:sz w:val="19"/>
          <w:szCs w:val="19"/>
        </w:rPr>
        <w:t xml:space="preserve">Lucas Silva says:</w:t>
      </w:r>
    </w:p>
    <w:p>
      <w:pPr>
        <w:spacing w:after="100"/>
        <w:ind w:left="360"/>
      </w:pPr>
      <w:r>
        <w:rPr>
          <w:i/>
          <w:iCs/>
          <w:color w:val="0B2545"/>
          <w:sz w:val="20"/>
          <w:szCs w:val="20"/>
        </w:rPr>
        <w:t xml:space="preserve">“That's not reassuring. But since travelers clearly are interested - our page views are well up versus last year - what specifically is stopping them from becoming bookers?”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“Let's look at exactly where users drop out. Even with your visibility up versus last year, your share against your peer group is falling about 15% behind, and your search price averages 12% higher than theirs. So travelers see you much less - and when they do, the offer isn't attractive enough - and the volume drops.”</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“Hmm, got it. But my regional office won't allow rate cuts, especially with all the noise from those leaked wholesale rates.”</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core issue here is that your visibility share is steadily falling behind your peer group - travelers just aren't seeing your listings often enough when they search, and every time you slip down that ranking you lose another slice of demand, which is what's quietly dragging your whole volume down month after month.”</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“And what's causing the visibility to fall? There's always a lever behind it - what's mine?”</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fix here is straightforward, Lucas: your search price is running a full 12% over what your peers are charging, so you really just need to bring it right down to match their level across the board, and once your pricing lines up with theirs the volume will come straight back to you.”</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“Match my peers' pricing? My regional office has banned exactly that, and I'm not fighting them on it.”</w:t>
      </w:r>
    </w:p>
    <w:p>
      <w:pPr>
        <w:spacing w:after="60" w:before="200"/>
      </w:pPr>
      <w:r>
        <w:rPr>
          <w:b/>
          <w:bCs/>
          <w:color w:val="F4B400"/>
          <w:sz w:val="22"/>
          <w:szCs w:val="22"/>
        </w:rPr>
        <w:t xml:space="preserve">Step 4</w:t>
      </w:r>
    </w:p>
    <w:p>
      <w:pPr>
        <w:spacing w:after="40"/>
      </w:pPr>
      <w:r>
        <w:rPr>
          <w:b/>
          <w:bCs/>
          <w:color w:val="5A6472"/>
          <w:sz w:val="19"/>
          <w:szCs w:val="19"/>
        </w:rPr>
        <w:t xml:space="preserve">Lucas Silva says:</w:t>
      </w:r>
    </w:p>
    <w:p>
      <w:pPr>
        <w:spacing w:after="100"/>
        <w:ind w:left="360"/>
      </w:pPr>
      <w:r>
        <w:rPr>
          <w:i/>
          <w:iCs/>
          <w:color w:val="0B2545"/>
          <w:sz w:val="20"/>
          <w:szCs w:val="20"/>
        </w:rPr>
        <w:t xml:space="preserve">“Hmm, got it. But my regional office won't allow rate cuts, especially with all the noise from those leaked wholesale rates.”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“I'm not asking you to challenge your head-office policy at all. Let's just look closer at where the gap does the most damage. When we break it down by device over the next three months, your search price on mobile is running about 18% higher than your peers.”</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“We're 18% more expensive on mobile? Why is that happening specifically there?”</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way through this is that you'll need to go back to your regional office and make the case to lift that ban - the numbers are firmly on your side here, so I'd really push them hard on it and don't take no for an answer until they've heard the full picture.”</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“You clearly weren't listening. I'm not going to war with my regional office over this.”</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“Well, the headline is still that same 12% gap right across the board, Lucas - that's really the thing that's holding your whole performance back here, and until we get that overall number moving in the right direction I don't see the rest of it improving much either.”</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“You've said that already, and I've told you the policy won't let me move my headline rate. Where does that leave us?”</w:t>
      </w:r>
    </w:p>
    <w:p>
      <w:pPr>
        <w:spacing w:after="60" w:before="200"/>
      </w:pPr>
      <w:r>
        <w:rPr>
          <w:b/>
          <w:bCs/>
          <w:color w:val="F4B400"/>
          <w:sz w:val="22"/>
          <w:szCs w:val="22"/>
        </w:rPr>
        <w:t xml:space="preserve">Step 5</w:t>
      </w:r>
    </w:p>
    <w:p>
      <w:pPr>
        <w:spacing w:after="40"/>
      </w:pPr>
      <w:r>
        <w:rPr>
          <w:b/>
          <w:bCs/>
          <w:color w:val="5A6472"/>
          <w:sz w:val="19"/>
          <w:szCs w:val="19"/>
        </w:rPr>
        <w:t xml:space="preserve">Lucas Silva says:</w:t>
      </w:r>
    </w:p>
    <w:p>
      <w:pPr>
        <w:spacing w:after="100"/>
        <w:ind w:left="360"/>
      </w:pPr>
      <w:r>
        <w:rPr>
          <w:i/>
          <w:iCs/>
          <w:color w:val="0B2545"/>
          <w:sz w:val="20"/>
          <w:szCs w:val="20"/>
        </w:rPr>
        <w:t xml:space="preserve">“We're 18% more expensive on mobile? Why is that happening specifically there?”</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“Your basic mobile discount is active - but it excludes weekends and longer booking windows, so over 70% of mobile searches don't actually match the incentive. The result is an 80% drop-off in mobile conversions compared to your peer group. The discount is there; it's just not reaching the searches.”</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“That's a big loss. But if we adjust the mobile setup, doesn't that risk cannibalizing our desktop rates?”</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short version, Lucas, is that your mobile setup just isn't optimised the way it should be - there's clearly a good chunk of performance being left on the table on mobile compared to where it could sit, and it's dragging on your wider numbers. It's an area I'd definitely get someone to take a proper look at.”</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“Not optimised how? I need to know what's actually misconfigured before I touch it.”</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the simplest move here is just to increase your mobile discount, Lucas - push the mobile price down a good bit further so that travelers browsing on their phones see a sharper deal and start converting the way they should. Make the discount deep enough and the mobile numbers will look after themselves.”</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“Give away even more margin? In peak season? That's the last thing I want to do.”</w:t>
      </w:r>
    </w:p>
    <w:p>
      <w:pPr>
        <w:spacing w:after="60" w:before="200"/>
      </w:pPr>
      <w:r>
        <w:rPr>
          <w:b/>
          <w:bCs/>
          <w:color w:val="F4B400"/>
          <w:sz w:val="22"/>
          <w:szCs w:val="22"/>
        </w:rPr>
        <w:t xml:space="preserve">Step 6</w:t>
      </w:r>
    </w:p>
    <w:p>
      <w:pPr>
        <w:spacing w:after="40"/>
      </w:pPr>
      <w:r>
        <w:rPr>
          <w:b/>
          <w:bCs/>
          <w:color w:val="5A6472"/>
          <w:sz w:val="19"/>
          <w:szCs w:val="19"/>
        </w:rPr>
        <w:t xml:space="preserve">Lucas Silva says:</w:t>
      </w:r>
    </w:p>
    <w:p>
      <w:pPr>
        <w:spacing w:after="100"/>
        <w:ind w:left="360"/>
      </w:pPr>
      <w:r>
        <w:rPr>
          <w:i/>
          <w:iCs/>
          <w:color w:val="0B2545"/>
          <w:sz w:val="20"/>
          <w:szCs w:val="20"/>
        </w:rPr>
        <w:t xml:space="preserve">“That's a big loss. But if we adjust the mobile setup, doesn't that risk cannibalizing our desktop rates?”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“Not at all - mobile rates aren't visible to desktop searchers, so your desktop rate is untouched. And you already run country rates: this just means the same competitive rate you give EEA, US and UK travelers becomes available to mobile bookers too. You're widening the audience, not cutting deeper. Let's set it up and review the mobile recovery together.”</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“Ok, that's clear. Honestly I lose my mind keeping up with all the promotions and stacking, but the logic makes sense - let's reconnect in two months to see the impact of the mobile rate.”</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Lucas, I wouldn't overthink the cannibalization on this one - in my experience it basically never happens in practice, and I've seen plenty of partners switch a mobile rate on without any drama at all on their desktop side. So I'd just go ahead and flip the mobile rate on, then keep an eye on how it lands over the first few weeks.”</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“'It basically never happens' isn't the reasoning I need before I touch my desktop revenue. Why won't it?”</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“Perfect - and honestly, while we're at it, Lucas, let's not stop at just the mobile rate. Let's stack a couple of campaigns and a targeted deal right on top of it as well, layer in a genius offer where we can, and really maximise the whole push across every channel we've got. The more we pile on together now, the harder your mobile numbers will work for you this season.”</w:t>
      </w:r>
    </w:p>
    <w:p>
      <w:pPr>
        <w:spacing w:after="20"/>
        <w:ind w:left="360"/>
      </w:pPr>
      <w:r>
        <w:rPr>
          <w:b/>
          <w:bCs/>
          <w:color w:val="5A6472"/>
          <w:sz w:val="18"/>
          <w:szCs w:val="18"/>
        </w:rPr>
        <w:t xml:space="preserve">Lucas Silva responds:</w:t>
      </w:r>
    </w:p>
    <w:p>
      <w:pPr>
        <w:spacing w:after="100"/>
        <w:ind w:left="360"/>
      </w:pPr>
      <w:r>
        <w:rPr>
          <w:i/>
          <w:iCs/>
          <w:color w:val="0B2545"/>
          <w:sz w:val="20"/>
          <w:szCs w:val="20"/>
        </w:rPr>
        <w:t xml:space="preserve">“I just told you I'm drowning in stacked promotions. Piling more on is the opposite of what I need.”</w:t>
      </w:r>
    </w:p>
    <w:p>
      <w:r>
        <w:br w:type="page"/>
      </w:r>
    </w:p>
    <w:p>
      <w:pPr>
        <w:shd w:fill="0B2545" w:val="clear"/>
        <w:spacing w:after="60" w:before="120"/>
      </w:pPr>
      <w:r>
        <w:rPr>
          <w:b/>
          <w:bCs/>
          <w:color w:val="FFFFFF"/>
          <w:sz w:val="30"/>
          <w:szCs w:val="30"/>
        </w:rPr>
        <w:t xml:space="preserve">  ROUND 20  -  The Noble Falcon Inn  -  No Parity  </w:t>
      </w:r>
    </w:p>
    <w:p>
      <w:pPr>
        <w:pBdr>
          <w:bottom w:val="single" w:color="F4B400" w:sz="6"/>
        </w:pBdr>
        <w:spacing w:after="120" w:before="120"/>
      </w:pPr>
    </w:p>
    <w:p>
      <w:pPr>
        <w:pStyle w:val="Heading2"/>
        <w:spacing w:after="100" w:before="240"/>
      </w:pPr>
      <w:r>
        <w:rPr>
          <w:b/>
          <w:bCs/>
          <w:color w:val="0B2545"/>
          <w:sz w:val="24"/>
          <w:szCs w:val="24"/>
        </w:rPr>
        <w:t xml:space="preserve">1. Scenario overview</w:t>
      </w:r>
    </w:p>
    <w:p>
      <w:pPr>
        <w:spacing w:after="40"/>
      </w:pPr>
      <w:r>
        <w:rPr>
          <w:b/>
          <w:bCs/>
          <w:color w:val="0B2545"/>
          <w:sz w:val="20"/>
          <w:szCs w:val="20"/>
        </w:rPr>
        <w:t xml:space="preserve">Property: </w:t>
      </w:r>
      <w:r>
        <w:rPr>
          <w:sz w:val="20"/>
          <w:szCs w:val="20"/>
        </w:rPr>
        <w:t xml:space="preserve">The Noble Falcon Inn</w:t>
      </w:r>
    </w:p>
    <w:p>
      <w:pPr>
        <w:spacing w:after="40"/>
      </w:pPr>
      <w:r>
        <w:rPr>
          <w:b/>
          <w:bCs/>
          <w:color w:val="0B2545"/>
          <w:sz w:val="20"/>
          <w:szCs w:val="20"/>
        </w:rPr>
        <w:t xml:space="preserve">Point of contact: </w:t>
      </w:r>
      <w:r>
        <w:rPr>
          <w:sz w:val="20"/>
          <w:szCs w:val="20"/>
        </w:rPr>
        <w:t xml:space="preserve">Adam Cole</w:t>
      </w:r>
    </w:p>
    <w:p>
      <w:pPr>
        <w:spacing w:after="40"/>
      </w:pPr>
      <w:r>
        <w:rPr>
          <w:b/>
          <w:bCs/>
          <w:color w:val="0B2545"/>
          <w:sz w:val="20"/>
          <w:szCs w:val="20"/>
        </w:rPr>
        <w:t xml:space="preserve">Property type: </w:t>
      </w:r>
      <w:r>
        <w:rPr>
          <w:sz w:val="20"/>
          <w:szCs w:val="20"/>
        </w:rPr>
        <w:t xml:space="preserve">Branded Mid-Scale Hotel</w:t>
      </w:r>
    </w:p>
    <w:p>
      <w:pPr>
        <w:spacing w:after="40"/>
      </w:pPr>
      <w:r>
        <w:rPr>
          <w:b/>
          <w:bCs/>
          <w:color w:val="0B2545"/>
          <w:sz w:val="20"/>
          <w:szCs w:val="20"/>
        </w:rPr>
        <w:t xml:space="preserve">Location: </w:t>
      </w:r>
      <w:r>
        <w:rPr>
          <w:sz w:val="20"/>
          <w:szCs w:val="20"/>
        </w:rPr>
        <w:t xml:space="preserve">Port Al-Qasira, Emirate of Qasira</w:t>
      </w:r>
    </w:p>
    <w:p>
      <w:pPr>
        <w:spacing w:after="40"/>
      </w:pPr>
      <w:r>
        <w:rPr>
          <w:b/>
          <w:bCs/>
          <w:color w:val="0B2545"/>
          <w:sz w:val="20"/>
          <w:szCs w:val="20"/>
        </w:rPr>
        <w:t xml:space="preserve">Size: </w:t>
      </w:r>
      <w:r>
        <w:rPr>
          <w:sz w:val="20"/>
          <w:szCs w:val="20"/>
        </w:rPr>
        <w:t xml:space="preserve">288 rooms</w:t>
      </w:r>
    </w:p>
    <w:p>
      <w:pPr>
        <w:spacing w:after="40"/>
      </w:pPr>
      <w:r>
        <w:rPr>
          <w:b/>
          <w:bCs/>
          <w:color w:val="0B2545"/>
          <w:sz w:val="20"/>
          <w:szCs w:val="20"/>
        </w:rPr>
        <w:t xml:space="preserve">Communication style: </w:t>
      </w:r>
      <w:r>
        <w:rPr>
          <w:sz w:val="20"/>
          <w:szCs w:val="20"/>
        </w:rPr>
        <w:t xml:space="preserve">Thinker (blue) primary, Director (red) secondary</w:t>
      </w:r>
    </w:p>
    <w:p>
      <w:pPr>
        <w:spacing w:after="40"/>
      </w:pPr>
      <w:r>
        <w:rPr>
          <w:b/>
          <w:bCs/>
          <w:color w:val="0B2545"/>
          <w:sz w:val="20"/>
          <w:szCs w:val="20"/>
        </w:rPr>
        <w:t xml:space="preserve">Parity regime: </w:t>
      </w:r>
      <w:r>
        <w:rPr>
          <w:sz w:val="20"/>
          <w:szCs w:val="20"/>
        </w:rPr>
        <w:t xml:space="preserve">No Parity</w:t>
      </w:r>
    </w:p>
    <w:p>
      <w:pPr>
        <w:spacing w:after="60" w:before="180"/>
      </w:pPr>
      <w:r>
        <w:rPr>
          <w:b/>
          <w:bCs/>
          <w:caps/>
          <w:color w:val="5A6472"/>
          <w:sz w:val="20"/>
          <w:szCs w:val="20"/>
        </w:rPr>
        <w:t xml:space="preserve">Profile</w:t>
      </w:r>
    </w:p>
    <w:p>
      <w:pPr>
        <w:spacing w:after="80"/>
      </w:pPr>
      <w:r>
        <w:rPr>
          <w:sz w:val="20"/>
          <w:szCs w:val="20"/>
        </w:rPr>
        <w:t xml:space="preserve">Revenue Manager for a fully-managed-by-brand property with limited local autonomy. Process-led and measured, he works to a head-office directive that keeps the direct site cheaper, and he uses a higher Booking.com price to filter out 'risky' guests. He guards his brand's autonomy closely, bristles at advice on how to run his own website, and will end a call rather than be pushed - separate price from risk and stay respectful, and even then he may not commit.</w:t>
      </w:r>
    </w:p>
    <w:p>
      <w:pPr>
        <w:spacing w:after="60" w:before="180"/>
      </w:pPr>
      <w:r>
        <w:rPr>
          <w:b/>
          <w:bCs/>
          <w:caps/>
          <w:color w:val="5A6472"/>
          <w:sz w:val="20"/>
          <w:szCs w:val="20"/>
        </w:rPr>
        <w:t xml:space="preserve">Commercial goal</w:t>
      </w:r>
    </w:p>
    <w:p>
      <w:pPr>
        <w:spacing w:after="80"/>
      </w:pPr>
      <w:r>
        <w:rPr>
          <w:sz w:val="20"/>
          <w:szCs w:val="20"/>
        </w:rPr>
        <w:t xml:space="preserve">Hit brand-set commercial KPIs without compromising brand consistency or guest experience</w:t>
      </w:r>
    </w:p>
    <w:p>
      <w:pPr>
        <w:pStyle w:val="Heading2"/>
        <w:spacing w:after="100" w:before="240"/>
      </w:pPr>
      <w:r>
        <w:rPr>
          <w:b/>
          <w:bCs/>
          <w:color w:val="0B2545"/>
          <w:sz w:val="24"/>
          <w:szCs w:val="24"/>
        </w:rPr>
        <w:t xml:space="preserve">2. Portfolio card (what the learner sees before opening)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Name</w:t>
            </w:r>
          </w:p>
        </w:tc>
        <w:tc>
          <w:tcPr>
            <w:tcW w:type="pct" w:w="55%"/>
            <w:shd w:fill="EEF2F7" w:val="clear"/>
            <w:tcMar>
              <w:top w:type="dxa" w:w="40"/>
              <w:left w:type="dxa" w:w="90"/>
              <w:bottom w:type="dxa" w:w="40"/>
              <w:right w:type="dxa" w:w="90"/>
            </w:tcMar>
          </w:tcPr>
          <w:p>
            <w:r>
              <w:rPr>
                <w:b w:val="false"/>
                <w:bCs w:val="false"/>
                <w:color w:val="000000"/>
                <w:sz w:val="20"/>
                <w:szCs w:val="20"/>
              </w:rPr>
              <w:t xml:space="preserve">The Noble Falcon Inn</w:t>
            </w:r>
          </w:p>
        </w:tc>
      </w:tr>
      <w:tr>
        <w:tc>
          <w:tcPr>
            <w:tcW w:type="pct" w:w="45%"/>
            <w:tcMar>
              <w:top w:type="dxa" w:w="40"/>
              <w:left w:type="dxa" w:w="90"/>
              <w:bottom w:type="dxa" w:w="40"/>
              <w:right w:type="dxa" w:w="90"/>
            </w:tcMar>
          </w:tcPr>
          <w:p>
            <w:r>
              <w:rPr>
                <w:b/>
                <w:bCs/>
                <w:color w:val="000000"/>
                <w:sz w:val="20"/>
                <w:szCs w:val="20"/>
              </w:rPr>
              <w:t xml:space="preserve">Property type</w:t>
            </w:r>
          </w:p>
        </w:tc>
        <w:tc>
          <w:tcPr>
            <w:tcW w:type="pct" w:w="55%"/>
            <w:tcMar>
              <w:top w:type="dxa" w:w="40"/>
              <w:left w:type="dxa" w:w="90"/>
              <w:bottom w:type="dxa" w:w="40"/>
              <w:right w:type="dxa" w:w="90"/>
            </w:tcMar>
          </w:tcPr>
          <w:p>
            <w:r>
              <w:rPr>
                <w:b w:val="false"/>
                <w:bCs w:val="false"/>
                <w:color w:val="000000"/>
                <w:sz w:val="20"/>
                <w:szCs w:val="20"/>
              </w:rPr>
              <w:t xml:space="preserve">Branded Mid-Scale Hotel</w:t>
            </w:r>
          </w:p>
        </w:tc>
      </w:tr>
      <w:tr>
        <w:tc>
          <w:tcPr>
            <w:tcW w:type="pct" w:w="45%"/>
            <w:shd w:fill="EEF2F7" w:val="clear"/>
            <w:tcMar>
              <w:top w:type="dxa" w:w="40"/>
              <w:left w:type="dxa" w:w="90"/>
              <w:bottom w:type="dxa" w:w="40"/>
              <w:right w:type="dxa" w:w="90"/>
            </w:tcMar>
          </w:tcPr>
          <w:p>
            <w:r>
              <w:rPr>
                <w:b/>
                <w:bCs/>
                <w:color w:val="000000"/>
                <w:sz w:val="20"/>
                <w:szCs w:val="20"/>
              </w:rPr>
              <w:t xml:space="preserve">Rooms</w:t>
            </w:r>
          </w:p>
        </w:tc>
        <w:tc>
          <w:tcPr>
            <w:tcW w:type="pct" w:w="55%"/>
            <w:shd w:fill="EEF2F7" w:val="clear"/>
            <w:tcMar>
              <w:top w:type="dxa" w:w="40"/>
              <w:left w:type="dxa" w:w="90"/>
              <w:bottom w:type="dxa" w:w="40"/>
              <w:right w:type="dxa" w:w="90"/>
            </w:tcMar>
          </w:tcPr>
          <w:p>
            <w:r>
              <w:rPr>
                <w:b w:val="false"/>
                <w:bCs w:val="false"/>
                <w:color w:val="000000"/>
                <w:sz w:val="20"/>
                <w:szCs w:val="20"/>
              </w:rPr>
              <w:t xml:space="preserve">288 rooms</w:t>
            </w:r>
          </w:p>
        </w:tc>
      </w:tr>
      <w:tr>
        <w:tc>
          <w:tcPr>
            <w:tcW w:type="pct" w:w="45%"/>
            <w:tcMar>
              <w:top w:type="dxa" w:w="40"/>
              <w:left w:type="dxa" w:w="90"/>
              <w:bottom w:type="dxa" w:w="40"/>
              <w:right w:type="dxa" w:w="90"/>
            </w:tcMar>
          </w:tcPr>
          <w:p>
            <w:r>
              <w:rPr>
                <w:b/>
                <w:bCs/>
                <w:color w:val="000000"/>
                <w:sz w:val="20"/>
                <w:szCs w:val="20"/>
              </w:rPr>
              <w:t xml:space="preserve">Communication style</w:t>
            </w:r>
          </w:p>
        </w:tc>
        <w:tc>
          <w:tcPr>
            <w:tcW w:type="pct" w:w="55%"/>
            <w:tcMar>
              <w:top w:type="dxa" w:w="40"/>
              <w:left w:type="dxa" w:w="90"/>
              <w:bottom w:type="dxa" w:w="40"/>
              <w:right w:type="dxa" w:w="90"/>
            </w:tcMar>
          </w:tcPr>
          <w:p>
            <w:r>
              <w:rPr>
                <w:b w:val="false"/>
                <w:bCs w:val="false"/>
                <w:color w:val="000000"/>
                <w:sz w:val="20"/>
                <w:szCs w:val="20"/>
              </w:rPr>
              <w:t xml:space="preserve">Thinker (blue)</w:t>
            </w:r>
          </w:p>
        </w:tc>
      </w:tr>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+17% (+21.42)</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13,957</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+20%</w:t>
            </w:r>
          </w:p>
        </w:tc>
      </w:tr>
      <w:tr>
        <w:tc>
          <w:tcPr>
            <w:tcW w:type="pct" w:w="45%"/>
            <w:tcMar>
              <w:top w:type="dxa" w:w="40"/>
              <w:left w:type="dxa" w:w="90"/>
              <w:bottom w:type="dxa" w:w="40"/>
              <w:right w:type="dxa" w:w="90"/>
            </w:tcMar>
          </w:tcPr>
          <w:p>
            <w:r>
              <w:rPr>
                <w:b/>
                <w:bCs/>
                <w:color w:val="000000"/>
                <w:sz w:val="20"/>
                <w:szCs w:val="20"/>
              </w:rPr>
              <w:t xml:space="preserve">Lose Price</w:t>
            </w:r>
          </w:p>
        </w:tc>
        <w:tc>
          <w:tcPr>
            <w:tcW w:type="pct" w:w="55%"/>
            <w:tcMar>
              <w:top w:type="dxa" w:w="40"/>
              <w:left w:type="dxa" w:w="90"/>
              <w:bottom w:type="dxa" w:w="40"/>
              <w:right w:type="dxa" w:w="90"/>
            </w:tcMar>
          </w:tcPr>
          <w:p>
            <w:r>
              <w:rPr>
                <w:b w:val="false"/>
                <w:bCs w:val="false"/>
                <w:color w:val="000000"/>
                <w:sz w:val="20"/>
                <w:szCs w:val="20"/>
              </w:rPr>
              <w:t xml:space="preserve">93%</w:t>
            </w:r>
          </w:p>
        </w:tc>
      </w:tr>
    </w:tbl>
    <w:p>
      <w:pPr>
        <w:pStyle w:val="Heading2"/>
        <w:spacing w:after="100" w:before="240"/>
      </w:pPr>
      <w:r>
        <w:rPr>
          <w:b/>
          <w:bCs/>
          <w:color w:val="0B2545"/>
          <w:sz w:val="24"/>
          <w:szCs w:val="24"/>
        </w:rPr>
        <w:t xml:space="preserve">3. Partner Detail screen</w:t>
      </w:r>
    </w:p>
    <w:p>
      <w:pPr>
        <w:spacing w:after="60" w:before="180"/>
      </w:pPr>
      <w:r>
        <w:rPr>
          <w:b/>
          <w:bCs/>
          <w:caps/>
          <w:color w:val="5A6472"/>
          <w:sz w:val="20"/>
          <w:szCs w:val="20"/>
        </w:rPr>
        <w:t xml:space="preserve">Driving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+17% (+21.42)</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13,957</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+20%</w:t>
            </w:r>
          </w:p>
        </w:tc>
      </w:tr>
      <w:tr>
        <w:tc>
          <w:tcPr>
            <w:tcW w:type="pct" w:w="45%"/>
            <w:tcMar>
              <w:top w:type="dxa" w:w="40"/>
              <w:left w:type="dxa" w:w="90"/>
              <w:bottom w:type="dxa" w:w="40"/>
              <w:right w:type="dxa" w:w="90"/>
            </w:tcMar>
          </w:tcPr>
          <w:p>
            <w:r>
              <w:rPr>
                <w:b/>
                <w:bCs/>
                <w:color w:val="000000"/>
                <w:sz w:val="20"/>
                <w:szCs w:val="20"/>
              </w:rPr>
              <w:t xml:space="preserve">RPD Loyal</w:t>
            </w:r>
          </w:p>
        </w:tc>
        <w:tc>
          <w:tcPr>
            <w:tcW w:type="pct" w:w="55%"/>
            <w:tcMar>
              <w:top w:type="dxa" w:w="40"/>
              <w:left w:type="dxa" w:w="90"/>
              <w:bottom w:type="dxa" w:w="40"/>
              <w:right w:type="dxa" w:w="90"/>
            </w:tcMar>
          </w:tcPr>
          <w:p>
            <w:r>
              <w:rPr>
                <w:b w:val="false"/>
                <w:bCs w:val="false"/>
                <w:color w:val="000000"/>
                <w:sz w:val="20"/>
                <w:szCs w:val="20"/>
              </w:rPr>
              <w:t xml:space="preserve">+5.9%</w:t>
            </w:r>
          </w:p>
        </w:tc>
      </w:tr>
      <w:tr>
        <w:tc>
          <w:tcPr>
            <w:tcW w:type="pct" w:w="45%"/>
            <w:shd w:fill="EEF2F7" w:val="clear"/>
            <w:tcMar>
              <w:top w:type="dxa" w:w="40"/>
              <w:left w:type="dxa" w:w="90"/>
              <w:bottom w:type="dxa" w:w="40"/>
              <w:right w:type="dxa" w:w="90"/>
            </w:tcMar>
          </w:tcPr>
          <w:p>
            <w:r>
              <w:rPr>
                <w:b/>
                <w:bCs/>
                <w:color w:val="000000"/>
                <w:sz w:val="20"/>
                <w:szCs w:val="20"/>
              </w:rPr>
              <w:t xml:space="preserve">Lose Price</w:t>
            </w:r>
          </w:p>
        </w:tc>
        <w:tc>
          <w:tcPr>
            <w:tcW w:type="pct" w:w="55%"/>
            <w:shd w:fill="EEF2F7" w:val="clear"/>
            <w:tcMar>
              <w:top w:type="dxa" w:w="40"/>
              <w:left w:type="dxa" w:w="90"/>
              <w:bottom w:type="dxa" w:w="40"/>
              <w:right w:type="dxa" w:w="90"/>
            </w:tcMar>
          </w:tcPr>
          <w:p>
            <w:r>
              <w:rPr>
                <w:b w:val="false"/>
                <w:bCs w:val="false"/>
                <w:color w:val="000000"/>
                <w:sz w:val="20"/>
                <w:szCs w:val="20"/>
              </w:rPr>
              <w:t xml:space="preserve">93%</w:t>
            </w:r>
          </w:p>
        </w:tc>
      </w:tr>
      <w:tr>
        <w:tc>
          <w:tcPr>
            <w:tcW w:type="pct" w:w="45%"/>
            <w:tcMar>
              <w:top w:type="dxa" w:w="40"/>
              <w:left w:type="dxa" w:w="90"/>
              <w:bottom w:type="dxa" w:w="40"/>
              <w:right w:type="dxa" w:w="90"/>
            </w:tcMar>
          </w:tcPr>
          <w:p>
            <w:r>
              <w:rPr>
                <w:b/>
                <w:bCs/>
                <w:color w:val="000000"/>
                <w:sz w:val="20"/>
                <w:szCs w:val="20"/>
              </w:rPr>
              <w:t xml:space="preserve">Scenarios</w:t>
            </w:r>
          </w:p>
        </w:tc>
        <w:tc>
          <w:tcPr>
            <w:tcW w:type="pct" w:w="55%"/>
            <w:tcMar>
              <w:top w:type="dxa" w:w="40"/>
              <w:left w:type="dxa" w:w="90"/>
              <w:bottom w:type="dxa" w:w="40"/>
              <w:right w:type="dxa" w:w="90"/>
            </w:tcMar>
          </w:tcPr>
          <w:p>
            <w:r>
              <w:rPr>
                <w:b w:val="false"/>
                <w:bCs w:val="false"/>
                <w:color w:val="000000"/>
                <w:sz w:val="20"/>
                <w:szCs w:val="20"/>
              </w:rPr>
              <w:t xml:space="preserve">4</w:t>
            </w:r>
          </w:p>
        </w:tc>
      </w:tr>
      <w:tr>
        <w:tc>
          <w:tcPr>
            <w:tcW w:type="pct" w:w="45%"/>
            <w:shd w:fill="EEF2F7" w:val="clear"/>
            <w:tcMar>
              <w:top w:type="dxa" w:w="40"/>
              <w:left w:type="dxa" w:w="90"/>
              <w:bottom w:type="dxa" w:w="40"/>
              <w:right w:type="dxa" w:w="90"/>
            </w:tcMar>
          </w:tcPr>
          <w:p>
            <w:r>
              <w:rPr>
                <w:b/>
                <w:bCs/>
                <w:color w:val="000000"/>
                <w:sz w:val="20"/>
                <w:szCs w:val="20"/>
              </w:rPr>
              <w:t xml:space="preserve">Competitor</w:t>
            </w:r>
          </w:p>
        </w:tc>
        <w:tc>
          <w:tcPr>
            <w:tcW w:type="pct" w:w="55%"/>
            <w:shd w:fill="EEF2F7" w:val="clear"/>
            <w:tcMar>
              <w:top w:type="dxa" w:w="40"/>
              <w:left w:type="dxa" w:w="90"/>
              <w:bottom w:type="dxa" w:w="40"/>
              <w:right w:type="dxa" w:w="90"/>
            </w:tcMar>
          </w:tcPr>
          <w:p>
            <w:r>
              <w:rPr>
                <w:b w:val="false"/>
                <w:bCs w:val="false"/>
                <w:color w:val="000000"/>
                <w:sz w:val="20"/>
                <w:szCs w:val="20"/>
              </w:rPr>
              <w:t xml:space="preserve">Brand.com</w:t>
            </w:r>
          </w:p>
        </w:tc>
      </w:tr>
    </w:tbl>
    <w:p>
      <w:pPr>
        <w:spacing w:after="60" w:before="180"/>
      </w:pPr>
      <w:r>
        <w:rPr>
          <w:b/>
          <w:bCs/>
          <w:caps/>
          <w:color w:val="5A6472"/>
          <w:sz w:val="20"/>
          <w:szCs w:val="20"/>
        </w:rPr>
        <w:t xml:space="preserve">eRPD Price Bucket strip</w:t>
      </w:r>
    </w:p>
    <w:p>
      <w:pPr>
        <w:spacing w:after="80"/>
      </w:pPr>
      <w:r>
        <w:rPr>
          <w:b/>
          <w:bCs/>
          <w:color w:val="0B2545"/>
          <w:sz w:val="20"/>
          <w:szCs w:val="20"/>
        </w:rPr>
        <w:t xml:space="preserve">On-screen marker: </w:t>
      </w:r>
      <w:r>
        <w:rPr>
          <w:sz w:val="20"/>
          <w:szCs w:val="20"/>
        </w:rPr>
        <w:t xml:space="preserve">eRPD +17%</w:t>
      </w:r>
    </w:p>
    <w:p>
      <w:pPr>
        <w:spacing w:after="80"/>
      </w:pPr>
      <w:r>
        <w:rPr>
          <w:i/>
          <w:iCs/>
          <w:color w:val="5A6472"/>
          <w:sz w:val="18"/>
          <w:szCs w:val="18"/>
        </w:rPr>
        <w:t xml:space="preserve">Shown as a 7-segment green (most competitive) to red (least competitive) strip, with the marker over this partner’s segment. The bucket number is not shown on screen.</w:t>
      </w:r>
    </w:p>
    <w:p>
      <w:pPr>
        <w:spacing w:after="60" w:before="180"/>
      </w:pPr>
      <w:r>
        <w:rPr>
          <w:b/>
          <w:bCs/>
          <w:caps/>
          <w:color w:val="5A6472"/>
          <w:sz w:val="20"/>
          <w:szCs w:val="20"/>
        </w:rPr>
        <w:t xml:space="preserve">Secondary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30D ABRN (vs last year)</w:t>
            </w:r>
          </w:p>
        </w:tc>
        <w:tc>
          <w:tcPr>
            <w:tcW w:type="pct" w:w="55%"/>
            <w:shd w:fill="EEF2F7" w:val="clear"/>
            <w:tcMar>
              <w:top w:type="dxa" w:w="40"/>
              <w:left w:type="dxa" w:w="90"/>
              <w:bottom w:type="dxa" w:w="40"/>
              <w:right w:type="dxa" w:w="90"/>
            </w:tcMar>
          </w:tcPr>
          <w:p>
            <w:r>
              <w:rPr>
                <w:b w:val="false"/>
                <w:bCs w:val="false"/>
                <w:color w:val="000000"/>
                <w:sz w:val="20"/>
                <w:szCs w:val="20"/>
              </w:rPr>
              <w:t xml:space="preserve">1306 (-18%)</w:t>
            </w:r>
          </w:p>
        </w:tc>
      </w:tr>
      <w:tr>
        <w:tc>
          <w:tcPr>
            <w:tcW w:type="pct" w:w="45%"/>
            <w:tcMar>
              <w:top w:type="dxa" w:w="40"/>
              <w:left w:type="dxa" w:w="90"/>
              <w:bottom w:type="dxa" w:w="40"/>
              <w:right w:type="dxa" w:w="90"/>
            </w:tcMar>
          </w:tcPr>
          <w:p>
            <w:r>
              <w:rPr>
                <w:b/>
                <w:bCs/>
                <w:color w:val="000000"/>
                <w:sz w:val="20"/>
                <w:szCs w:val="20"/>
              </w:rPr>
              <w:t xml:space="preserve">Last 30D Room Nights (vs peer)</w:t>
            </w:r>
          </w:p>
        </w:tc>
        <w:tc>
          <w:tcPr>
            <w:tcW w:type="pct" w:w="55%"/>
            <w:tcMar>
              <w:top w:type="dxa" w:w="40"/>
              <w:left w:type="dxa" w:w="90"/>
              <w:bottom w:type="dxa" w:w="40"/>
              <w:right w:type="dxa" w:w="90"/>
            </w:tcMar>
          </w:tcPr>
          <w:p>
            <w:r>
              <w:rPr>
                <w:b w:val="false"/>
                <w:bCs w:val="false"/>
                <w:color w:val="000000"/>
                <w:sz w:val="20"/>
                <w:szCs w:val="20"/>
              </w:rPr>
              <w:t xml:space="preserve">1113 (+49%)</w:t>
            </w:r>
          </w:p>
        </w:tc>
      </w:tr>
      <w:tr>
        <w:tc>
          <w:tcPr>
            <w:tcW w:type="pct" w:w="45%"/>
            <w:shd w:fill="EEF2F7" w:val="clear"/>
            <w:tcMar>
              <w:top w:type="dxa" w:w="40"/>
              <w:left w:type="dxa" w:w="90"/>
              <w:bottom w:type="dxa" w:w="40"/>
              <w:right w:type="dxa" w:w="90"/>
            </w:tcMar>
          </w:tcPr>
          <w:p>
            <w:r>
              <w:rPr>
                <w:b/>
                <w:bCs/>
                <w:color w:val="000000"/>
                <w:sz w:val="20"/>
                <w:szCs w:val="20"/>
              </w:rPr>
              <w:t xml:space="preserve">Last 30D ADR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70 (-17%)</w:t>
            </w:r>
          </w:p>
        </w:tc>
      </w:tr>
      <w:tr>
        <w:tc>
          <w:tcPr>
            <w:tcW w:type="pct" w:w="45%"/>
            <w:tcMar>
              <w:top w:type="dxa" w:w="40"/>
              <w:left w:type="dxa" w:w="90"/>
              <w:bottom w:type="dxa" w:w="40"/>
              <w:right w:type="dxa" w:w="90"/>
            </w:tcMar>
          </w:tcPr>
          <w:p>
            <w:r>
              <w:rPr>
                <w:b/>
                <w:bCs/>
                <w:color w:val="000000"/>
                <w:sz w:val="20"/>
                <w:szCs w:val="20"/>
              </w:rPr>
              <w:t xml:space="preserve">Last 30D Page Views (vs peer)</w:t>
            </w:r>
          </w:p>
        </w:tc>
        <w:tc>
          <w:tcPr>
            <w:tcW w:type="pct" w:w="55%"/>
            <w:tcMar>
              <w:top w:type="dxa" w:w="40"/>
              <w:left w:type="dxa" w:w="90"/>
              <w:bottom w:type="dxa" w:w="40"/>
              <w:right w:type="dxa" w:w="90"/>
            </w:tcMar>
          </w:tcPr>
          <w:p>
            <w:r>
              <w:rPr>
                <w:b w:val="false"/>
                <w:bCs w:val="false"/>
                <w:color w:val="000000"/>
                <w:sz w:val="20"/>
                <w:szCs w:val="20"/>
              </w:rPr>
              <w:t xml:space="preserve">74948 (+26%)</w:t>
            </w:r>
          </w:p>
        </w:tc>
      </w:tr>
      <w:tr>
        <w:tc>
          <w:tcPr>
            <w:tcW w:type="pct" w:w="45%"/>
            <w:shd w:fill="EEF2F7" w:val="clear"/>
            <w:tcMar>
              <w:top w:type="dxa" w:w="40"/>
              <w:left w:type="dxa" w:w="90"/>
              <w:bottom w:type="dxa" w:w="40"/>
              <w:right w:type="dxa" w:w="90"/>
            </w:tcMar>
          </w:tcPr>
          <w:p>
            <w:r>
              <w:rPr>
                <w:b/>
                <w:bCs/>
                <w:color w:val="000000"/>
                <w:sz w:val="20"/>
                <w:szCs w:val="20"/>
              </w:rPr>
              <w:t xml:space="preserve">Last 30D Conversion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1.4 (-17%)</w:t>
            </w:r>
          </w:p>
        </w:tc>
      </w:tr>
      <w:tr>
        <w:tc>
          <w:tcPr>
            <w:tcW w:type="pct" w:w="45%"/>
            <w:tcMar>
              <w:top w:type="dxa" w:w="40"/>
              <w:left w:type="dxa" w:w="90"/>
              <w:bottom w:type="dxa" w:w="40"/>
              <w:right w:type="dxa" w:w="90"/>
            </w:tcMar>
          </w:tcPr>
          <w:p>
            <w:r>
              <w:rPr>
                <w:b/>
                <w:bCs/>
                <w:color w:val="000000"/>
                <w:sz w:val="20"/>
                <w:szCs w:val="20"/>
              </w:rPr>
              <w:t xml:space="preserve">Next 3M Room Nights (vs peer)</w:t>
            </w:r>
          </w:p>
        </w:tc>
        <w:tc>
          <w:tcPr>
            <w:tcW w:type="pct" w:w="55%"/>
            <w:tcMar>
              <w:top w:type="dxa" w:w="40"/>
              <w:left w:type="dxa" w:w="90"/>
              <w:bottom w:type="dxa" w:w="40"/>
              <w:right w:type="dxa" w:w="90"/>
            </w:tcMar>
          </w:tcPr>
          <w:p>
            <w:r>
              <w:rPr>
                <w:b w:val="false"/>
                <w:bCs w:val="false"/>
                <w:color w:val="000000"/>
                <w:sz w:val="20"/>
                <w:szCs w:val="20"/>
              </w:rPr>
              <w:t xml:space="preserve">1515 (+81%)</w:t>
            </w:r>
          </w:p>
        </w:tc>
      </w:tr>
    </w:tbl>
    <w:p>
      <w:pPr>
        <w:spacing w:after="60" w:before="180"/>
      </w:pPr>
      <w:r>
        <w:rPr>
          <w:b/>
          <w:bCs/>
          <w:caps/>
          <w:color w:val="5A6472"/>
          <w:sz w:val="20"/>
          <w:szCs w:val="20"/>
        </w:rPr>
        <w:t xml:space="preserve">On Platform Competitiveness tab (OPC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Unsold Rooms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21.3</w:t>
            </w:r>
          </w:p>
        </w:tc>
      </w:tr>
      <w:tr>
        <w:tc>
          <w:tcPr>
            <w:tcW w:type="pct" w:w="45%"/>
            <w:tcMar>
              <w:top w:type="dxa" w:w="40"/>
              <w:left w:type="dxa" w:w="90"/>
              <w:bottom w:type="dxa" w:w="40"/>
              <w:right w:type="dxa" w:w="90"/>
            </w:tcMar>
          </w:tcPr>
          <w:p>
            <w:r>
              <w:rPr>
                <w:b/>
                <w:bCs/>
                <w:color w:val="000000"/>
                <w:sz w:val="20"/>
                <w:szCs w:val="20"/>
              </w:rPr>
              <w:t xml:space="preserve">Sell Through Rate (vs peer)</w:t>
            </w:r>
          </w:p>
        </w:tc>
        <w:tc>
          <w:tcPr>
            <w:tcW w:type="pct" w:w="55%"/>
            <w:tcMar>
              <w:top w:type="dxa" w:w="40"/>
              <w:left w:type="dxa" w:w="90"/>
              <w:bottom w:type="dxa" w:w="40"/>
              <w:right w:type="dxa" w:w="90"/>
            </w:tcMar>
          </w:tcPr>
          <w:p>
            <w:r>
              <w:rPr>
                <w:b w:val="false"/>
                <w:bCs w:val="false"/>
                <w:color w:val="000000"/>
                <w:sz w:val="20"/>
                <w:szCs w:val="20"/>
              </w:rPr>
              <w:t xml:space="preserve">18.4</w:t>
            </w:r>
          </w:p>
        </w:tc>
      </w:tr>
      <w:tr>
        <w:tc>
          <w:tcPr>
            <w:tcW w:type="pct" w:w="45%"/>
            <w:shd w:fill="EEF2F7" w:val="clear"/>
            <w:tcMar>
              <w:top w:type="dxa" w:w="40"/>
              <w:left w:type="dxa" w:w="90"/>
              <w:bottom w:type="dxa" w:w="40"/>
              <w:right w:type="dxa" w:w="90"/>
            </w:tcMar>
          </w:tcPr>
          <w:p>
            <w:r>
              <w:rPr>
                <w:b/>
                <w:bCs/>
                <w:color w:val="000000"/>
                <w:sz w:val="20"/>
                <w:szCs w:val="20"/>
              </w:rPr>
              <w:t xml:space="preserve">Distribution of Search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Visibility Share (vs peer)</w:t>
            </w:r>
          </w:p>
        </w:tc>
        <w:tc>
          <w:tcPr>
            <w:tcW w:type="pct" w:w="55%"/>
            <w:tcMar>
              <w:top w:type="dxa" w:w="40"/>
              <w:left w:type="dxa" w:w="90"/>
              <w:bottom w:type="dxa" w:w="40"/>
              <w:right w:type="dxa" w:w="90"/>
            </w:tcMar>
          </w:tcPr>
          <w:p>
            <w:r>
              <w:rPr>
                <w:b w:val="false"/>
                <w:bCs w:val="false"/>
                <w:color w:val="000000"/>
                <w:sz w:val="20"/>
                <w:szCs w:val="20"/>
              </w:rPr>
              <w:t xml:space="preserve">14.5</w:t>
            </w:r>
          </w:p>
        </w:tc>
      </w:tr>
      <w:tr>
        <w:tc>
          <w:tcPr>
            <w:tcW w:type="pct" w:w="45%"/>
            <w:shd w:fill="EEF2F7" w:val="clear"/>
            <w:tcMar>
              <w:top w:type="dxa" w:w="40"/>
              <w:left w:type="dxa" w:w="90"/>
              <w:bottom w:type="dxa" w:w="40"/>
              <w:right w:type="dxa" w:w="90"/>
            </w:tcMar>
          </w:tcPr>
          <w:p>
            <w:r>
              <w:rPr>
                <w:b/>
                <w:bCs/>
                <w:color w:val="000000"/>
                <w:sz w:val="20"/>
                <w:szCs w:val="20"/>
              </w:rPr>
              <w:t xml:space="preserve">Click Through Rate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15.5</w:t>
            </w:r>
          </w:p>
        </w:tc>
      </w:tr>
      <w:tr>
        <w:tc>
          <w:tcPr>
            <w:tcW w:type="pct" w:w="45%"/>
            <w:tcMar>
              <w:top w:type="dxa" w:w="40"/>
              <w:left w:type="dxa" w:w="90"/>
              <w:bottom w:type="dxa" w:w="40"/>
              <w:right w:type="dxa" w:w="90"/>
            </w:tcMar>
          </w:tcPr>
          <w:p>
            <w:r>
              <w:rPr>
                <w:b/>
                <w:bCs/>
                <w:color w:val="000000"/>
                <w:sz w:val="20"/>
                <w:szCs w:val="20"/>
              </w:rPr>
              <w:t xml:space="preserve">Conversion (vs peer)</w:t>
            </w:r>
          </w:p>
        </w:tc>
        <w:tc>
          <w:tcPr>
            <w:tcW w:type="pct" w:w="55%"/>
            <w:tcMar>
              <w:top w:type="dxa" w:w="40"/>
              <w:left w:type="dxa" w:w="90"/>
              <w:bottom w:type="dxa" w:w="40"/>
              <w:right w:type="dxa" w:w="90"/>
            </w:tcMar>
          </w:tcPr>
          <w:p>
            <w:r>
              <w:rPr>
                <w:b w:val="false"/>
                <w:bCs w:val="false"/>
                <w:color w:val="000000"/>
                <w:sz w:val="20"/>
                <w:szCs w:val="20"/>
              </w:rPr>
              <w:t xml:space="preserve">1.3</w:t>
            </w:r>
          </w:p>
        </w:tc>
      </w:tr>
      <w:tr>
        <w:tc>
          <w:tcPr>
            <w:tcW w:type="pct" w:w="45%"/>
            <w:shd w:fill="EEF2F7" w:val="clear"/>
            <w:tcMar>
              <w:top w:type="dxa" w:w="40"/>
              <w:left w:type="dxa" w:w="90"/>
              <w:bottom w:type="dxa" w:w="40"/>
              <w:right w:type="dxa" w:w="90"/>
            </w:tcMar>
          </w:tcPr>
          <w:p>
            <w:r>
              <w:rPr>
                <w:b/>
                <w:bCs/>
                <w:color w:val="000000"/>
                <w:sz w:val="20"/>
                <w:szCs w:val="20"/>
              </w:rPr>
              <w:t xml:space="preserve">Search Price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-15.2</w:t>
            </w:r>
          </w:p>
        </w:tc>
      </w:tr>
    </w:tbl>
    <w:p>
      <w:pPr>
        <w:spacing w:after="80"/>
      </w:pPr>
      <w:r>
        <w:rPr>
          <w:i/>
          <w:iCs/>
          <w:color w:val="5A6472"/>
          <w:sz w:val="18"/>
          <w:szCs w:val="18"/>
        </w:rPr>
        <w:t xml:space="preserve">On screen, OPC metrics without a peer figure display a "(xx)" comparator placeholder (peer data still pending SME sign-off).</w:t>
      </w:r>
    </w:p>
    <w:p>
      <w:pPr>
        <w:spacing w:after="60" w:before="180"/>
      </w:pPr>
      <w:r>
        <w:rPr>
          <w:b/>
          <w:bCs/>
          <w:caps/>
          <w:color w:val="5A6472"/>
          <w:sz w:val="20"/>
          <w:szCs w:val="20"/>
        </w:rPr>
        <w:t xml:space="preserve">Profile meta</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Pricing Contact</w:t>
            </w:r>
          </w:p>
        </w:tc>
        <w:tc>
          <w:tcPr>
            <w:tcW w:type="pct" w:w="55%"/>
            <w:shd w:fill="EEF2F7" w:val="clear"/>
            <w:tcMar>
              <w:top w:type="dxa" w:w="40"/>
              <w:left w:type="dxa" w:w="90"/>
              <w:bottom w:type="dxa" w:w="40"/>
              <w:right w:type="dxa" w:w="90"/>
            </w:tcMar>
          </w:tcPr>
          <w:p>
            <w:r>
              <w:rPr>
                <w:b w:val="false"/>
                <w:bCs w:val="false"/>
                <w:color w:val="000000"/>
                <w:sz w:val="20"/>
                <w:szCs w:val="20"/>
              </w:rPr>
              <w:t xml:space="preserve">84 days ago</w:t>
            </w:r>
          </w:p>
        </w:tc>
      </w:tr>
      <w:tr>
        <w:tc>
          <w:tcPr>
            <w:tcW w:type="pct" w:w="45%"/>
            <w:tcMar>
              <w:top w:type="dxa" w:w="40"/>
              <w:left w:type="dxa" w:w="90"/>
              <w:bottom w:type="dxa" w:w="40"/>
              <w:right w:type="dxa" w:w="90"/>
            </w:tcMar>
          </w:tcPr>
          <w:p>
            <w:r>
              <w:rPr>
                <w:b/>
                <w:bCs/>
                <w:color w:val="000000"/>
                <w:sz w:val="20"/>
                <w:szCs w:val="20"/>
              </w:rPr>
              <w:t xml:space="preserve">Pricing Coverage (QTD)</w:t>
            </w:r>
          </w:p>
        </w:tc>
        <w:tc>
          <w:tcPr>
            <w:tcW w:type="pct" w:w="55%"/>
            <w:tcMar>
              <w:top w:type="dxa" w:w="40"/>
              <w:left w:type="dxa" w:w="90"/>
              <w:bottom w:type="dxa" w:w="40"/>
              <w:right w:type="dxa" w:w="90"/>
            </w:tcMar>
          </w:tcPr>
          <w:p>
            <w:r>
              <w:rPr>
                <w:b w:val="false"/>
                <w:bCs w:val="false"/>
                <w:color w:val="000000"/>
                <w:sz w:val="20"/>
                <w:szCs w:val="20"/>
              </w:rPr>
              <w:t xml:space="preserve">64%</w:t>
            </w:r>
          </w:p>
        </w:tc>
      </w:tr>
    </w:tbl>
    <w:p>
      <w:pPr>
        <w:spacing w:after="60" w:before="180"/>
      </w:pPr>
      <w:r>
        <w:rPr>
          <w:b/>
          <w:bCs/>
          <w:caps/>
          <w:color w:val="5A6472"/>
          <w:sz w:val="20"/>
          <w:szCs w:val="20"/>
        </w:rPr>
        <w:t xml:space="preserve">Discount products</w:t>
      </w:r>
    </w:p>
    <w:p>
      <w:pPr>
        <w:spacing w:after="20" w:before="60"/>
      </w:pPr>
      <w:r>
        <w:rPr>
          <w:b/>
          <w:bCs/>
          <w:color w:val="5A6472"/>
          <w:sz w:val="19"/>
          <w:szCs w:val="19"/>
        </w:rPr>
        <w:t xml:space="preserve">Public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Mobile Rates</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r>
        <w:tc>
          <w:tcPr>
            <w:tcW w:type="pct" w:w="45%"/>
            <w:tcMar>
              <w:top w:type="dxa" w:w="40"/>
              <w:left w:type="dxa" w:w="90"/>
              <w:bottom w:type="dxa" w:w="40"/>
              <w:right w:type="dxa" w:w="90"/>
            </w:tcMar>
          </w:tcPr>
          <w:p>
            <w:r>
              <w:rPr>
                <w:b/>
                <w:bCs/>
                <w:color w:val="000000"/>
                <w:sz w:val="20"/>
                <w:szCs w:val="20"/>
              </w:rPr>
              <w:t xml:space="preserve">Country Rates</w:t>
            </w:r>
          </w:p>
        </w:tc>
        <w:tc>
          <w:tcPr>
            <w:tcW w:type="pct" w:w="55%"/>
            <w:tcMar>
              <w:top w:type="dxa" w:w="40"/>
              <w:left w:type="dxa" w:w="90"/>
              <w:bottom w:type="dxa" w:w="40"/>
              <w:right w:type="dxa" w:w="90"/>
            </w:tcMar>
          </w:tcPr>
          <w:p>
            <w:r>
              <w:rPr>
                <w:b w:val="false"/>
                <w:bCs w:val="false"/>
                <w:color w:val="000000"/>
                <w:sz w:val="20"/>
                <w:szCs w:val="20"/>
              </w:rPr>
              <w:t xml:space="preserve">Active</w:t>
            </w:r>
          </w:p>
        </w:tc>
      </w:tr>
      <w:tr>
        <w:tc>
          <w:tcPr>
            <w:tcW w:type="pct" w:w="45%"/>
            <w:shd w:fill="EEF2F7" w:val="clear"/>
            <w:tcMar>
              <w:top w:type="dxa" w:w="40"/>
              <w:left w:type="dxa" w:w="90"/>
              <w:bottom w:type="dxa" w:w="40"/>
              <w:right w:type="dxa" w:w="90"/>
            </w:tcMar>
          </w:tcPr>
          <w:p>
            <w:r>
              <w:rPr>
                <w:b/>
                <w:bCs/>
                <w:color w:val="000000"/>
                <w:sz w:val="20"/>
                <w:szCs w:val="20"/>
              </w:rPr>
              <w:t xml:space="preserve">Portfolio Deals</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r>
        <w:tc>
          <w:tcPr>
            <w:tcW w:type="pct" w:w="45%"/>
            <w:tcMar>
              <w:top w:type="dxa" w:w="40"/>
              <w:left w:type="dxa" w:w="90"/>
              <w:bottom w:type="dxa" w:w="40"/>
              <w:right w:type="dxa" w:w="90"/>
            </w:tcMar>
          </w:tcPr>
          <w:p>
            <w:r>
              <w:rPr>
                <w:b/>
                <w:bCs/>
                <w:color w:val="000000"/>
                <w:sz w:val="20"/>
                <w:szCs w:val="20"/>
              </w:rPr>
              <w:t xml:space="preserve">Campaigns</w:t>
            </w:r>
          </w:p>
        </w:tc>
        <w:tc>
          <w:tcPr>
            <w:tcW w:type="pct" w:w="55%"/>
            <w:tcMar>
              <w:top w:type="dxa" w:w="40"/>
              <w:left w:type="dxa" w:w="90"/>
              <w:bottom w:type="dxa" w:w="40"/>
              <w:right w:type="dxa" w:w="90"/>
            </w:tcMar>
          </w:tcPr>
          <w:p>
            <w:r>
              <w:rPr>
                <w:b w:val="false"/>
                <w:bCs w:val="false"/>
                <w:color w:val="000000"/>
                <w:sz w:val="20"/>
                <w:szCs w:val="20"/>
              </w:rPr>
              <w:t xml:space="preserve">Active</w:t>
            </w:r>
          </w:p>
        </w:tc>
      </w:tr>
    </w:tbl>
    <w:p>
      <w:pPr>
        <w:spacing w:after="20" w:before="60"/>
      </w:pPr>
      <w:r>
        <w:rPr>
          <w:b/>
          <w:bCs/>
          <w:color w:val="5A6472"/>
          <w:sz w:val="19"/>
          <w:szCs w:val="19"/>
        </w:rPr>
        <w:t xml:space="preserve">Genius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Genius Program</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r>
        <w:tc>
          <w:tcPr>
            <w:tcW w:type="pct" w:w="45%"/>
            <w:tcMar>
              <w:top w:type="dxa" w:w="40"/>
              <w:left w:type="dxa" w:w="90"/>
              <w:bottom w:type="dxa" w:w="40"/>
              <w:right w:type="dxa" w:w="90"/>
            </w:tcMar>
          </w:tcPr>
          <w:p>
            <w:r>
              <w:rPr>
                <w:b/>
                <w:bCs/>
                <w:color w:val="000000"/>
                <w:sz w:val="20"/>
                <w:szCs w:val="20"/>
              </w:rPr>
              <w:t xml:space="preserve">Genius 15%</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Genius 20%</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Genius dynamic pricing</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Foundations &amp; Payments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Base Rate Plan</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Family rates</w:t>
            </w:r>
          </w:p>
        </w:tc>
        <w:tc>
          <w:tcPr>
            <w:tcW w:type="pct" w:w="55%"/>
            <w:tcMar>
              <w:top w:type="dxa" w:w="40"/>
              <w:left w:type="dxa" w:w="90"/>
              <w:bottom w:type="dxa" w:w="40"/>
              <w:right w:type="dxa" w:w="90"/>
            </w:tcMar>
          </w:tcPr>
          <w:p>
            <w:r>
              <w:rPr>
                <w:b w:val="false"/>
                <w:bCs w:val="false"/>
                <w:color w:val="000000"/>
                <w:sz w:val="20"/>
                <w:szCs w:val="20"/>
              </w:rPr>
              <w:t xml:space="preserve">Active</w:t>
            </w:r>
          </w:p>
        </w:tc>
      </w:tr>
      <w:tr>
        <w:tc>
          <w:tcPr>
            <w:tcW w:type="pct" w:w="45%"/>
            <w:shd w:fill="EEF2F7" w:val="clear"/>
            <w:tcMar>
              <w:top w:type="dxa" w:w="40"/>
              <w:left w:type="dxa" w:w="90"/>
              <w:bottom w:type="dxa" w:w="40"/>
              <w:right w:type="dxa" w:w="90"/>
            </w:tcMar>
          </w:tcPr>
          <w:p>
            <w:r>
              <w:rPr>
                <w:b/>
                <w:bCs/>
                <w:color w:val="000000"/>
                <w:sz w:val="20"/>
                <w:szCs w:val="20"/>
              </w:rPr>
              <w:t xml:space="preserve">Payments</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bl>
    <w:p>
      <w:pPr>
        <w:pStyle w:val="Heading2"/>
        <w:spacing w:after="100" w:before="240"/>
      </w:pPr>
      <w:r>
        <w:rPr>
          <w:b/>
          <w:bCs/>
          <w:color w:val="0B2545"/>
          <w:sz w:val="24"/>
          <w:szCs w:val="24"/>
        </w:rPr>
        <w:t xml:space="preserve">4. Persona coaching lenses</w:t>
      </w:r>
    </w:p>
    <w:p>
      <w:pPr>
        <w:spacing w:after="80"/>
      </w:pPr>
      <w:r>
        <w:rPr>
          <w:i/>
          <w:iCs/>
          <w:color w:val="5A6472"/>
          <w:sz w:val="18"/>
          <w:szCs w:val="18"/>
        </w:rPr>
        <w:t xml:space="preserve">One chip shown on Partner Detail depending on the learner’s chosen super power. Informational only - does not change grading.</w:t>
      </w:r>
    </w:p>
    <w:p>
      <w:pPr>
        <w:spacing w:after="40"/>
      </w:pPr>
      <w:r>
        <w:rPr>
          <w:b/>
          <w:bCs/>
          <w:color w:val="0B2545"/>
          <w:sz w:val="20"/>
          <w:szCs w:val="20"/>
        </w:rPr>
        <w:t xml:space="preserve">Conversation Architect: </w:t>
      </w:r>
      <w:r>
        <w:rPr>
          <w:sz w:val="20"/>
          <w:szCs w:val="20"/>
        </w:rPr>
        <w:t xml:space="preserve">Adam is blue/red and receptive - frame July as the opportunity, prove the family gap with a search he can reproduce, then turn the call forward to 2027.</w:t>
      </w:r>
    </w:p>
    <w:p>
      <w:pPr>
        <w:spacing w:after="40"/>
      </w:pPr>
      <w:r>
        <w:rPr>
          <w:b/>
          <w:bCs/>
          <w:color w:val="0B2545"/>
          <w:sz w:val="20"/>
          <w:szCs w:val="20"/>
        </w:rPr>
        <w:t xml:space="preserve">Objection Navigator: </w:t>
      </w:r>
      <w:r>
        <w:rPr>
          <w:sz w:val="20"/>
          <w:szCs w:val="20"/>
        </w:rPr>
        <w:t xml:space="preserve">Expect the counterfactual: 'we're 15% below peers, so why don't we convert?' - the answer is a child-config gap, not price.</w:t>
      </w:r>
    </w:p>
    <w:p>
      <w:pPr>
        <w:spacing w:after="40"/>
      </w:pPr>
      <w:r>
        <w:rPr>
          <w:b/>
          <w:bCs/>
          <w:color w:val="0B2545"/>
          <w:sz w:val="20"/>
          <w:szCs w:val="20"/>
        </w:rPr>
        <w:t xml:space="preserve">Storyteller: </w:t>
      </w:r>
      <w:r>
        <w:rPr>
          <w:sz w:val="20"/>
          <w:szCs w:val="20"/>
        </w:rPr>
        <w:t xml:space="preserve">Cheap but not converting: children charged as adults quote a small family two premium rooms; fixing it is roughly 45 room nights next month.</w:t>
      </w:r>
    </w:p>
    <w:p>
      <w:pPr>
        <w:spacing w:after="40"/>
      </w:pPr>
      <w:r>
        <w:rPr>
          <w:b/>
          <w:bCs/>
          <w:color w:val="0B2545"/>
          <w:sz w:val="20"/>
          <w:szCs w:val="20"/>
        </w:rPr>
        <w:t xml:space="preserve">Data Detective: </w:t>
      </w:r>
      <w:r>
        <w:rPr>
          <w:sz w:val="20"/>
          <w:szCs w:val="20"/>
        </w:rPr>
        <w:t xml:space="preserve">Anomaly: search price -15.2% (cheaper than peers) yet conversion 1.3% and visibility 14.5% - the leak is a family-search config, not price.</w:t>
      </w:r>
    </w:p>
    <w:p>
      <w:pPr>
        <w:pStyle w:val="Heading2"/>
        <w:spacing w:after="100" w:before="240"/>
      </w:pPr>
      <w:r>
        <w:rPr>
          <w:b/>
          <w:bCs/>
          <w:color w:val="0B2545"/>
          <w:sz w:val="24"/>
          <w:szCs w:val="24"/>
        </w:rPr>
        <w:t xml:space="preserve">5. Prescribed Pricing Diagnostic to Pitch Flow (Coach answer key)</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Trigger</w:t>
            </w:r>
          </w:p>
        </w:tc>
        <w:tc>
          <w:tcPr>
            <w:tcW w:type="pct" w:w="55%"/>
            <w:shd w:fill="EEF2F7" w:val="clear"/>
            <w:tcMar>
              <w:top w:type="dxa" w:w="40"/>
              <w:left w:type="dxa" w:w="90"/>
              <w:bottom w:type="dxa" w:w="40"/>
              <w:right w:type="dxa" w:w="90"/>
            </w:tcMar>
          </w:tcPr>
          <w:p>
            <w:r>
              <w:rPr>
                <w:b w:val="false"/>
                <w:bCs w:val="false"/>
                <w:color w:val="000000"/>
                <w:sz w:val="20"/>
                <w:szCs w:val="20"/>
              </w:rPr>
              <w:t xml:space="preserve">pricing-signal</w:t>
            </w:r>
          </w:p>
        </w:tc>
      </w:tr>
      <w:tr>
        <w:tc>
          <w:tcPr>
            <w:tcW w:type="pct" w:w="45%"/>
            <w:tcMar>
              <w:top w:type="dxa" w:w="40"/>
              <w:left w:type="dxa" w:w="90"/>
              <w:bottom w:type="dxa" w:w="40"/>
              <w:right w:type="dxa" w:w="90"/>
            </w:tcMar>
          </w:tcPr>
          <w:p>
            <w:r>
              <w:rPr>
                <w:b/>
                <w:bCs/>
                <w:color w:val="000000"/>
                <w:sz w:val="20"/>
                <w:szCs w:val="20"/>
              </w:rPr>
              <w:t xml:space="preserve">Issue</w:t>
            </w:r>
          </w:p>
        </w:tc>
        <w:tc>
          <w:tcPr>
            <w:tcW w:type="pct" w:w="55%"/>
            <w:tcMar>
              <w:top w:type="dxa" w:w="40"/>
              <w:left w:type="dxa" w:w="90"/>
              <w:bottom w:type="dxa" w:w="40"/>
              <w:right w:type="dxa" w:w="90"/>
            </w:tcMar>
          </w:tcPr>
          <w:p>
            <w:r>
              <w:rPr>
                <w:b w:val="false"/>
                <w:bCs w:val="false"/>
                <w:color w:val="000000"/>
                <w:sz w:val="20"/>
                <w:szCs w:val="20"/>
              </w:rPr>
              <w:t xml:space="preserve">brand-com-erpd-not-competitive</w:t>
            </w:r>
          </w:p>
        </w:tc>
      </w:tr>
      <w:tr>
        <w:tc>
          <w:tcPr>
            <w:tcW w:type="pct" w:w="45%"/>
            <w:shd w:fill="EEF2F7" w:val="clear"/>
            <w:tcMar>
              <w:top w:type="dxa" w:w="40"/>
              <w:left w:type="dxa" w:w="90"/>
              <w:bottom w:type="dxa" w:w="40"/>
              <w:right w:type="dxa" w:w="90"/>
            </w:tcMar>
          </w:tcPr>
          <w:p>
            <w:r>
              <w:rPr>
                <w:b/>
                <w:bCs/>
                <w:color w:val="000000"/>
                <w:sz w:val="20"/>
                <w:szCs w:val="20"/>
              </w:rPr>
              <w:t xml:space="preserve">Intent</w:t>
            </w:r>
          </w:p>
        </w:tc>
        <w:tc>
          <w:tcPr>
            <w:tcW w:type="pct" w:w="55%"/>
            <w:shd w:fill="EEF2F7" w:val="clear"/>
            <w:tcMar>
              <w:top w:type="dxa" w:w="40"/>
              <w:left w:type="dxa" w:w="90"/>
              <w:bottom w:type="dxa" w:w="40"/>
              <w:right w:type="dxa" w:w="90"/>
            </w:tcMar>
          </w:tcPr>
          <w:p>
            <w:r>
              <w:rPr>
                <w:b w:val="false"/>
                <w:bCs w:val="false"/>
                <w:color w:val="000000"/>
                <w:sz w:val="20"/>
                <w:szCs w:val="20"/>
              </w:rPr>
              <w:t xml:space="preserve">intentional</w:t>
            </w:r>
          </w:p>
        </w:tc>
      </w:tr>
      <w:tr>
        <w:tc>
          <w:tcPr>
            <w:tcW w:type="pct" w:w="45%"/>
            <w:tcMar>
              <w:top w:type="dxa" w:w="40"/>
              <w:left w:type="dxa" w:w="90"/>
              <w:bottom w:type="dxa" w:w="40"/>
              <w:right w:type="dxa" w:w="90"/>
            </w:tcMar>
          </w:tcPr>
          <w:p>
            <w:r>
              <w:rPr>
                <w:b/>
                <w:bCs/>
                <w:color w:val="000000"/>
                <w:sz w:val="20"/>
                <w:szCs w:val="20"/>
              </w:rPr>
              <w:t xml:space="preserve">Root cause</w:t>
            </w:r>
          </w:p>
        </w:tc>
        <w:tc>
          <w:tcPr>
            <w:tcW w:type="pct" w:w="55%"/>
            <w:tcMar>
              <w:top w:type="dxa" w:w="40"/>
              <w:left w:type="dxa" w:w="90"/>
              <w:bottom w:type="dxa" w:w="40"/>
              <w:right w:type="dxa" w:w="90"/>
            </w:tcMar>
          </w:tcPr>
          <w:p>
            <w:r>
              <w:rPr>
                <w:b w:val="false"/>
                <w:bCs w:val="false"/>
                <w:color w:val="000000"/>
                <w:sz w:val="20"/>
                <w:szCs w:val="20"/>
              </w:rPr>
              <w:t xml:space="preserve">structural-brand-first</w:t>
            </w:r>
          </w:p>
        </w:tc>
      </w:tr>
      <w:tr>
        <w:tc>
          <w:tcPr>
            <w:tcW w:type="pct" w:w="45%"/>
            <w:shd w:fill="EEF2F7" w:val="clear"/>
            <w:tcMar>
              <w:top w:type="dxa" w:w="40"/>
              <w:left w:type="dxa" w:w="90"/>
              <w:bottom w:type="dxa" w:w="40"/>
              <w:right w:type="dxa" w:w="90"/>
            </w:tcMar>
          </w:tcPr>
          <w:p>
            <w:r>
              <w:rPr>
                <w:b/>
                <w:bCs/>
                <w:color w:val="000000"/>
                <w:sz w:val="20"/>
                <w:szCs w:val="20"/>
              </w:rPr>
              <w:t xml:space="preserve">Metric insight</w:t>
            </w:r>
          </w:p>
        </w:tc>
        <w:tc>
          <w:tcPr>
            <w:tcW w:type="pct" w:w="55%"/>
            <w:shd w:fill="EEF2F7" w:val="clear"/>
            <w:tcMar>
              <w:top w:type="dxa" w:w="40"/>
              <w:left w:type="dxa" w:w="90"/>
              <w:bottom w:type="dxa" w:w="40"/>
              <w:right w:type="dxa" w:w="90"/>
            </w:tcMar>
          </w:tcPr>
          <w:p>
            <w:r>
              <w:rPr>
                <w:b w:val="false"/>
                <w:bCs w:val="false"/>
                <w:color w:val="000000"/>
                <w:sz w:val="20"/>
                <w:szCs w:val="20"/>
              </w:rPr>
              <w:t xml:space="preserve">structural-constant-non-competitive-erpd</w:t>
            </w:r>
          </w:p>
        </w:tc>
      </w:tr>
      <w:tr>
        <w:tc>
          <w:tcPr>
            <w:tcW w:type="pct" w:w="45%"/>
            <w:tcMar>
              <w:top w:type="dxa" w:w="40"/>
              <w:left w:type="dxa" w:w="90"/>
              <w:bottom w:type="dxa" w:w="40"/>
              <w:right w:type="dxa" w:w="90"/>
            </w:tcMar>
          </w:tcPr>
          <w:p>
            <w:r>
              <w:rPr>
                <w:b/>
                <w:bCs/>
                <w:color w:val="000000"/>
                <w:sz w:val="20"/>
                <w:szCs w:val="20"/>
              </w:rPr>
              <w:t xml:space="preserve">Hook</w:t>
            </w:r>
          </w:p>
        </w:tc>
        <w:tc>
          <w:tcPr>
            <w:tcW w:type="pct" w:w="55%"/>
            <w:tcMar>
              <w:top w:type="dxa" w:w="40"/>
              <w:left w:type="dxa" w:w="90"/>
              <w:bottom w:type="dxa" w:w="40"/>
              <w:right w:type="dxa" w:w="90"/>
            </w:tcMar>
          </w:tcPr>
          <w:p>
            <w:r>
              <w:rPr>
                <w:b w:val="false"/>
                <w:bCs w:val="false"/>
                <w:color w:val="000000"/>
                <w:sz w:val="20"/>
                <w:szCs w:val="20"/>
              </w:rPr>
              <w:t xml:space="preserve">base-rate-misalignment</w:t>
            </w:r>
          </w:p>
        </w:tc>
      </w:tr>
    </w:tbl>
    <w:p>
      <w:pPr>
        <w:pStyle w:val="Heading2"/>
        <w:spacing w:after="100" w:before="240"/>
      </w:pPr>
      <w:r>
        <w:rPr>
          <w:b/>
          <w:bCs/>
          <w:color w:val="0B2545"/>
          <w:sz w:val="24"/>
          <w:szCs w:val="24"/>
        </w:rPr>
        <w:t xml:space="preserve">6. Conversation (priority partner)</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“Good morning, Adam. Thanks for taking the time to reconnect today. Why don't we go straight to the data together?”</w:t>
      </w:r>
    </w:p>
    <w:p>
      <w:pPr>
        <w:spacing w:after="60" w:before="200"/>
      </w:pPr>
      <w:r>
        <w:rPr>
          <w:b/>
          <w:bCs/>
          <w:color w:val="F4B400"/>
          <w:sz w:val="22"/>
          <w:szCs w:val="22"/>
        </w:rPr>
        <w:t xml:space="preserve">Step 1</w:t>
      </w:r>
    </w:p>
    <w:p>
      <w:pPr>
        <w:spacing w:after="40"/>
      </w:pPr>
      <w:r>
        <w:rPr>
          <w:b/>
          <w:bCs/>
          <w:color w:val="5A6472"/>
          <w:sz w:val="19"/>
          <w:szCs w:val="19"/>
        </w:rPr>
        <w:t xml:space="preserve">Adam Cole says:</w:t>
      </w:r>
    </w:p>
    <w:p>
      <w:pPr>
        <w:spacing w:after="100"/>
        <w:ind w:left="360"/>
      </w:pPr>
      <w:r>
        <w:rPr>
          <w:i/>
          <w:iCs/>
          <w:color w:val="0B2545"/>
          <w:sz w:val="20"/>
          <w:szCs w:val="20"/>
        </w:rPr>
        <w:t xml:space="preserve">“Morning, Mark. Yes, let's start! What trends are you noticing on your end?”</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“Demand is strong right now - your page-view volume is clear evidence - and July is your biggest opportunity of the year. But performance is sitting below peer level: conversion at 1.3% and visibility share at 14.5%. Why do you think the property isn't capturing more of that demand?”</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“Well, I'm not sure... July is traditionally our highest-demand month, so expectations are high. Total revenue is steady, but frankly our pickup for the second half of the month feels slow versus last year. Our benchmarking says our general rate here sits roughly 15% below our local peers. If the price is that competitive, why is our conversion not in line with our visibility?”</w:t>
      </w:r>
    </w:p>
    <w:p>
      <w:pPr>
        <w:spacing w:after="30" w:before="120"/>
      </w:pPr>
      <w:r>
        <w:rPr>
          <w:b/>
          <w:bCs/>
          <w:color w:val="0B2545"/>
          <w:sz w:val="20"/>
          <w:szCs w:val="20"/>
        </w:rPr>
        <w:t xml:space="preserve">Option B</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“Your conversion's on the low side, so the simplest move here is to get you more competitive still - bring your headline rate down a notch, maybe test a small reduction across your main room types, and I'd expect the bookings to start following once you're clearly the cheapest option travelers see.”</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“We're already 15% below our peers, Mark. If price were the issue, we'd be converting - so cutting further makes no sense to me.”</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Adam, from where I'm sitting things are looking really solid on your end - the numbers are steady, the property's ticking along nicely, and I didn't want to overcomplicate a good month. I mostly just wanted to check in, say it's great to reconnect, and tell you to keep doing exactly what you're doing.”</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“I appreciate it, but our pickup is slow for a peak month. I'd rather use this time to find out why than hear it's all fine.”</w:t>
      </w:r>
    </w:p>
    <w:p>
      <w:pPr>
        <w:spacing w:after="60" w:before="200"/>
      </w:pPr>
      <w:r>
        <w:rPr>
          <w:b/>
          <w:bCs/>
          <w:color w:val="F4B400"/>
          <w:sz w:val="22"/>
          <w:szCs w:val="22"/>
        </w:rPr>
        <w:t xml:space="preserve">Step 2</w:t>
      </w:r>
    </w:p>
    <w:p>
      <w:pPr>
        <w:spacing w:after="40"/>
      </w:pPr>
      <w:r>
        <w:rPr>
          <w:b/>
          <w:bCs/>
          <w:color w:val="5A6472"/>
          <w:sz w:val="19"/>
          <w:szCs w:val="19"/>
        </w:rPr>
        <w:t xml:space="preserve">Adam Cole says:</w:t>
      </w:r>
    </w:p>
    <w:p>
      <w:pPr>
        <w:spacing w:after="100"/>
        <w:ind w:left="360"/>
      </w:pPr>
      <w:r>
        <w:rPr>
          <w:i/>
          <w:iCs/>
          <w:color w:val="0B2545"/>
          <w:sz w:val="20"/>
          <w:szCs w:val="20"/>
        </w:rPr>
        <w:t xml:space="preserve">“Well, I don't know... July is traditionally our highest-demand month, so expectations are high. Total revenue is steady, but our pickup for the second half of July feels slow versus last year. Our benchmarking says our general rate here sits roughly 15% below our local peers. If the price is that competitive, why is our conversion not in line with our visibility?”</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“That's exactly the question I wanted to answer. Your headline price does look very competitive - but a granular segment breakdown shows a gap. I searched your property the way a family would, two adults and a four-year-old, and the recommended option that came back was two premium double rooms. Two rooms, for a small family.”</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“How is that possible? Our rates across all room types are mapped consistently from our channel manager.”</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“When you look below the headline, there's a competitiveness gap hiding in some of your traveler segments - it's the kind of thing that never shows up in the blended average, so on paper everything reads fine, but underneath, certain guest types are seeing a very different price to the one you think you're offering. It's definitely there once you go segment by segment.”</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“Which segments, and how would I even see it? 'It's there' isn't something I can act on.”</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“This will almost certainly be your channel manager pushing bad rates across - in my experience those integrations are nearly always the culprit when the numbers look off in exactly this way. The mapping drifts, a rule gets applied wrong somewhere in the sync, and suddenly the rates travelers see aren't the ones you set. I'd start by pulling apart that connection first.”</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“Our channel manager maps everything consistently. I'd want evidence before we pin it on that.”</w:t>
      </w:r>
    </w:p>
    <w:p>
      <w:pPr>
        <w:spacing w:after="60" w:before="200"/>
      </w:pPr>
      <w:r>
        <w:rPr>
          <w:b/>
          <w:bCs/>
          <w:color w:val="F4B400"/>
          <w:sz w:val="22"/>
          <w:szCs w:val="22"/>
        </w:rPr>
        <w:t xml:space="preserve">Step 3</w:t>
      </w:r>
    </w:p>
    <w:p>
      <w:pPr>
        <w:spacing w:after="40"/>
      </w:pPr>
      <w:r>
        <w:rPr>
          <w:b/>
          <w:bCs/>
          <w:color w:val="5A6472"/>
          <w:sz w:val="19"/>
          <w:szCs w:val="19"/>
        </w:rPr>
        <w:t xml:space="preserve">Adam Cole says:</w:t>
      </w:r>
    </w:p>
    <w:p>
      <w:pPr>
        <w:spacing w:after="100"/>
        <w:ind w:left="360"/>
      </w:pPr>
      <w:r>
        <w:rPr>
          <w:i/>
          <w:iCs/>
          <w:color w:val="0B2545"/>
          <w:sz w:val="20"/>
          <w:szCs w:val="20"/>
        </w:rPr>
        <w:t xml:space="preserve">“How is that possible? Our rates across all room types are mapped consistently from our channel manager.”</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“It's a configuration gap, Adam - the same theme we touched on last time. Your child age categories are currently misconfigured in the extranet, so the platform automatically charges children as adults. That's what forces a small family into two rooms instead of one.”</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“I see. I thought I'd been quite strict about the family configuration, but I didn't realise it was like this - I've honestly never searched as a specific guest type like a couple or a family. That's a good tip, actually.”</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“It's down to your occupancy derivation logic - the age-bucket boundaries aren't mapping cleanly onto the child-rate tiers, so the pax-split defaults to an adult headcount on the room-yield calculation, the occupancy ceiling trips, and it cascades the request into a two-room derivation.”</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“You've lost me. Can you just tell me plainly what's wrong and what I fix?”</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quickest patch here is to layer a family discount on top of your existing rates, so the price families actually see drops back down to something attractive and they start booking again. You could set it live today with no config work needed, and let the reduced family price do the work.”</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“Discount to cover a setup error? I'd rather fix whatever's actually broken than give away margin.”</w:t>
      </w:r>
    </w:p>
    <w:p>
      <w:pPr>
        <w:spacing w:after="60" w:before="200"/>
      </w:pPr>
      <w:r>
        <w:rPr>
          <w:b/>
          <w:bCs/>
          <w:color w:val="F4B400"/>
          <w:sz w:val="22"/>
          <w:szCs w:val="22"/>
        </w:rPr>
        <w:t xml:space="preserve">Step 4</w:t>
      </w:r>
    </w:p>
    <w:p>
      <w:pPr>
        <w:spacing w:after="40"/>
      </w:pPr>
      <w:r>
        <w:rPr>
          <w:b/>
          <w:bCs/>
          <w:color w:val="5A6472"/>
          <w:sz w:val="19"/>
          <w:szCs w:val="19"/>
        </w:rPr>
        <w:t xml:space="preserve">Adam Cole says:</w:t>
      </w:r>
    </w:p>
    <w:p>
      <w:pPr>
        <w:spacing w:after="100"/>
        <w:ind w:left="360"/>
      </w:pPr>
      <w:r>
        <w:rPr>
          <w:i/>
          <w:iCs/>
          <w:color w:val="0B2545"/>
          <w:sz w:val="20"/>
          <w:szCs w:val="20"/>
        </w:rPr>
        <w:t xml:space="preserve">“I see. I thought I'd been quite strict about the family configuration, but I never actually searched as a specific guest type like a family. That's a good tip.”</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“Exactly - the search page is the best place to see how guests actually perceive you, from every angle. And this matters commercially: family bookers are among your highest-spending segments in peak season, so for the back half of July they're the perfect audience to be winning, not losing.”</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“That would explain the drop-off we've seen in multi-occupancy room pickup, too. Do you know what the impact of the correct setup would be?”</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“Great, so that's the fix identified - just correct the child categories in the extranet and the two-room problem goes away on its own. I'd say we've got what we came for, so let's not overthink it - I'll make a note to check the setup's gone through, and then we can move on to the next thing on the list.”</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“Before we move on - how much is this actually worth? I need to know it's worth prioritising.”</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“Fix this one thing and I can promise you it transforms your ranking overnight - the moment those family searches resolve properly, you'll rocket straight up the results, leapfrog the peers sitting above you, and stay planted there for the rest of peak season. This is the change that puts you top of the page and keeps you there.”</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“'Rocket up overnight' sounds like a sales line. I'd trust a real number over a promise like that.”</w:t>
      </w:r>
    </w:p>
    <w:p>
      <w:pPr>
        <w:spacing w:after="60" w:before="200"/>
      </w:pPr>
      <w:r>
        <w:rPr>
          <w:b/>
          <w:bCs/>
          <w:color w:val="F4B400"/>
          <w:sz w:val="22"/>
          <w:szCs w:val="22"/>
        </w:rPr>
        <w:t xml:space="preserve">Step 5</w:t>
      </w:r>
    </w:p>
    <w:p>
      <w:pPr>
        <w:spacing w:after="40"/>
      </w:pPr>
      <w:r>
        <w:rPr>
          <w:b/>
          <w:bCs/>
          <w:color w:val="5A6472"/>
          <w:sz w:val="19"/>
          <w:szCs w:val="19"/>
        </w:rPr>
        <w:t xml:space="preserve">Adam Cole says:</w:t>
      </w:r>
    </w:p>
    <w:p>
      <w:pPr>
        <w:spacing w:after="100"/>
        <w:ind w:left="360"/>
      </w:pPr>
      <w:r>
        <w:rPr>
          <w:i/>
          <w:iCs/>
          <w:color w:val="0B2545"/>
          <w:sz w:val="20"/>
          <w:szCs w:val="20"/>
        </w:rPr>
        <w:t xml:space="preserve">“That would explain the drop-off in multi-occupancy room pickup, too. Do you know what the impact of the correct setup would be?”</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“Closing that gap specifically for family searches could mean an immediate pickup of roughly 45 additional room nights next month. To sustain it, keep the family rates correctly configured year-round - and think about families booking ahead at the end of the season: if your availability is open and your prices are competitive, you're already working toward next year's guests, and many of them become repeaters.”</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“That's a tangible commercial outcome. What would you recommend to sustain this kind of momentum through the upcoming months?”</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“You'd see a significant boost, honestly - fixing this opens up a whole pocket of family demand you're currently missing out on, and once those searches resolve the way they should, that lost volume starts converting instead of bouncing away to your peers. The upside is genuinely substantial, easily one of the bigger wins available to you right now, and it compounds through the back half of the month as the peak demand keeps flowing in.”</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“'Significant' and 'substantial' - can you put an actual number on it? That's what I can take to my team.”</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“And to really capitalise on this while we're here, let's not stop at the fix - I'd layer on a couple of paid campaigns and a visibility booster on top, so the moment those family searches start resolving properly, you're also pushing hard on placement while peak demand is at its highest. We could get the campaigns live alongside the configuration change, run them right through the back half of July, and stack every lever you've got to make the most of the window.”</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“Let's get the actual fix in and see the result first before we start adding paid products on top.”</w:t>
      </w:r>
    </w:p>
    <w:p>
      <w:pPr>
        <w:spacing w:after="60" w:before="200"/>
      </w:pPr>
      <w:r>
        <w:rPr>
          <w:b/>
          <w:bCs/>
          <w:color w:val="F4B400"/>
          <w:sz w:val="22"/>
          <w:szCs w:val="22"/>
        </w:rPr>
        <w:t xml:space="preserve">Step 6</w:t>
      </w:r>
    </w:p>
    <w:p>
      <w:pPr>
        <w:spacing w:after="40"/>
      </w:pPr>
      <w:r>
        <w:rPr>
          <w:b/>
          <w:bCs/>
          <w:color w:val="5A6472"/>
          <w:sz w:val="19"/>
          <w:szCs w:val="19"/>
        </w:rPr>
        <w:t xml:space="preserve">Adam Cole says:</w:t>
      </w:r>
    </w:p>
    <w:p>
      <w:pPr>
        <w:spacing w:after="100"/>
        <w:ind w:left="360"/>
      </w:pPr>
      <w:r>
        <w:rPr>
          <w:i/>
          <w:iCs/>
          <w:color w:val="0B2545"/>
          <w:sz w:val="20"/>
          <w:szCs w:val="20"/>
        </w:rPr>
        <w:t xml:space="preserve">“That's a tangible commercial outcome. What would you recommend to sustain this kind of momentum through the upcoming months?”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“Let's turn to next year. First, availability - make sure all your room types are bookable and your content, photos and services, is fully up to date. I'd also activate both flexible and non-refundable rates. I noticed your non-refundable rates are currently closed - and here's why they matter: as your first, most competitive price, a non-refundable rate is what surfaces you when travelers filter by price range. It brings them to your page. They may end up booking a flexible or half-board rate, but they found you because of it.”</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“Absolutely - I can see how that makes the difference in the discoverability phase. Head office keeps non-refundable exclusive to our own website today, but if you can share some data on advance non-refundable value, I'll present this at our upcoming QBR and genuinely push for approval. Thank you for this.”</w:t>
      </w:r>
    </w:p>
    <w:p>
      <w:pPr>
        <w:spacing w:after="30" w:before="120"/>
      </w:pPr>
      <w:r>
        <w:rPr>
          <w:b/>
          <w:bCs/>
          <w:color w:val="0B2545"/>
          <w:sz w:val="20"/>
          <w:szCs w:val="20"/>
        </w:rPr>
        <w:t xml:space="preserve">Option B</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“Open your non-refundable rate a full year out and I can guarantee it puts you straight to the top of the search results - that's a locked-in ranking win in exchange for the price move. The lower your first, most competitive price sits, the higher the platform will place you, so the deeper you go on that non-refundable rate the more placement you're rewarded with. Commit to it now and I'll personally make sure you hold that top position right through into next year - it's a guaranteed return on dropping the rate, and head office will see the ranking jump for themselves.”</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“A guaranteed top spot? Nothing works like that, and head office would see straight through it. That actually weakens your case.”</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“Perfect - let's just get that family configuration corrected in the extranet and I'm confident we'll see those 45 room nights come through over the next few weeks. Honestly, that's a really clean result for one call, and I don't want to pile more onto your plate when you've already got a clear action to take away. Get the child categories fixed, keep an eye on the family pickup as it lands, and drop me a line if anything looks off once it's live. Otherwise I'll leave you to it and we'll catch up again down the line.”</w:t>
      </w:r>
    </w:p>
    <w:p>
      <w:pPr>
        <w:spacing w:after="20"/>
        <w:ind w:left="360"/>
      </w:pPr>
      <w:r>
        <w:rPr>
          <w:b/>
          <w:bCs/>
          <w:color w:val="5A6472"/>
          <w:sz w:val="18"/>
          <w:szCs w:val="18"/>
        </w:rPr>
        <w:t xml:space="preserve">Adam Cole responds:</w:t>
      </w:r>
    </w:p>
    <w:p>
      <w:pPr>
        <w:spacing w:after="100"/>
        <w:ind w:left="360"/>
      </w:pPr>
      <w:r>
        <w:rPr>
          <w:i/>
          <w:iCs/>
          <w:color w:val="0B2545"/>
          <w:sz w:val="20"/>
          <w:szCs w:val="20"/>
        </w:rPr>
        <w:t xml:space="preserve">“Sounds good... though I was rather hoping we'd talk about where we take this next year, while we've got the momentum.”</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Pack 8 - OPC (Level 2)</dc:title>
  <dc:creator>Rate Right</dc:creator>
  <cp:lastModifiedBy>Un-named</cp:lastModifiedBy>
  <cp:revision>1</cp:revision>
  <dcterms:created xsi:type="dcterms:W3CDTF">2026-09-07T13:04:44.776Z</dcterms:created>
  <dcterms:modified xsi:type="dcterms:W3CDTF">2026-09-07T13:04:44.777Z</dcterms:modified>
</cp:coreProperties>
</file>

<file path=docProps/custom.xml><?xml version="1.0" encoding="utf-8"?>
<Properties xmlns="http://schemas.openxmlformats.org/officeDocument/2006/custom-properties" xmlns:vt="http://schemas.openxmlformats.org/officeDocument/2006/docPropsVTypes"/>
</file>